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6959D" w14:textId="682933C7" w:rsidR="00755581" w:rsidRPr="00C371F6" w:rsidRDefault="00C3295F" w:rsidP="00372AEC">
      <w:pPr>
        <w:jc w:val="center"/>
        <w:rPr>
          <w:rFonts w:ascii="Cambria" w:hAnsi="Cambria"/>
          <w:bCs w:val="0"/>
          <w:sz w:val="22"/>
          <w:szCs w:val="22"/>
        </w:rPr>
      </w:pPr>
      <w:bookmarkStart w:id="0" w:name="_GoBack"/>
      <w:bookmarkEnd w:id="0"/>
      <w:r w:rsidRPr="00C371F6">
        <w:rPr>
          <w:rFonts w:ascii="Cambria" w:hAnsi="Cambria"/>
          <w:b/>
          <w:i/>
          <w:sz w:val="32"/>
          <w:szCs w:val="32"/>
        </w:rPr>
        <w:t>Reviewing</w:t>
      </w:r>
      <w:r w:rsidR="00C664B7" w:rsidRPr="00C371F6">
        <w:rPr>
          <w:rFonts w:ascii="Cambria" w:hAnsi="Cambria"/>
          <w:b/>
          <w:i/>
          <w:sz w:val="32"/>
          <w:szCs w:val="32"/>
        </w:rPr>
        <w:t xml:space="preserve"> </w:t>
      </w:r>
      <w:r w:rsidR="00C75A86" w:rsidRPr="00C371F6">
        <w:rPr>
          <w:rFonts w:ascii="Cambria" w:hAnsi="Cambria"/>
          <w:b/>
          <w:i/>
          <w:sz w:val="32"/>
          <w:szCs w:val="32"/>
        </w:rPr>
        <w:t xml:space="preserve">estimates of the </w:t>
      </w:r>
      <w:r w:rsidR="005E4095" w:rsidRPr="00C371F6">
        <w:rPr>
          <w:rFonts w:ascii="Cambria" w:hAnsi="Cambria"/>
          <w:b/>
          <w:i/>
          <w:sz w:val="32"/>
          <w:szCs w:val="32"/>
        </w:rPr>
        <w:t xml:space="preserve">economic efficiency of </w:t>
      </w:r>
      <w:r w:rsidR="0094407B" w:rsidRPr="00C371F6">
        <w:rPr>
          <w:rFonts w:ascii="Cambria" w:hAnsi="Cambria"/>
          <w:b/>
          <w:i/>
          <w:sz w:val="32"/>
          <w:szCs w:val="32"/>
        </w:rPr>
        <w:t xml:space="preserve">disaster risk </w:t>
      </w:r>
    </w:p>
    <w:p w14:paraId="71BC4D9A" w14:textId="77777777" w:rsidR="00372AEC" w:rsidRPr="00C371F6" w:rsidRDefault="00372AEC" w:rsidP="009D6DB6">
      <w:pPr>
        <w:pStyle w:val="Literaturverzeichnis"/>
        <w:rPr>
          <w:rFonts w:ascii="Cambria" w:hAnsi="Cambria"/>
          <w:b/>
          <w:sz w:val="22"/>
          <w:szCs w:val="22"/>
          <w:lang w:val="en-GB"/>
        </w:rPr>
      </w:pPr>
      <w:r w:rsidRPr="00C371F6">
        <w:rPr>
          <w:rFonts w:ascii="Cambria" w:hAnsi="Cambria"/>
          <w:b/>
          <w:sz w:val="22"/>
          <w:szCs w:val="22"/>
          <w:lang w:val="en-GB"/>
        </w:rPr>
        <w:tab/>
      </w:r>
    </w:p>
    <w:p w14:paraId="361C01F4" w14:textId="36658061" w:rsidR="007227EA" w:rsidRPr="00C371F6" w:rsidRDefault="00880FFE" w:rsidP="009D6DB6">
      <w:pPr>
        <w:pStyle w:val="Literaturverzeichnis"/>
        <w:rPr>
          <w:rFonts w:ascii="Cambria" w:hAnsi="Cambria"/>
          <w:b/>
          <w:sz w:val="22"/>
          <w:szCs w:val="22"/>
          <w:lang w:val="en-GB"/>
        </w:rPr>
      </w:pPr>
      <w:r>
        <w:rPr>
          <w:rFonts w:ascii="Cambria" w:hAnsi="Cambria"/>
          <w:b/>
          <w:sz w:val="22"/>
          <w:szCs w:val="22"/>
          <w:lang w:val="en-GB"/>
        </w:rPr>
        <w:t xml:space="preserve">    </w:t>
      </w:r>
      <w:r w:rsidR="007227EA" w:rsidRPr="00C371F6">
        <w:rPr>
          <w:rFonts w:ascii="Cambria" w:hAnsi="Cambria"/>
          <w:b/>
          <w:sz w:val="22"/>
          <w:szCs w:val="22"/>
          <w:lang w:val="en-GB"/>
        </w:rPr>
        <w:t>Supplementary Material</w:t>
      </w:r>
      <w:r w:rsidR="00ED1C4B" w:rsidRPr="00C371F6">
        <w:rPr>
          <w:rFonts w:ascii="Cambria" w:hAnsi="Cambria"/>
          <w:b/>
          <w:sz w:val="22"/>
          <w:szCs w:val="22"/>
          <w:lang w:val="en-GB"/>
        </w:rPr>
        <w:t xml:space="preserve">: </w:t>
      </w:r>
    </w:p>
    <w:p w14:paraId="39BA5E21" w14:textId="77777777" w:rsidR="00D6793D" w:rsidRPr="00C371F6" w:rsidRDefault="00D6793D" w:rsidP="009D6DB6">
      <w:pPr>
        <w:pStyle w:val="Literaturverzeichnis"/>
        <w:rPr>
          <w:rFonts w:ascii="Cambria" w:hAnsi="Cambria"/>
          <w:b/>
          <w:sz w:val="22"/>
          <w:szCs w:val="22"/>
          <w:lang w:val="en-GB"/>
        </w:rPr>
      </w:pPr>
    </w:p>
    <w:p w14:paraId="6AD1D8D5" w14:textId="77777777" w:rsidR="00D6793D" w:rsidRPr="00C371F6" w:rsidRDefault="00D6793D" w:rsidP="009D6DB6">
      <w:pPr>
        <w:pStyle w:val="Literaturverzeichnis"/>
        <w:rPr>
          <w:rFonts w:ascii="Cambria" w:hAnsi="Cambria"/>
          <w:b/>
          <w:sz w:val="22"/>
          <w:szCs w:val="22"/>
          <w:lang w:val="en-GB"/>
        </w:rPr>
      </w:pPr>
    </w:p>
    <w:p w14:paraId="1449EE3A" w14:textId="77777777" w:rsidR="00D6793D" w:rsidRPr="00C371F6" w:rsidRDefault="00D6793D" w:rsidP="00D6793D">
      <w:pPr>
        <w:pStyle w:val="BBL"/>
        <w:spacing w:line="240" w:lineRule="auto"/>
        <w:ind w:left="360" w:firstLine="0"/>
        <w:jc w:val="both"/>
        <w:rPr>
          <w:rFonts w:ascii="Cambria" w:hAnsi="Cambria"/>
          <w:b/>
          <w:color w:val="auto"/>
          <w:sz w:val="20"/>
          <w:szCs w:val="20"/>
          <w:lang w:val="en-GB"/>
        </w:rPr>
      </w:pPr>
      <w:r w:rsidRPr="00C371F6">
        <w:rPr>
          <w:rFonts w:ascii="Cambria" w:hAnsi="Cambria"/>
          <w:b/>
          <w:color w:val="auto"/>
          <w:sz w:val="20"/>
          <w:szCs w:val="20"/>
          <w:lang w:val="en-GB"/>
        </w:rPr>
        <w:t>Box 2: The MMC (2005) study</w:t>
      </w:r>
    </w:p>
    <w:p w14:paraId="7344E542" w14:textId="77777777" w:rsidR="00D6793D" w:rsidRPr="00C371F6" w:rsidRDefault="00D6793D" w:rsidP="00D6793D">
      <w:pPr>
        <w:pStyle w:val="BBL"/>
        <w:spacing w:line="240" w:lineRule="auto"/>
        <w:ind w:left="360" w:firstLine="0"/>
        <w:jc w:val="both"/>
        <w:rPr>
          <w:rFonts w:ascii="Cambria" w:hAnsi="Cambria"/>
          <w:color w:val="auto"/>
          <w:sz w:val="20"/>
          <w:szCs w:val="20"/>
          <w:lang w:val="en-GB"/>
        </w:rPr>
      </w:pPr>
      <w:r w:rsidRPr="00C371F6">
        <w:rPr>
          <w:rFonts w:ascii="Cambria" w:hAnsi="Cambria"/>
          <w:color w:val="auto"/>
          <w:sz w:val="20"/>
          <w:szCs w:val="20"/>
          <w:lang w:val="en-GB"/>
        </w:rPr>
        <w:t>Mandated by the US Senate to better understand the benefits of risk management investments, the Federal Emergency Management Agency (FEMA) commissioned the Multihazard Mitigation Council (MMC) of the National Institute of Building Sciences (NIBS) to perform a study on the costs and benefits of DRM using CBA. Carried out by an interdisciplinary team of more than 30 experts, the study comprised of two elements:  (i) a benefit cost analysis of FEMA grants given post disaster to affected communities to build future resilience, and quantitative and qualitative research on the impacts of the grants in 8 sample communities. The benefit-cost analysis of the future savings from FEMA mitigation grants, for which over the years 1993 to 2003 $3.5 billion were given to states and communities examined a sample of  357 out of 5,479 grants. The MMC review based its benefit estimates of the reduced impacts across seismic risk, windstorm (hurricane and tornado) and flood risk on the comprehensive HAZUS risk model. The review estimated a substantial number of impacts as follows:</w:t>
      </w:r>
    </w:p>
    <w:p w14:paraId="351C0C0A" w14:textId="77777777" w:rsidR="00D6793D" w:rsidRPr="00C371F6" w:rsidRDefault="00D6793D" w:rsidP="00D6793D">
      <w:pPr>
        <w:pStyle w:val="BBL"/>
        <w:numPr>
          <w:ilvl w:val="0"/>
          <w:numId w:val="18"/>
        </w:numPr>
        <w:spacing w:line="240" w:lineRule="auto"/>
        <w:jc w:val="both"/>
        <w:rPr>
          <w:rFonts w:ascii="Cambria" w:hAnsi="Cambria"/>
          <w:color w:val="auto"/>
          <w:sz w:val="20"/>
          <w:szCs w:val="20"/>
          <w:lang w:val="en-GB"/>
        </w:rPr>
      </w:pPr>
      <w:r w:rsidRPr="00C371F6">
        <w:rPr>
          <w:rFonts w:ascii="Cambria" w:hAnsi="Cambria"/>
          <w:color w:val="auto"/>
          <w:sz w:val="20"/>
          <w:szCs w:val="20"/>
          <w:lang w:val="en-GB"/>
        </w:rPr>
        <w:t xml:space="preserve">Reduced direct property damage (e.g., buildings, contents, bridges, pipelines); </w:t>
      </w:r>
    </w:p>
    <w:p w14:paraId="1006A73D" w14:textId="77777777" w:rsidR="00D6793D" w:rsidRPr="00C371F6" w:rsidRDefault="00D6793D" w:rsidP="00D6793D">
      <w:pPr>
        <w:pStyle w:val="BBL"/>
        <w:numPr>
          <w:ilvl w:val="0"/>
          <w:numId w:val="18"/>
        </w:numPr>
        <w:spacing w:line="240" w:lineRule="auto"/>
        <w:jc w:val="both"/>
        <w:rPr>
          <w:rFonts w:ascii="Cambria" w:hAnsi="Cambria"/>
          <w:color w:val="auto"/>
          <w:sz w:val="20"/>
          <w:szCs w:val="20"/>
          <w:lang w:val="en-GB"/>
        </w:rPr>
      </w:pPr>
      <w:r w:rsidRPr="00C371F6">
        <w:rPr>
          <w:rFonts w:ascii="Cambria" w:hAnsi="Cambria"/>
          <w:color w:val="auto"/>
          <w:sz w:val="20"/>
          <w:szCs w:val="20"/>
          <w:lang w:val="en-GB"/>
        </w:rPr>
        <w:t xml:space="preserve">Reduced direct business interruption loss (e.g., damaged industrial, commercial, and retail facilities); </w:t>
      </w:r>
    </w:p>
    <w:p w14:paraId="6A4A8D33" w14:textId="77777777" w:rsidR="00D6793D" w:rsidRPr="00C371F6" w:rsidRDefault="00D6793D" w:rsidP="00D6793D">
      <w:pPr>
        <w:pStyle w:val="BBL"/>
        <w:numPr>
          <w:ilvl w:val="0"/>
          <w:numId w:val="18"/>
        </w:numPr>
        <w:spacing w:line="240" w:lineRule="auto"/>
        <w:jc w:val="both"/>
        <w:rPr>
          <w:rFonts w:ascii="Cambria" w:hAnsi="Cambria"/>
          <w:color w:val="auto"/>
          <w:sz w:val="20"/>
          <w:szCs w:val="20"/>
          <w:lang w:val="en-GB"/>
        </w:rPr>
      </w:pPr>
      <w:r w:rsidRPr="00C371F6">
        <w:rPr>
          <w:rFonts w:ascii="Cambria" w:hAnsi="Cambria"/>
          <w:color w:val="auto"/>
          <w:sz w:val="20"/>
          <w:szCs w:val="20"/>
          <w:lang w:val="en-GB"/>
        </w:rPr>
        <w:t xml:space="preserve">Reduced indirect business interruption loss (e.g., ordinary economic ripple effects); </w:t>
      </w:r>
    </w:p>
    <w:p w14:paraId="4917C6A7" w14:textId="77777777" w:rsidR="00D6793D" w:rsidRPr="00C371F6" w:rsidRDefault="00D6793D" w:rsidP="00D6793D">
      <w:pPr>
        <w:pStyle w:val="BBL"/>
        <w:numPr>
          <w:ilvl w:val="0"/>
          <w:numId w:val="18"/>
        </w:numPr>
        <w:spacing w:line="240" w:lineRule="auto"/>
        <w:jc w:val="both"/>
        <w:rPr>
          <w:rFonts w:ascii="Cambria" w:hAnsi="Cambria"/>
          <w:color w:val="auto"/>
          <w:sz w:val="20"/>
          <w:szCs w:val="20"/>
          <w:lang w:val="en-GB"/>
        </w:rPr>
      </w:pPr>
      <w:r w:rsidRPr="00C371F6">
        <w:rPr>
          <w:rFonts w:ascii="Cambria" w:hAnsi="Cambria"/>
          <w:color w:val="auto"/>
          <w:sz w:val="20"/>
          <w:szCs w:val="20"/>
          <w:lang w:val="en-GB"/>
        </w:rPr>
        <w:t xml:space="preserve">Reduced (nonmarket) environmental damage (e.g., wetlands, parks, wildlife); </w:t>
      </w:r>
    </w:p>
    <w:p w14:paraId="302CC870" w14:textId="77777777" w:rsidR="00D6793D" w:rsidRPr="00C371F6" w:rsidRDefault="00D6793D" w:rsidP="00D6793D">
      <w:pPr>
        <w:pStyle w:val="BBL"/>
        <w:numPr>
          <w:ilvl w:val="0"/>
          <w:numId w:val="18"/>
        </w:numPr>
        <w:spacing w:line="240" w:lineRule="auto"/>
        <w:jc w:val="both"/>
        <w:rPr>
          <w:rFonts w:ascii="Cambria" w:hAnsi="Cambria"/>
          <w:color w:val="auto"/>
          <w:sz w:val="20"/>
          <w:szCs w:val="20"/>
          <w:lang w:val="en-GB"/>
        </w:rPr>
      </w:pPr>
      <w:r w:rsidRPr="00C371F6">
        <w:rPr>
          <w:rFonts w:ascii="Cambria" w:hAnsi="Cambria"/>
          <w:color w:val="auto"/>
          <w:sz w:val="20"/>
          <w:szCs w:val="20"/>
          <w:lang w:val="en-GB"/>
        </w:rPr>
        <w:t xml:space="preserve">Reduced other nonmarket damage (e.g., historic sites); </w:t>
      </w:r>
    </w:p>
    <w:p w14:paraId="41124D60" w14:textId="77777777" w:rsidR="00D6793D" w:rsidRPr="00C371F6" w:rsidRDefault="00D6793D" w:rsidP="00D6793D">
      <w:pPr>
        <w:pStyle w:val="BBL"/>
        <w:numPr>
          <w:ilvl w:val="0"/>
          <w:numId w:val="18"/>
        </w:numPr>
        <w:spacing w:line="240" w:lineRule="auto"/>
        <w:jc w:val="both"/>
        <w:rPr>
          <w:rFonts w:ascii="Cambria" w:hAnsi="Cambria"/>
          <w:color w:val="auto"/>
          <w:sz w:val="20"/>
          <w:szCs w:val="20"/>
          <w:lang w:val="en-GB"/>
        </w:rPr>
      </w:pPr>
      <w:r w:rsidRPr="00C371F6">
        <w:rPr>
          <w:rFonts w:ascii="Cambria" w:hAnsi="Cambria"/>
          <w:color w:val="auto"/>
          <w:sz w:val="20"/>
          <w:szCs w:val="20"/>
          <w:lang w:val="en-GB"/>
        </w:rPr>
        <w:t xml:space="preserve">Reduced societal losses (casualties, homelessness); and </w:t>
      </w:r>
    </w:p>
    <w:p w14:paraId="762F29CC" w14:textId="77777777" w:rsidR="00D6793D" w:rsidRPr="00C371F6" w:rsidRDefault="00D6793D" w:rsidP="00D6793D">
      <w:pPr>
        <w:pStyle w:val="BBL"/>
        <w:numPr>
          <w:ilvl w:val="0"/>
          <w:numId w:val="18"/>
        </w:numPr>
        <w:spacing w:line="240" w:lineRule="auto"/>
        <w:jc w:val="both"/>
        <w:rPr>
          <w:rFonts w:ascii="Cambria" w:hAnsi="Cambria"/>
          <w:color w:val="auto"/>
          <w:sz w:val="20"/>
          <w:szCs w:val="20"/>
          <w:lang w:val="en-GB"/>
        </w:rPr>
      </w:pPr>
      <w:r w:rsidRPr="00C371F6">
        <w:rPr>
          <w:rFonts w:ascii="Cambria" w:hAnsi="Cambria"/>
          <w:color w:val="auto"/>
          <w:sz w:val="20"/>
          <w:szCs w:val="20"/>
          <w:lang w:val="en-GB"/>
        </w:rPr>
        <w:t>Reduced need for emergency response (e.g., ambulance service, fire protection).</w:t>
      </w:r>
    </w:p>
    <w:p w14:paraId="0A6373B8" w14:textId="77777777" w:rsidR="00D6793D" w:rsidRPr="00C371F6" w:rsidRDefault="00D6793D" w:rsidP="00D6793D">
      <w:pPr>
        <w:pStyle w:val="BBL"/>
        <w:spacing w:line="240" w:lineRule="auto"/>
        <w:ind w:left="360" w:firstLine="0"/>
        <w:jc w:val="both"/>
        <w:rPr>
          <w:rFonts w:ascii="Cambria" w:hAnsi="Cambria"/>
          <w:color w:val="auto"/>
          <w:sz w:val="20"/>
          <w:szCs w:val="20"/>
          <w:lang w:val="en-GB"/>
        </w:rPr>
      </w:pPr>
      <w:r w:rsidRPr="00C371F6">
        <w:rPr>
          <w:rFonts w:ascii="Cambria" w:hAnsi="Cambria"/>
          <w:color w:val="auto"/>
          <w:sz w:val="20"/>
          <w:szCs w:val="20"/>
          <w:lang w:val="en-GB"/>
        </w:rPr>
        <w:t xml:space="preserve">An estimate for the sample of 357 grants was scaled up  leading to a total discounted present value of $14 billion in terms of societal benefits, which overall would mean a B/C ratio of about  4. There is important variation across hazard, interventions and locations. Importantly, work funded by these grants was divided into projects building </w:t>
      </w:r>
      <w:r w:rsidRPr="00C371F6">
        <w:rPr>
          <w:rFonts w:ascii="Cambria" w:hAnsi="Cambria"/>
          <w:i/>
          <w:color w:val="auto"/>
          <w:sz w:val="20"/>
          <w:szCs w:val="20"/>
          <w:lang w:val="en-GB"/>
        </w:rPr>
        <w:t>hard resilience</w:t>
      </w:r>
      <w:r w:rsidRPr="00C371F6">
        <w:rPr>
          <w:rFonts w:ascii="Cambria" w:hAnsi="Cambria"/>
          <w:color w:val="auto"/>
          <w:sz w:val="20"/>
          <w:szCs w:val="20"/>
          <w:lang w:val="en-GB"/>
        </w:rPr>
        <w:t xml:space="preserve"> (hazard-proofing or relocating buildings, lifelines and infrastructures, improving drainage systems and land conditions), as well as process-based activities leading to stimulating  </w:t>
      </w:r>
      <w:r w:rsidRPr="00C371F6">
        <w:rPr>
          <w:rFonts w:ascii="Cambria" w:hAnsi="Cambria"/>
          <w:i/>
          <w:color w:val="auto"/>
          <w:sz w:val="20"/>
          <w:szCs w:val="20"/>
          <w:lang w:val="en-GB"/>
        </w:rPr>
        <w:t>soft resilience</w:t>
      </w:r>
      <w:r w:rsidRPr="00C371F6">
        <w:rPr>
          <w:rFonts w:ascii="Cambria" w:hAnsi="Cambria"/>
          <w:color w:val="auto"/>
          <w:sz w:val="20"/>
          <w:szCs w:val="20"/>
          <w:lang w:val="en-GB"/>
        </w:rPr>
        <w:t xml:space="preserve"> by means of hazards, vulnerability, and risk assessments, planning, raising awareness and strengthening institutions.</w:t>
      </w:r>
    </w:p>
    <w:p w14:paraId="065C9585" w14:textId="77777777" w:rsidR="009742F7" w:rsidRPr="00C371F6" w:rsidRDefault="009742F7" w:rsidP="00D6793D">
      <w:pPr>
        <w:pStyle w:val="BBL"/>
        <w:spacing w:line="240" w:lineRule="auto"/>
        <w:ind w:left="360" w:firstLine="0"/>
        <w:jc w:val="both"/>
        <w:rPr>
          <w:rFonts w:ascii="Cambria" w:hAnsi="Cambria"/>
          <w:color w:val="auto"/>
          <w:sz w:val="20"/>
          <w:szCs w:val="20"/>
          <w:lang w:val="en-GB"/>
        </w:rPr>
      </w:pPr>
    </w:p>
    <w:p w14:paraId="245B1005" w14:textId="77777777" w:rsidR="00D6793D" w:rsidRPr="00C371F6" w:rsidRDefault="00D6793D" w:rsidP="00D6793D">
      <w:pPr>
        <w:widowControl w:val="0"/>
        <w:autoSpaceDE w:val="0"/>
        <w:autoSpaceDN w:val="0"/>
        <w:adjustRightInd w:val="0"/>
        <w:ind w:firstLine="720"/>
        <w:rPr>
          <w:rFonts w:ascii="Cambria" w:eastAsia="Calibri" w:hAnsi="Cambria"/>
          <w:bCs w:val="0"/>
          <w:sz w:val="20"/>
          <w:szCs w:val="20"/>
        </w:rPr>
      </w:pPr>
      <w:r w:rsidRPr="00C371F6">
        <w:rPr>
          <w:rFonts w:ascii="Cambria" w:eastAsia="Calibri" w:hAnsi="Cambria"/>
          <w:bCs w:val="0"/>
          <w:sz w:val="20"/>
          <w:szCs w:val="20"/>
        </w:rPr>
        <w:t>Table: Summary results of the MMC (2005) study</w:t>
      </w:r>
    </w:p>
    <w:tbl>
      <w:tblPr>
        <w:tblStyle w:val="LightList-Accent1"/>
        <w:tblW w:w="7830" w:type="dxa"/>
        <w:tblInd w:w="720" w:type="dxa"/>
        <w:tblLook w:val="04A0" w:firstRow="1" w:lastRow="0" w:firstColumn="1" w:lastColumn="0" w:noHBand="0" w:noVBand="1"/>
      </w:tblPr>
      <w:tblGrid>
        <w:gridCol w:w="1309"/>
        <w:gridCol w:w="1783"/>
        <w:gridCol w:w="1343"/>
        <w:gridCol w:w="1608"/>
        <w:gridCol w:w="1787"/>
      </w:tblGrid>
      <w:tr w:rsidR="00D6793D" w:rsidRPr="00C371F6" w14:paraId="4611DAAF" w14:textId="77777777" w:rsidTr="00F73DD9">
        <w:trPr>
          <w:cnfStyle w:val="100000000000" w:firstRow="1" w:lastRow="0" w:firstColumn="0" w:lastColumn="0" w:oddVBand="0" w:evenVBand="0" w:oddHBand="0"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1309" w:type="dxa"/>
            <w:hideMark/>
          </w:tcPr>
          <w:p w14:paraId="54824FCE" w14:textId="77777777" w:rsidR="00D6793D" w:rsidRPr="00C371F6" w:rsidRDefault="00D6793D" w:rsidP="00F73DD9">
            <w:pPr>
              <w:keepNext/>
              <w:keepLines/>
              <w:outlineLvl w:val="7"/>
              <w:rPr>
                <w:rFonts w:ascii="Cambria" w:eastAsia="Calibri" w:hAnsi="Cambria"/>
                <w:b w:val="0"/>
                <w:color w:val="auto"/>
                <w:sz w:val="20"/>
                <w:szCs w:val="20"/>
              </w:rPr>
            </w:pPr>
            <w:r w:rsidRPr="00C371F6">
              <w:rPr>
                <w:rFonts w:ascii="Cambria" w:eastAsia="Calibri" w:hAnsi="Cambria"/>
                <w:b w:val="0"/>
                <w:color w:val="auto"/>
                <w:sz w:val="20"/>
                <w:szCs w:val="20"/>
              </w:rPr>
              <w:t xml:space="preserve">Hazard </w:t>
            </w:r>
          </w:p>
        </w:tc>
        <w:tc>
          <w:tcPr>
            <w:tcW w:w="1783" w:type="dxa"/>
            <w:hideMark/>
          </w:tcPr>
          <w:p w14:paraId="263C7053" w14:textId="77777777" w:rsidR="00D6793D" w:rsidRPr="00C371F6" w:rsidRDefault="00D6793D" w:rsidP="00F73DD9">
            <w:pPr>
              <w:keepNext/>
              <w:keepLines/>
              <w:jc w:val="center"/>
              <w:outlineLvl w:val="7"/>
              <w:cnfStyle w:val="100000000000" w:firstRow="1" w:lastRow="0" w:firstColumn="0" w:lastColumn="0" w:oddVBand="0" w:evenVBand="0" w:oddHBand="0" w:evenHBand="0" w:firstRowFirstColumn="0" w:firstRowLastColumn="0" w:lastRowFirstColumn="0" w:lastRowLastColumn="0"/>
              <w:rPr>
                <w:rFonts w:ascii="Cambria" w:eastAsia="Calibri" w:hAnsi="Cambria"/>
                <w:b w:val="0"/>
                <w:color w:val="auto"/>
                <w:sz w:val="20"/>
                <w:szCs w:val="20"/>
              </w:rPr>
            </w:pPr>
            <w:r w:rsidRPr="00C371F6">
              <w:rPr>
                <w:rFonts w:ascii="Cambria" w:eastAsia="Calibri" w:hAnsi="Cambria"/>
                <w:b w:val="0"/>
                <w:color w:val="auto"/>
                <w:sz w:val="20"/>
                <w:szCs w:val="20"/>
              </w:rPr>
              <w:t xml:space="preserve">Average B/C Ratio </w:t>
            </w:r>
          </w:p>
        </w:tc>
        <w:tc>
          <w:tcPr>
            <w:tcW w:w="1343" w:type="dxa"/>
            <w:hideMark/>
          </w:tcPr>
          <w:p w14:paraId="77ADD580" w14:textId="77777777" w:rsidR="00D6793D" w:rsidRPr="00C371F6" w:rsidRDefault="00D6793D" w:rsidP="00F73DD9">
            <w:pPr>
              <w:keepNext/>
              <w:keepLines/>
              <w:jc w:val="center"/>
              <w:outlineLvl w:val="7"/>
              <w:cnfStyle w:val="100000000000" w:firstRow="1" w:lastRow="0" w:firstColumn="0" w:lastColumn="0" w:oddVBand="0" w:evenVBand="0" w:oddHBand="0" w:evenHBand="0" w:firstRowFirstColumn="0" w:firstRowLastColumn="0" w:lastRowFirstColumn="0" w:lastRowLastColumn="0"/>
              <w:rPr>
                <w:rFonts w:ascii="Cambria" w:eastAsia="Calibri" w:hAnsi="Cambria"/>
                <w:b w:val="0"/>
                <w:color w:val="auto"/>
                <w:sz w:val="20"/>
                <w:szCs w:val="20"/>
              </w:rPr>
            </w:pPr>
            <w:r w:rsidRPr="00C371F6">
              <w:rPr>
                <w:rFonts w:ascii="Cambria" w:eastAsia="Calibri" w:hAnsi="Cambria"/>
                <w:b w:val="0"/>
                <w:color w:val="auto"/>
                <w:sz w:val="20"/>
                <w:szCs w:val="20"/>
              </w:rPr>
              <w:t>Average B/C Ratio Project</w:t>
            </w:r>
          </w:p>
        </w:tc>
        <w:tc>
          <w:tcPr>
            <w:tcW w:w="1608" w:type="dxa"/>
            <w:hideMark/>
          </w:tcPr>
          <w:p w14:paraId="62E475ED" w14:textId="77777777" w:rsidR="00D6793D" w:rsidRPr="00C371F6" w:rsidRDefault="00D6793D" w:rsidP="00F73DD9">
            <w:pPr>
              <w:keepNext/>
              <w:keepLines/>
              <w:jc w:val="center"/>
              <w:outlineLvl w:val="7"/>
              <w:cnfStyle w:val="100000000000" w:firstRow="1" w:lastRow="0" w:firstColumn="0" w:lastColumn="0" w:oddVBand="0" w:evenVBand="0" w:oddHBand="0" w:evenHBand="0" w:firstRowFirstColumn="0" w:firstRowLastColumn="0" w:lastRowFirstColumn="0" w:lastRowLastColumn="0"/>
              <w:rPr>
                <w:rFonts w:ascii="Cambria" w:eastAsia="Calibri" w:hAnsi="Cambria"/>
                <w:b w:val="0"/>
                <w:color w:val="auto"/>
                <w:sz w:val="20"/>
                <w:szCs w:val="20"/>
              </w:rPr>
            </w:pPr>
            <w:r w:rsidRPr="00C371F6">
              <w:rPr>
                <w:rFonts w:ascii="Cambria" w:eastAsia="Calibri" w:hAnsi="Cambria"/>
                <w:b w:val="0"/>
                <w:color w:val="auto"/>
                <w:sz w:val="20"/>
                <w:szCs w:val="20"/>
              </w:rPr>
              <w:t>Average B/C Ratio Process</w:t>
            </w:r>
          </w:p>
        </w:tc>
        <w:tc>
          <w:tcPr>
            <w:tcW w:w="1787" w:type="dxa"/>
          </w:tcPr>
          <w:p w14:paraId="718CEA9F" w14:textId="77777777" w:rsidR="00D6793D" w:rsidRPr="00C371F6" w:rsidRDefault="00D6793D" w:rsidP="00F73DD9">
            <w:pPr>
              <w:keepNext/>
              <w:keepLines/>
              <w:jc w:val="center"/>
              <w:outlineLvl w:val="7"/>
              <w:cnfStyle w:val="100000000000" w:firstRow="1" w:lastRow="0" w:firstColumn="0" w:lastColumn="0" w:oddVBand="0" w:evenVBand="0" w:oddHBand="0" w:evenHBand="0" w:firstRowFirstColumn="0" w:firstRowLastColumn="0" w:lastRowFirstColumn="0" w:lastRowLastColumn="0"/>
              <w:rPr>
                <w:rFonts w:ascii="Cambria" w:eastAsia="Calibri" w:hAnsi="Cambria"/>
                <w:b w:val="0"/>
                <w:color w:val="auto"/>
                <w:sz w:val="20"/>
                <w:szCs w:val="20"/>
              </w:rPr>
            </w:pPr>
            <w:r w:rsidRPr="00C371F6">
              <w:rPr>
                <w:rFonts w:ascii="Cambria" w:eastAsia="Calibri" w:hAnsi="Cambria"/>
                <w:b w:val="0"/>
                <w:color w:val="auto"/>
                <w:sz w:val="20"/>
                <w:szCs w:val="20"/>
              </w:rPr>
              <w:t>Range of estimates overall</w:t>
            </w:r>
          </w:p>
        </w:tc>
      </w:tr>
      <w:tr w:rsidR="00D6793D" w:rsidRPr="00C371F6" w14:paraId="59A46CE9" w14:textId="77777777" w:rsidTr="00F73DD9">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309" w:type="dxa"/>
            <w:hideMark/>
          </w:tcPr>
          <w:p w14:paraId="35FF4E68" w14:textId="77777777" w:rsidR="00D6793D" w:rsidRPr="00C371F6" w:rsidRDefault="00D6793D" w:rsidP="00F73DD9">
            <w:pPr>
              <w:keepNext/>
              <w:keepLines/>
              <w:outlineLvl w:val="7"/>
              <w:rPr>
                <w:rFonts w:ascii="Cambria" w:eastAsia="Calibri" w:hAnsi="Cambria"/>
                <w:b w:val="0"/>
                <w:sz w:val="20"/>
                <w:szCs w:val="20"/>
              </w:rPr>
            </w:pPr>
            <w:r w:rsidRPr="00C371F6">
              <w:rPr>
                <w:rFonts w:ascii="Cambria" w:eastAsia="Calibri" w:hAnsi="Cambria"/>
                <w:b w:val="0"/>
                <w:sz w:val="20"/>
                <w:szCs w:val="20"/>
              </w:rPr>
              <w:t xml:space="preserve">Earthquake </w:t>
            </w:r>
          </w:p>
        </w:tc>
        <w:tc>
          <w:tcPr>
            <w:tcW w:w="1783" w:type="dxa"/>
            <w:hideMark/>
          </w:tcPr>
          <w:p w14:paraId="1E6FB5AA" w14:textId="77777777" w:rsidR="00D6793D" w:rsidRPr="00C371F6" w:rsidRDefault="00D6793D" w:rsidP="00F73DD9">
            <w:pPr>
              <w:keepNext/>
              <w:keepLines/>
              <w:jc w:val="center"/>
              <w:outlineLvl w:val="7"/>
              <w:cnfStyle w:val="000000100000" w:firstRow="0" w:lastRow="0" w:firstColumn="0" w:lastColumn="0" w:oddVBand="0" w:evenVBand="0" w:oddHBand="1" w:evenHBand="0" w:firstRowFirstColumn="0" w:firstRowLastColumn="0" w:lastRowFirstColumn="0" w:lastRowLastColumn="0"/>
              <w:rPr>
                <w:rFonts w:ascii="Cambria" w:eastAsia="Calibri" w:hAnsi="Cambria"/>
                <w:bCs w:val="0"/>
                <w:sz w:val="20"/>
                <w:szCs w:val="20"/>
              </w:rPr>
            </w:pPr>
            <w:r w:rsidRPr="00C371F6">
              <w:rPr>
                <w:rFonts w:ascii="Cambria" w:eastAsia="Calibri" w:hAnsi="Cambria"/>
                <w:bCs w:val="0"/>
                <w:sz w:val="20"/>
                <w:szCs w:val="20"/>
              </w:rPr>
              <w:t>1.5</w:t>
            </w:r>
          </w:p>
        </w:tc>
        <w:tc>
          <w:tcPr>
            <w:tcW w:w="1343" w:type="dxa"/>
            <w:hideMark/>
          </w:tcPr>
          <w:p w14:paraId="3E98F1FB" w14:textId="77777777" w:rsidR="00D6793D" w:rsidRPr="00C371F6" w:rsidRDefault="00D6793D" w:rsidP="00F73DD9">
            <w:pPr>
              <w:keepNext/>
              <w:keepLines/>
              <w:jc w:val="center"/>
              <w:outlineLvl w:val="7"/>
              <w:cnfStyle w:val="000000100000" w:firstRow="0" w:lastRow="0" w:firstColumn="0" w:lastColumn="0" w:oddVBand="0" w:evenVBand="0" w:oddHBand="1" w:evenHBand="0" w:firstRowFirstColumn="0" w:firstRowLastColumn="0" w:lastRowFirstColumn="0" w:lastRowLastColumn="0"/>
              <w:rPr>
                <w:rFonts w:ascii="Cambria" w:eastAsia="Calibri" w:hAnsi="Cambria"/>
                <w:bCs w:val="0"/>
                <w:sz w:val="20"/>
                <w:szCs w:val="20"/>
              </w:rPr>
            </w:pPr>
            <w:r w:rsidRPr="00C371F6">
              <w:rPr>
                <w:rFonts w:ascii="Cambria" w:eastAsia="Calibri" w:hAnsi="Cambria"/>
                <w:bCs w:val="0"/>
                <w:sz w:val="20"/>
                <w:szCs w:val="20"/>
              </w:rPr>
              <w:t>1.4</w:t>
            </w:r>
          </w:p>
        </w:tc>
        <w:tc>
          <w:tcPr>
            <w:tcW w:w="1608" w:type="dxa"/>
            <w:hideMark/>
          </w:tcPr>
          <w:p w14:paraId="0C87FF02" w14:textId="77777777" w:rsidR="00D6793D" w:rsidRPr="00C371F6" w:rsidRDefault="00D6793D" w:rsidP="00F73DD9">
            <w:pPr>
              <w:keepNext/>
              <w:keepLines/>
              <w:jc w:val="center"/>
              <w:outlineLvl w:val="7"/>
              <w:cnfStyle w:val="000000100000" w:firstRow="0" w:lastRow="0" w:firstColumn="0" w:lastColumn="0" w:oddVBand="0" w:evenVBand="0" w:oddHBand="1" w:evenHBand="0" w:firstRowFirstColumn="0" w:firstRowLastColumn="0" w:lastRowFirstColumn="0" w:lastRowLastColumn="0"/>
              <w:rPr>
                <w:rFonts w:ascii="Cambria" w:eastAsia="Calibri" w:hAnsi="Cambria"/>
                <w:bCs w:val="0"/>
                <w:sz w:val="20"/>
                <w:szCs w:val="20"/>
              </w:rPr>
            </w:pPr>
            <w:r w:rsidRPr="00C371F6">
              <w:rPr>
                <w:rFonts w:ascii="Cambria" w:eastAsia="Calibri" w:hAnsi="Cambria"/>
                <w:bCs w:val="0"/>
                <w:sz w:val="20"/>
                <w:szCs w:val="20"/>
              </w:rPr>
              <w:t>2.5</w:t>
            </w:r>
          </w:p>
        </w:tc>
        <w:tc>
          <w:tcPr>
            <w:tcW w:w="1787" w:type="dxa"/>
          </w:tcPr>
          <w:p w14:paraId="584E9484" w14:textId="77777777" w:rsidR="00D6793D" w:rsidRPr="00C371F6" w:rsidRDefault="00D6793D" w:rsidP="00F73DD9">
            <w:pPr>
              <w:keepNext/>
              <w:keepLines/>
              <w:jc w:val="center"/>
              <w:outlineLvl w:val="7"/>
              <w:cnfStyle w:val="000000100000" w:firstRow="0" w:lastRow="0" w:firstColumn="0" w:lastColumn="0" w:oddVBand="0" w:evenVBand="0" w:oddHBand="1" w:evenHBand="0" w:firstRowFirstColumn="0" w:firstRowLastColumn="0" w:lastRowFirstColumn="0" w:lastRowLastColumn="0"/>
              <w:rPr>
                <w:rFonts w:ascii="Cambria" w:eastAsia="Calibri" w:hAnsi="Cambria"/>
                <w:bCs w:val="0"/>
                <w:sz w:val="20"/>
                <w:szCs w:val="20"/>
              </w:rPr>
            </w:pPr>
            <w:r w:rsidRPr="00C371F6">
              <w:rPr>
                <w:rFonts w:ascii="Cambria" w:eastAsia="Calibri" w:hAnsi="Cambria"/>
                <w:bCs w:val="0"/>
                <w:sz w:val="20"/>
                <w:szCs w:val="20"/>
              </w:rPr>
              <w:t>0-4.0</w:t>
            </w:r>
          </w:p>
        </w:tc>
      </w:tr>
      <w:tr w:rsidR="00D6793D" w:rsidRPr="00C371F6" w14:paraId="4106A1A2" w14:textId="77777777" w:rsidTr="00F73DD9">
        <w:trPr>
          <w:trHeight w:val="430"/>
        </w:trPr>
        <w:tc>
          <w:tcPr>
            <w:cnfStyle w:val="001000000000" w:firstRow="0" w:lastRow="0" w:firstColumn="1" w:lastColumn="0" w:oddVBand="0" w:evenVBand="0" w:oddHBand="0" w:evenHBand="0" w:firstRowFirstColumn="0" w:firstRowLastColumn="0" w:lastRowFirstColumn="0" w:lastRowLastColumn="0"/>
            <w:tcW w:w="1309" w:type="dxa"/>
            <w:hideMark/>
          </w:tcPr>
          <w:p w14:paraId="13F30223" w14:textId="77777777" w:rsidR="00D6793D" w:rsidRPr="00C371F6" w:rsidRDefault="00D6793D" w:rsidP="00F73DD9">
            <w:pPr>
              <w:keepNext/>
              <w:keepLines/>
              <w:outlineLvl w:val="7"/>
              <w:rPr>
                <w:rFonts w:ascii="Cambria" w:eastAsia="Calibri" w:hAnsi="Cambria"/>
                <w:b w:val="0"/>
                <w:sz w:val="20"/>
                <w:szCs w:val="20"/>
              </w:rPr>
            </w:pPr>
            <w:r w:rsidRPr="00C371F6">
              <w:rPr>
                <w:rFonts w:ascii="Cambria" w:eastAsia="Calibri" w:hAnsi="Cambria"/>
                <w:b w:val="0"/>
                <w:sz w:val="20"/>
                <w:szCs w:val="20"/>
              </w:rPr>
              <w:t xml:space="preserve">Wind </w:t>
            </w:r>
          </w:p>
        </w:tc>
        <w:tc>
          <w:tcPr>
            <w:tcW w:w="1783" w:type="dxa"/>
            <w:hideMark/>
          </w:tcPr>
          <w:p w14:paraId="6CA5A3DF" w14:textId="77777777" w:rsidR="00D6793D" w:rsidRPr="00C371F6" w:rsidRDefault="00D6793D" w:rsidP="00F73DD9">
            <w:pPr>
              <w:keepNext/>
              <w:keepLines/>
              <w:jc w:val="center"/>
              <w:outlineLvl w:val="7"/>
              <w:cnfStyle w:val="000000000000" w:firstRow="0" w:lastRow="0" w:firstColumn="0" w:lastColumn="0" w:oddVBand="0" w:evenVBand="0" w:oddHBand="0" w:evenHBand="0" w:firstRowFirstColumn="0" w:firstRowLastColumn="0" w:lastRowFirstColumn="0" w:lastRowLastColumn="0"/>
              <w:rPr>
                <w:rFonts w:ascii="Cambria" w:eastAsia="Calibri" w:hAnsi="Cambria"/>
                <w:bCs w:val="0"/>
                <w:sz w:val="20"/>
                <w:szCs w:val="20"/>
              </w:rPr>
            </w:pPr>
            <w:r w:rsidRPr="00C371F6">
              <w:rPr>
                <w:rFonts w:ascii="Cambria" w:eastAsia="Calibri" w:hAnsi="Cambria"/>
                <w:bCs w:val="0"/>
                <w:sz w:val="20"/>
                <w:szCs w:val="20"/>
              </w:rPr>
              <w:t>3.9</w:t>
            </w:r>
          </w:p>
        </w:tc>
        <w:tc>
          <w:tcPr>
            <w:tcW w:w="1343" w:type="dxa"/>
            <w:hideMark/>
          </w:tcPr>
          <w:p w14:paraId="298C93D4" w14:textId="77777777" w:rsidR="00D6793D" w:rsidRPr="00C371F6" w:rsidRDefault="00D6793D" w:rsidP="00F73DD9">
            <w:pPr>
              <w:keepNext/>
              <w:keepLines/>
              <w:jc w:val="center"/>
              <w:outlineLvl w:val="7"/>
              <w:cnfStyle w:val="000000000000" w:firstRow="0" w:lastRow="0" w:firstColumn="0" w:lastColumn="0" w:oddVBand="0" w:evenVBand="0" w:oddHBand="0" w:evenHBand="0" w:firstRowFirstColumn="0" w:firstRowLastColumn="0" w:lastRowFirstColumn="0" w:lastRowLastColumn="0"/>
              <w:rPr>
                <w:rFonts w:ascii="Cambria" w:eastAsia="Calibri" w:hAnsi="Cambria"/>
                <w:bCs w:val="0"/>
                <w:sz w:val="20"/>
                <w:szCs w:val="20"/>
              </w:rPr>
            </w:pPr>
            <w:r w:rsidRPr="00C371F6">
              <w:rPr>
                <w:rFonts w:ascii="Cambria" w:eastAsia="Calibri" w:hAnsi="Cambria"/>
                <w:bCs w:val="0"/>
                <w:sz w:val="20"/>
                <w:szCs w:val="20"/>
              </w:rPr>
              <w:t>4.7</w:t>
            </w:r>
          </w:p>
        </w:tc>
        <w:tc>
          <w:tcPr>
            <w:tcW w:w="1608" w:type="dxa"/>
            <w:hideMark/>
          </w:tcPr>
          <w:p w14:paraId="11100290" w14:textId="77777777" w:rsidR="00D6793D" w:rsidRPr="00C371F6" w:rsidRDefault="00D6793D" w:rsidP="00F73DD9">
            <w:pPr>
              <w:keepNext/>
              <w:keepLines/>
              <w:jc w:val="center"/>
              <w:outlineLvl w:val="7"/>
              <w:cnfStyle w:val="000000000000" w:firstRow="0" w:lastRow="0" w:firstColumn="0" w:lastColumn="0" w:oddVBand="0" w:evenVBand="0" w:oddHBand="0" w:evenHBand="0" w:firstRowFirstColumn="0" w:firstRowLastColumn="0" w:lastRowFirstColumn="0" w:lastRowLastColumn="0"/>
              <w:rPr>
                <w:rFonts w:ascii="Cambria" w:eastAsia="Calibri" w:hAnsi="Cambria"/>
                <w:bCs w:val="0"/>
                <w:sz w:val="20"/>
                <w:szCs w:val="20"/>
              </w:rPr>
            </w:pPr>
            <w:r w:rsidRPr="00C371F6">
              <w:rPr>
                <w:rFonts w:ascii="Cambria" w:eastAsia="Calibri" w:hAnsi="Cambria"/>
                <w:bCs w:val="0"/>
                <w:sz w:val="20"/>
                <w:szCs w:val="20"/>
              </w:rPr>
              <w:t>1.7</w:t>
            </w:r>
          </w:p>
        </w:tc>
        <w:tc>
          <w:tcPr>
            <w:tcW w:w="1787" w:type="dxa"/>
          </w:tcPr>
          <w:p w14:paraId="2E3EF9EC" w14:textId="77777777" w:rsidR="00D6793D" w:rsidRPr="00C371F6" w:rsidRDefault="00D6793D" w:rsidP="00F73DD9">
            <w:pPr>
              <w:keepNext/>
              <w:keepLines/>
              <w:jc w:val="center"/>
              <w:outlineLvl w:val="7"/>
              <w:cnfStyle w:val="000000000000" w:firstRow="0" w:lastRow="0" w:firstColumn="0" w:lastColumn="0" w:oddVBand="0" w:evenVBand="0" w:oddHBand="0" w:evenHBand="0" w:firstRowFirstColumn="0" w:firstRowLastColumn="0" w:lastRowFirstColumn="0" w:lastRowLastColumn="0"/>
              <w:rPr>
                <w:rFonts w:ascii="Cambria" w:eastAsia="Calibri" w:hAnsi="Cambria"/>
                <w:bCs w:val="0"/>
                <w:sz w:val="20"/>
                <w:szCs w:val="20"/>
              </w:rPr>
            </w:pPr>
            <w:r w:rsidRPr="00C371F6">
              <w:rPr>
                <w:rFonts w:ascii="Cambria" w:eastAsia="Calibri" w:hAnsi="Cambria"/>
                <w:bCs w:val="0"/>
                <w:sz w:val="20"/>
                <w:szCs w:val="20"/>
              </w:rPr>
              <w:t>0.05-50</w:t>
            </w:r>
          </w:p>
        </w:tc>
      </w:tr>
      <w:tr w:rsidR="00D6793D" w:rsidRPr="00C371F6" w14:paraId="0C3ABC0E" w14:textId="77777777" w:rsidTr="00F73DD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309" w:type="dxa"/>
            <w:hideMark/>
          </w:tcPr>
          <w:p w14:paraId="3673A7F5" w14:textId="77777777" w:rsidR="00D6793D" w:rsidRPr="00C371F6" w:rsidRDefault="00D6793D" w:rsidP="00F73DD9">
            <w:pPr>
              <w:keepNext/>
              <w:keepLines/>
              <w:outlineLvl w:val="7"/>
              <w:rPr>
                <w:rFonts w:ascii="Cambria" w:eastAsia="Calibri" w:hAnsi="Cambria"/>
                <w:b w:val="0"/>
                <w:sz w:val="20"/>
                <w:szCs w:val="20"/>
              </w:rPr>
            </w:pPr>
            <w:r w:rsidRPr="00C371F6">
              <w:rPr>
                <w:rFonts w:ascii="Cambria" w:eastAsia="Calibri" w:hAnsi="Cambria"/>
                <w:b w:val="0"/>
                <w:sz w:val="20"/>
                <w:szCs w:val="20"/>
              </w:rPr>
              <w:t xml:space="preserve">Flood </w:t>
            </w:r>
          </w:p>
        </w:tc>
        <w:tc>
          <w:tcPr>
            <w:tcW w:w="1783" w:type="dxa"/>
            <w:hideMark/>
          </w:tcPr>
          <w:p w14:paraId="0DFF2F42" w14:textId="77777777" w:rsidR="00D6793D" w:rsidRPr="00C371F6" w:rsidRDefault="00D6793D" w:rsidP="00F73DD9">
            <w:pPr>
              <w:keepNext/>
              <w:keepLines/>
              <w:jc w:val="center"/>
              <w:outlineLvl w:val="7"/>
              <w:cnfStyle w:val="000000100000" w:firstRow="0" w:lastRow="0" w:firstColumn="0" w:lastColumn="0" w:oddVBand="0" w:evenVBand="0" w:oddHBand="1" w:evenHBand="0" w:firstRowFirstColumn="0" w:firstRowLastColumn="0" w:lastRowFirstColumn="0" w:lastRowLastColumn="0"/>
              <w:rPr>
                <w:rFonts w:ascii="Cambria" w:eastAsia="Calibri" w:hAnsi="Cambria"/>
                <w:bCs w:val="0"/>
                <w:sz w:val="20"/>
                <w:szCs w:val="20"/>
              </w:rPr>
            </w:pPr>
            <w:r w:rsidRPr="00C371F6">
              <w:rPr>
                <w:rFonts w:ascii="Cambria" w:eastAsia="Calibri" w:hAnsi="Cambria"/>
                <w:bCs w:val="0"/>
                <w:sz w:val="20"/>
                <w:szCs w:val="20"/>
              </w:rPr>
              <w:t>5.0</w:t>
            </w:r>
          </w:p>
        </w:tc>
        <w:tc>
          <w:tcPr>
            <w:tcW w:w="1343" w:type="dxa"/>
            <w:hideMark/>
          </w:tcPr>
          <w:p w14:paraId="11C4B4DF" w14:textId="77777777" w:rsidR="00D6793D" w:rsidRPr="00C371F6" w:rsidRDefault="00D6793D" w:rsidP="00F73DD9">
            <w:pPr>
              <w:keepNext/>
              <w:keepLines/>
              <w:jc w:val="center"/>
              <w:outlineLvl w:val="7"/>
              <w:cnfStyle w:val="000000100000" w:firstRow="0" w:lastRow="0" w:firstColumn="0" w:lastColumn="0" w:oddVBand="0" w:evenVBand="0" w:oddHBand="1" w:evenHBand="0" w:firstRowFirstColumn="0" w:firstRowLastColumn="0" w:lastRowFirstColumn="0" w:lastRowLastColumn="0"/>
              <w:rPr>
                <w:rFonts w:ascii="Cambria" w:eastAsia="Calibri" w:hAnsi="Cambria"/>
                <w:bCs w:val="0"/>
                <w:sz w:val="20"/>
                <w:szCs w:val="20"/>
              </w:rPr>
            </w:pPr>
            <w:r w:rsidRPr="00C371F6">
              <w:rPr>
                <w:rFonts w:ascii="Cambria" w:eastAsia="Calibri" w:hAnsi="Cambria"/>
                <w:bCs w:val="0"/>
                <w:sz w:val="20"/>
                <w:szCs w:val="20"/>
              </w:rPr>
              <w:t>5.1</w:t>
            </w:r>
          </w:p>
        </w:tc>
        <w:tc>
          <w:tcPr>
            <w:tcW w:w="1608" w:type="dxa"/>
            <w:hideMark/>
          </w:tcPr>
          <w:p w14:paraId="425B83D6" w14:textId="77777777" w:rsidR="00D6793D" w:rsidRPr="00C371F6" w:rsidRDefault="00D6793D" w:rsidP="00F73DD9">
            <w:pPr>
              <w:keepNext/>
              <w:keepLines/>
              <w:jc w:val="center"/>
              <w:outlineLvl w:val="7"/>
              <w:cnfStyle w:val="000000100000" w:firstRow="0" w:lastRow="0" w:firstColumn="0" w:lastColumn="0" w:oddVBand="0" w:evenVBand="0" w:oddHBand="1" w:evenHBand="0" w:firstRowFirstColumn="0" w:firstRowLastColumn="0" w:lastRowFirstColumn="0" w:lastRowLastColumn="0"/>
              <w:rPr>
                <w:rFonts w:ascii="Cambria" w:eastAsia="Calibri" w:hAnsi="Cambria"/>
                <w:bCs w:val="0"/>
                <w:sz w:val="20"/>
                <w:szCs w:val="20"/>
              </w:rPr>
            </w:pPr>
            <w:r w:rsidRPr="00C371F6">
              <w:rPr>
                <w:rFonts w:ascii="Cambria" w:eastAsia="Calibri" w:hAnsi="Cambria"/>
                <w:bCs w:val="0"/>
                <w:sz w:val="20"/>
                <w:szCs w:val="20"/>
              </w:rPr>
              <w:t>1.3</w:t>
            </w:r>
          </w:p>
        </w:tc>
        <w:tc>
          <w:tcPr>
            <w:tcW w:w="1787" w:type="dxa"/>
          </w:tcPr>
          <w:p w14:paraId="4BDD84C1" w14:textId="77777777" w:rsidR="00D6793D" w:rsidRPr="00C371F6" w:rsidRDefault="00D6793D" w:rsidP="00F73DD9">
            <w:pPr>
              <w:keepNext/>
              <w:keepLines/>
              <w:jc w:val="center"/>
              <w:outlineLvl w:val="7"/>
              <w:cnfStyle w:val="000000100000" w:firstRow="0" w:lastRow="0" w:firstColumn="0" w:lastColumn="0" w:oddVBand="0" w:evenVBand="0" w:oddHBand="1" w:evenHBand="0" w:firstRowFirstColumn="0" w:firstRowLastColumn="0" w:lastRowFirstColumn="0" w:lastRowLastColumn="0"/>
              <w:rPr>
                <w:rFonts w:ascii="Cambria" w:eastAsia="Calibri" w:hAnsi="Cambria"/>
                <w:bCs w:val="0"/>
                <w:sz w:val="20"/>
                <w:szCs w:val="20"/>
              </w:rPr>
            </w:pPr>
            <w:r w:rsidRPr="00C371F6">
              <w:rPr>
                <w:rFonts w:ascii="Cambria" w:eastAsia="Calibri" w:hAnsi="Cambria"/>
                <w:bCs w:val="0"/>
                <w:sz w:val="20"/>
                <w:szCs w:val="20"/>
              </w:rPr>
              <w:t>1.3-7.6</w:t>
            </w:r>
          </w:p>
        </w:tc>
      </w:tr>
      <w:tr w:rsidR="00D6793D" w:rsidRPr="00C371F6" w14:paraId="16AE7567" w14:textId="77777777" w:rsidTr="00F73DD9">
        <w:trPr>
          <w:trHeight w:val="358"/>
        </w:trPr>
        <w:tc>
          <w:tcPr>
            <w:cnfStyle w:val="001000000000" w:firstRow="0" w:lastRow="0" w:firstColumn="1" w:lastColumn="0" w:oddVBand="0" w:evenVBand="0" w:oddHBand="0" w:evenHBand="0" w:firstRowFirstColumn="0" w:firstRowLastColumn="0" w:lastRowFirstColumn="0" w:lastRowLastColumn="0"/>
            <w:tcW w:w="1309" w:type="dxa"/>
            <w:hideMark/>
          </w:tcPr>
          <w:p w14:paraId="444D13B1" w14:textId="77777777" w:rsidR="00D6793D" w:rsidRPr="00C371F6" w:rsidRDefault="00D6793D" w:rsidP="00F73DD9">
            <w:pPr>
              <w:keepNext/>
              <w:keepLines/>
              <w:outlineLvl w:val="7"/>
              <w:rPr>
                <w:rFonts w:ascii="Cambria" w:eastAsia="Calibri" w:hAnsi="Cambria"/>
                <w:b w:val="0"/>
                <w:sz w:val="20"/>
                <w:szCs w:val="20"/>
              </w:rPr>
            </w:pPr>
            <w:r w:rsidRPr="00C371F6">
              <w:rPr>
                <w:rFonts w:ascii="Cambria" w:eastAsia="Calibri" w:hAnsi="Cambria"/>
                <w:b w:val="0"/>
                <w:sz w:val="20"/>
                <w:szCs w:val="20"/>
              </w:rPr>
              <w:t xml:space="preserve">Average </w:t>
            </w:r>
          </w:p>
        </w:tc>
        <w:tc>
          <w:tcPr>
            <w:tcW w:w="1783" w:type="dxa"/>
            <w:hideMark/>
          </w:tcPr>
          <w:p w14:paraId="5BF94664" w14:textId="77777777" w:rsidR="00D6793D" w:rsidRPr="00C371F6" w:rsidRDefault="00D6793D" w:rsidP="00F73DD9">
            <w:pPr>
              <w:keepNext/>
              <w:keepLines/>
              <w:jc w:val="center"/>
              <w:outlineLvl w:val="7"/>
              <w:cnfStyle w:val="000000000000" w:firstRow="0" w:lastRow="0" w:firstColumn="0" w:lastColumn="0" w:oddVBand="0" w:evenVBand="0" w:oddHBand="0" w:evenHBand="0" w:firstRowFirstColumn="0" w:firstRowLastColumn="0" w:lastRowFirstColumn="0" w:lastRowLastColumn="0"/>
              <w:rPr>
                <w:rFonts w:ascii="Cambria" w:eastAsia="Calibri" w:hAnsi="Cambria"/>
                <w:bCs w:val="0"/>
                <w:sz w:val="20"/>
                <w:szCs w:val="20"/>
              </w:rPr>
            </w:pPr>
            <w:r w:rsidRPr="00C371F6">
              <w:rPr>
                <w:rFonts w:ascii="Cambria" w:eastAsia="Calibri" w:hAnsi="Cambria"/>
                <w:bCs w:val="0"/>
                <w:sz w:val="20"/>
                <w:szCs w:val="20"/>
              </w:rPr>
              <w:t>4.0</w:t>
            </w:r>
          </w:p>
        </w:tc>
        <w:tc>
          <w:tcPr>
            <w:tcW w:w="1343" w:type="dxa"/>
            <w:hideMark/>
          </w:tcPr>
          <w:p w14:paraId="050E430C" w14:textId="77777777" w:rsidR="00D6793D" w:rsidRPr="00C371F6" w:rsidRDefault="00D6793D" w:rsidP="00F73DD9">
            <w:pPr>
              <w:keepNext/>
              <w:keepLines/>
              <w:jc w:val="center"/>
              <w:outlineLvl w:val="7"/>
              <w:cnfStyle w:val="000000000000" w:firstRow="0" w:lastRow="0" w:firstColumn="0" w:lastColumn="0" w:oddVBand="0" w:evenVBand="0" w:oddHBand="0" w:evenHBand="0" w:firstRowFirstColumn="0" w:firstRowLastColumn="0" w:lastRowFirstColumn="0" w:lastRowLastColumn="0"/>
              <w:rPr>
                <w:rFonts w:ascii="Cambria" w:eastAsia="Calibri" w:hAnsi="Cambria"/>
                <w:bCs w:val="0"/>
                <w:sz w:val="20"/>
                <w:szCs w:val="20"/>
              </w:rPr>
            </w:pPr>
            <w:r w:rsidRPr="00C371F6">
              <w:rPr>
                <w:rFonts w:ascii="Cambria" w:eastAsia="Calibri" w:hAnsi="Cambria"/>
                <w:bCs w:val="0"/>
                <w:sz w:val="20"/>
                <w:szCs w:val="20"/>
              </w:rPr>
              <w:t> </w:t>
            </w:r>
          </w:p>
        </w:tc>
        <w:tc>
          <w:tcPr>
            <w:tcW w:w="1608" w:type="dxa"/>
            <w:hideMark/>
          </w:tcPr>
          <w:p w14:paraId="0F2ED93C" w14:textId="77777777" w:rsidR="00D6793D" w:rsidRPr="00C371F6" w:rsidRDefault="00D6793D" w:rsidP="00F73DD9">
            <w:pPr>
              <w:keepNext/>
              <w:keepLines/>
              <w:jc w:val="center"/>
              <w:outlineLvl w:val="7"/>
              <w:cnfStyle w:val="000000000000" w:firstRow="0" w:lastRow="0" w:firstColumn="0" w:lastColumn="0" w:oddVBand="0" w:evenVBand="0" w:oddHBand="0" w:evenHBand="0" w:firstRowFirstColumn="0" w:firstRowLastColumn="0" w:lastRowFirstColumn="0" w:lastRowLastColumn="0"/>
              <w:rPr>
                <w:rFonts w:ascii="Cambria" w:eastAsia="Calibri" w:hAnsi="Cambria"/>
                <w:bCs w:val="0"/>
                <w:sz w:val="20"/>
                <w:szCs w:val="20"/>
              </w:rPr>
            </w:pPr>
            <w:r w:rsidRPr="00C371F6">
              <w:rPr>
                <w:rFonts w:ascii="Cambria" w:eastAsia="Calibri" w:hAnsi="Cambria"/>
                <w:bCs w:val="0"/>
                <w:sz w:val="20"/>
                <w:szCs w:val="20"/>
              </w:rPr>
              <w:t> </w:t>
            </w:r>
          </w:p>
        </w:tc>
        <w:tc>
          <w:tcPr>
            <w:tcW w:w="1787" w:type="dxa"/>
          </w:tcPr>
          <w:p w14:paraId="13509D47" w14:textId="77777777" w:rsidR="00D6793D" w:rsidRPr="00C371F6" w:rsidRDefault="00D6793D" w:rsidP="00F73DD9">
            <w:pPr>
              <w:keepNext/>
              <w:keepLines/>
              <w:jc w:val="center"/>
              <w:outlineLvl w:val="7"/>
              <w:cnfStyle w:val="000000000000" w:firstRow="0" w:lastRow="0" w:firstColumn="0" w:lastColumn="0" w:oddVBand="0" w:evenVBand="0" w:oddHBand="0" w:evenHBand="0" w:firstRowFirstColumn="0" w:firstRowLastColumn="0" w:lastRowFirstColumn="0" w:lastRowLastColumn="0"/>
              <w:rPr>
                <w:rFonts w:ascii="Cambria" w:eastAsia="Calibri" w:hAnsi="Cambria"/>
                <w:bCs w:val="0"/>
                <w:sz w:val="20"/>
                <w:szCs w:val="20"/>
              </w:rPr>
            </w:pPr>
            <w:r w:rsidRPr="00C371F6">
              <w:rPr>
                <w:rFonts w:ascii="Cambria" w:eastAsia="Calibri" w:hAnsi="Cambria"/>
                <w:bCs w:val="0"/>
                <w:sz w:val="20"/>
                <w:szCs w:val="20"/>
              </w:rPr>
              <w:t xml:space="preserve"> </w:t>
            </w:r>
          </w:p>
        </w:tc>
      </w:tr>
    </w:tbl>
    <w:p w14:paraId="3DDAA445" w14:textId="77777777" w:rsidR="00D6793D" w:rsidRPr="00C371F6" w:rsidRDefault="00D6793D" w:rsidP="00D6793D">
      <w:pPr>
        <w:pStyle w:val="BBL"/>
        <w:spacing w:line="240" w:lineRule="auto"/>
        <w:ind w:left="360" w:firstLine="0"/>
        <w:jc w:val="both"/>
        <w:rPr>
          <w:rFonts w:ascii="Cambria" w:hAnsi="Cambria"/>
          <w:color w:val="auto"/>
          <w:sz w:val="20"/>
          <w:szCs w:val="20"/>
          <w:lang w:val="en-GB"/>
        </w:rPr>
      </w:pPr>
      <w:r w:rsidRPr="00C371F6">
        <w:rPr>
          <w:rFonts w:ascii="Cambria" w:hAnsi="Cambria"/>
          <w:color w:val="auto"/>
          <w:sz w:val="20"/>
          <w:szCs w:val="20"/>
          <w:lang w:val="en-GB"/>
        </w:rPr>
        <w:t>The study also estimated the present value of potential annual savings of the FEMA to the federal treasury alone due to an annual budget investment on these grants of $265 million to amount to $967 million, which leads to an average B/C ratio of fiscal benefits only of 3.7. In general, flood risk exhibited highest returns, as flooding is considered more frequent than wind and earthquake risk. Results were crosschecked and indicated in terms of ranges. A very few of the grants for earthquake and wind risk did actually not produce positive net returns (or B/C ratios larger than 1), while some interventions such as for wind risk produced very large effects in terms of B/C ratios in the range of 50.</w:t>
      </w:r>
    </w:p>
    <w:p w14:paraId="07DCB938" w14:textId="77777777" w:rsidR="00D6793D" w:rsidRPr="00C371F6" w:rsidRDefault="00D6793D" w:rsidP="00D6793D">
      <w:pPr>
        <w:pStyle w:val="BBL"/>
        <w:spacing w:line="240" w:lineRule="auto"/>
        <w:ind w:left="360" w:firstLine="0"/>
        <w:jc w:val="both"/>
        <w:rPr>
          <w:rFonts w:ascii="Cambria" w:hAnsi="Cambria"/>
          <w:color w:val="auto"/>
          <w:sz w:val="20"/>
          <w:szCs w:val="20"/>
          <w:lang w:val="en-GB"/>
        </w:rPr>
      </w:pPr>
      <w:r w:rsidRPr="00C371F6">
        <w:rPr>
          <w:rFonts w:ascii="Cambria" w:hAnsi="Cambria"/>
          <w:color w:val="auto"/>
          <w:sz w:val="20"/>
          <w:szCs w:val="20"/>
          <w:lang w:val="en-GB"/>
        </w:rPr>
        <w:t>Source: MMC, 2005</w:t>
      </w:r>
      <w:r w:rsidRPr="00C371F6">
        <w:rPr>
          <w:rFonts w:ascii="Cambria" w:hAnsi="Cambria"/>
          <w:bCs/>
          <w:sz w:val="20"/>
          <w:szCs w:val="20"/>
          <w:lang w:val="en-GB"/>
        </w:rPr>
        <w:tab/>
      </w:r>
      <w:r w:rsidRPr="00C371F6">
        <w:rPr>
          <w:rFonts w:ascii="Cambria" w:hAnsi="Cambria"/>
          <w:color w:val="auto"/>
          <w:sz w:val="20"/>
          <w:szCs w:val="20"/>
          <w:lang w:val="en-GB"/>
        </w:rPr>
        <w:t xml:space="preserve"> </w:t>
      </w:r>
    </w:p>
    <w:p w14:paraId="6B8CD431" w14:textId="77777777" w:rsidR="00C664B7" w:rsidRPr="00C371F6" w:rsidRDefault="00C664B7">
      <w:pPr>
        <w:rPr>
          <w:rFonts w:ascii="Cambria" w:hAnsi="Cambria"/>
          <w:b/>
          <w:bCs w:val="0"/>
          <w:sz w:val="22"/>
          <w:szCs w:val="22"/>
        </w:rPr>
      </w:pPr>
      <w:r w:rsidRPr="00C371F6">
        <w:rPr>
          <w:rFonts w:ascii="Cambria" w:hAnsi="Cambria"/>
          <w:b/>
          <w:sz w:val="22"/>
          <w:szCs w:val="22"/>
        </w:rPr>
        <w:br w:type="page"/>
      </w:r>
    </w:p>
    <w:p w14:paraId="70BE7202" w14:textId="6943DD47" w:rsidR="00305B7B" w:rsidRPr="00C371F6" w:rsidRDefault="00ED1C4B" w:rsidP="009D6DB6">
      <w:pPr>
        <w:pStyle w:val="Literaturverzeichnis"/>
        <w:rPr>
          <w:rFonts w:ascii="Cambria" w:hAnsi="Cambria"/>
          <w:b/>
          <w:sz w:val="22"/>
          <w:szCs w:val="22"/>
          <w:lang w:val="en-GB"/>
        </w:rPr>
      </w:pPr>
      <w:r w:rsidRPr="00C371F6">
        <w:rPr>
          <w:rFonts w:ascii="Cambria" w:hAnsi="Cambria"/>
          <w:b/>
          <w:sz w:val="22"/>
          <w:szCs w:val="22"/>
          <w:lang w:val="en-GB"/>
        </w:rPr>
        <w:lastRenderedPageBreak/>
        <w:t>Additional detail on CBA studies</w:t>
      </w:r>
    </w:p>
    <w:p w14:paraId="074D56D8" w14:textId="77777777" w:rsidR="00305B7B" w:rsidRPr="00C371F6" w:rsidRDefault="00305B7B" w:rsidP="00ED1C4B">
      <w:pPr>
        <w:pStyle w:val="Literaturverzeichnis"/>
        <w:ind w:left="0" w:firstLine="0"/>
        <w:rPr>
          <w:rFonts w:ascii="Cambria" w:hAnsi="Cambria"/>
          <w:sz w:val="22"/>
          <w:szCs w:val="22"/>
          <w:lang w:val="en-GB"/>
        </w:rPr>
      </w:pPr>
    </w:p>
    <w:p w14:paraId="7B0492AE" w14:textId="2ADB4EC2" w:rsidR="00B47D89" w:rsidRPr="00C371F6" w:rsidRDefault="00B26729" w:rsidP="00B26729">
      <w:pPr>
        <w:pStyle w:val="caption-table"/>
        <w:numPr>
          <w:ilvl w:val="0"/>
          <w:numId w:val="0"/>
        </w:numPr>
        <w:spacing w:line="240" w:lineRule="auto"/>
        <w:rPr>
          <w:rFonts w:ascii="Cambria" w:hAnsi="Cambria"/>
          <w:sz w:val="22"/>
          <w:szCs w:val="22"/>
          <w:lang w:val="en-GB"/>
        </w:rPr>
      </w:pPr>
      <w:r w:rsidRPr="00C371F6">
        <w:rPr>
          <w:rFonts w:ascii="Cambria" w:hAnsi="Cambria"/>
          <w:sz w:val="22"/>
          <w:szCs w:val="22"/>
          <w:lang w:val="en-GB"/>
        </w:rPr>
        <w:t xml:space="preserve">Table A1: </w:t>
      </w:r>
      <w:r w:rsidR="00B47D89" w:rsidRPr="00C371F6">
        <w:rPr>
          <w:rFonts w:ascii="Cambria" w:hAnsi="Cambria"/>
          <w:sz w:val="22"/>
          <w:szCs w:val="22"/>
          <w:lang w:val="en-GB"/>
        </w:rPr>
        <w:t>Key characteristics of key CBA studies on DRM</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080"/>
        <w:gridCol w:w="2160"/>
        <w:gridCol w:w="2250"/>
        <w:gridCol w:w="2250"/>
      </w:tblGrid>
      <w:tr w:rsidR="007124CF" w:rsidRPr="00C371F6" w14:paraId="3A33BE49" w14:textId="77777777" w:rsidTr="007124CF">
        <w:trPr>
          <w:trHeight w:val="737"/>
          <w:tblHeader/>
        </w:trPr>
        <w:tc>
          <w:tcPr>
            <w:tcW w:w="1728" w:type="dxa"/>
            <w:shd w:val="clear" w:color="auto" w:fill="auto"/>
            <w:hideMark/>
          </w:tcPr>
          <w:p w14:paraId="71AE05CE" w14:textId="77777777" w:rsidR="00063F58" w:rsidRPr="0061183E" w:rsidRDefault="00063F58" w:rsidP="0061183E">
            <w:pPr>
              <w:spacing w:line="200" w:lineRule="exact"/>
              <w:rPr>
                <w:rFonts w:ascii="Cambria" w:hAnsi="Cambria" w:cs="Arial"/>
                <w:b/>
                <w:sz w:val="16"/>
                <w:szCs w:val="16"/>
                <w:lang w:val="en-US"/>
              </w:rPr>
            </w:pPr>
            <w:r w:rsidRPr="0061183E">
              <w:rPr>
                <w:rFonts w:ascii="Cambria" w:hAnsi="Cambria" w:cs="Arial"/>
                <w:b/>
                <w:sz w:val="16"/>
                <w:szCs w:val="16"/>
                <w:lang w:val="en-US"/>
              </w:rPr>
              <w:t>Study-detail</w:t>
            </w:r>
          </w:p>
        </w:tc>
        <w:tc>
          <w:tcPr>
            <w:tcW w:w="1080" w:type="dxa"/>
            <w:shd w:val="clear" w:color="auto" w:fill="auto"/>
            <w:hideMark/>
          </w:tcPr>
          <w:p w14:paraId="3C21AA32" w14:textId="77777777" w:rsidR="00063F58" w:rsidRPr="0061183E" w:rsidRDefault="00063F58" w:rsidP="0061183E">
            <w:pPr>
              <w:spacing w:line="200" w:lineRule="exact"/>
              <w:rPr>
                <w:rFonts w:ascii="Cambria" w:hAnsi="Cambria" w:cs="Arial"/>
                <w:b/>
                <w:sz w:val="16"/>
                <w:szCs w:val="16"/>
                <w:lang w:val="en-US"/>
              </w:rPr>
            </w:pPr>
            <w:r w:rsidRPr="0061183E">
              <w:rPr>
                <w:rFonts w:ascii="Cambria" w:hAnsi="Cambria" w:cs="Arial"/>
                <w:b/>
                <w:sz w:val="16"/>
                <w:szCs w:val="16"/>
                <w:lang w:val="en-US"/>
              </w:rPr>
              <w:t>Hazard</w:t>
            </w:r>
          </w:p>
        </w:tc>
        <w:tc>
          <w:tcPr>
            <w:tcW w:w="2160" w:type="dxa"/>
            <w:shd w:val="clear" w:color="auto" w:fill="auto"/>
            <w:hideMark/>
          </w:tcPr>
          <w:p w14:paraId="728B0B77" w14:textId="77777777" w:rsidR="00063F58" w:rsidRPr="0061183E" w:rsidRDefault="00063F58" w:rsidP="0061183E">
            <w:pPr>
              <w:spacing w:line="200" w:lineRule="exact"/>
              <w:rPr>
                <w:rFonts w:ascii="Cambria" w:hAnsi="Cambria" w:cs="Arial"/>
                <w:b/>
                <w:sz w:val="16"/>
                <w:szCs w:val="16"/>
                <w:lang w:val="en-US"/>
              </w:rPr>
            </w:pPr>
            <w:r w:rsidRPr="0061183E">
              <w:rPr>
                <w:rFonts w:ascii="Cambria" w:hAnsi="Cambria" w:cs="Arial"/>
                <w:b/>
                <w:sz w:val="16"/>
                <w:szCs w:val="16"/>
                <w:lang w:val="en-US"/>
              </w:rPr>
              <w:t>Risk and Intervention studied</w:t>
            </w:r>
          </w:p>
        </w:tc>
        <w:tc>
          <w:tcPr>
            <w:tcW w:w="2250" w:type="dxa"/>
            <w:shd w:val="clear" w:color="auto" w:fill="auto"/>
            <w:hideMark/>
          </w:tcPr>
          <w:p w14:paraId="5B43C31F" w14:textId="77777777" w:rsidR="00063F58" w:rsidRPr="0061183E" w:rsidRDefault="00063F58" w:rsidP="0061183E">
            <w:pPr>
              <w:spacing w:line="200" w:lineRule="exact"/>
              <w:rPr>
                <w:rFonts w:ascii="Cambria" w:hAnsi="Cambria" w:cs="Arial"/>
                <w:b/>
                <w:sz w:val="16"/>
                <w:szCs w:val="16"/>
                <w:lang w:val="en-US"/>
              </w:rPr>
            </w:pPr>
            <w:r w:rsidRPr="0061183E">
              <w:rPr>
                <w:rFonts w:ascii="Cambria" w:hAnsi="Cambria" w:cs="Arial"/>
                <w:b/>
                <w:sz w:val="16"/>
                <w:szCs w:val="16"/>
                <w:lang w:val="en-US"/>
              </w:rPr>
              <w:t>Benefits</w:t>
            </w:r>
          </w:p>
        </w:tc>
        <w:tc>
          <w:tcPr>
            <w:tcW w:w="2250" w:type="dxa"/>
            <w:shd w:val="clear" w:color="auto" w:fill="auto"/>
            <w:hideMark/>
          </w:tcPr>
          <w:p w14:paraId="51A175DF" w14:textId="3C4BC626" w:rsidR="00063F58" w:rsidRPr="0061183E" w:rsidRDefault="00063F58" w:rsidP="0061183E">
            <w:pPr>
              <w:spacing w:line="200" w:lineRule="exact"/>
              <w:rPr>
                <w:rFonts w:ascii="Cambria" w:hAnsi="Cambria" w:cs="Arial"/>
                <w:b/>
                <w:sz w:val="16"/>
                <w:szCs w:val="16"/>
                <w:lang w:val="en-US"/>
              </w:rPr>
            </w:pPr>
            <w:r w:rsidRPr="0061183E">
              <w:rPr>
                <w:rFonts w:ascii="Cambria" w:hAnsi="Cambria" w:cs="Arial"/>
                <w:b/>
                <w:sz w:val="16"/>
                <w:szCs w:val="16"/>
                <w:lang w:val="en-US"/>
              </w:rPr>
              <w:t>Result</w:t>
            </w:r>
            <w:r w:rsidR="0061183E" w:rsidRPr="0061183E">
              <w:rPr>
                <w:rFonts w:ascii="Cambria" w:hAnsi="Cambria" w:cs="Arial"/>
                <w:b/>
                <w:sz w:val="16"/>
                <w:szCs w:val="16"/>
                <w:lang w:val="en-US"/>
              </w:rPr>
              <w:t>s</w:t>
            </w:r>
          </w:p>
        </w:tc>
      </w:tr>
      <w:tr w:rsidR="00DB3539" w:rsidRPr="00C371F6" w14:paraId="5EB4AB02" w14:textId="77777777" w:rsidTr="007124CF">
        <w:trPr>
          <w:trHeight w:val="539"/>
        </w:trPr>
        <w:tc>
          <w:tcPr>
            <w:tcW w:w="9468" w:type="dxa"/>
            <w:gridSpan w:val="5"/>
            <w:shd w:val="clear" w:color="auto" w:fill="auto"/>
            <w:noWrap/>
            <w:vAlign w:val="center"/>
            <w:hideMark/>
          </w:tcPr>
          <w:p w14:paraId="0869D247" w14:textId="39FD3478" w:rsidR="00063F58" w:rsidRPr="0061183E" w:rsidRDefault="00063F58" w:rsidP="007124CF">
            <w:pPr>
              <w:spacing w:line="200" w:lineRule="exact"/>
              <w:rPr>
                <w:rFonts w:ascii="Cambria" w:hAnsi="Cambria" w:cs="Arial"/>
                <w:bCs w:val="0"/>
                <w:sz w:val="16"/>
                <w:szCs w:val="16"/>
                <w:lang w:val="en-US"/>
              </w:rPr>
            </w:pPr>
            <w:r w:rsidRPr="0061183E">
              <w:rPr>
                <w:rFonts w:ascii="Cambria" w:hAnsi="Cambria" w:cs="Arial"/>
                <w:bCs w:val="0"/>
                <w:sz w:val="16"/>
                <w:szCs w:val="16"/>
                <w:lang w:val="en-US"/>
              </w:rPr>
              <w:t>EVALUATIONS</w:t>
            </w:r>
          </w:p>
        </w:tc>
      </w:tr>
      <w:tr w:rsidR="007124CF" w:rsidRPr="00C371F6" w14:paraId="73E16C0F" w14:textId="77777777" w:rsidTr="007124CF">
        <w:trPr>
          <w:trHeight w:val="1080"/>
        </w:trPr>
        <w:tc>
          <w:tcPr>
            <w:tcW w:w="1728" w:type="dxa"/>
            <w:shd w:val="clear" w:color="auto" w:fill="auto"/>
            <w:hideMark/>
          </w:tcPr>
          <w:p w14:paraId="541154ED"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Vermeiren and Stichter (1998). Hurricane risk prevention - Dominica and Jamaica</w:t>
            </w:r>
          </w:p>
        </w:tc>
        <w:tc>
          <w:tcPr>
            <w:tcW w:w="1080" w:type="dxa"/>
            <w:shd w:val="clear" w:color="auto" w:fill="auto"/>
            <w:hideMark/>
          </w:tcPr>
          <w:p w14:paraId="37F3E2D6"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Tropical cyclones</w:t>
            </w:r>
          </w:p>
        </w:tc>
        <w:tc>
          <w:tcPr>
            <w:tcW w:w="2160" w:type="dxa"/>
            <w:shd w:val="clear" w:color="auto" w:fill="auto"/>
            <w:hideMark/>
          </w:tcPr>
          <w:p w14:paraId="2252044F" w14:textId="77777777" w:rsidR="00063F58" w:rsidRPr="0061183E" w:rsidRDefault="00063F58" w:rsidP="0061183E">
            <w:pPr>
              <w:spacing w:line="200" w:lineRule="exact"/>
              <w:rPr>
                <w:rFonts w:ascii="Cambria" w:hAnsi="Cambria"/>
                <w:bCs w:val="0"/>
                <w:sz w:val="16"/>
                <w:szCs w:val="16"/>
                <w:lang w:val="en-US"/>
              </w:rPr>
            </w:pPr>
            <w:r w:rsidRPr="0061183E">
              <w:rPr>
                <w:rFonts w:ascii="Cambria" w:hAnsi="Cambria"/>
                <w:bCs w:val="0"/>
                <w:sz w:val="16"/>
                <w:szCs w:val="16"/>
                <w:lang w:val="en-US"/>
              </w:rPr>
              <w:t>Evaluation of benefits of consideration of risk prevention in design and construction of port (Dominica) and school (Jamaica)</w:t>
            </w:r>
          </w:p>
        </w:tc>
        <w:tc>
          <w:tcPr>
            <w:tcW w:w="2250" w:type="dxa"/>
            <w:shd w:val="clear" w:color="auto" w:fill="auto"/>
            <w:hideMark/>
          </w:tcPr>
          <w:p w14:paraId="3F7C1900" w14:textId="77777777" w:rsidR="00063F58" w:rsidRPr="0061183E" w:rsidRDefault="00063F58" w:rsidP="0061183E">
            <w:pPr>
              <w:spacing w:line="200" w:lineRule="exact"/>
              <w:rPr>
                <w:rFonts w:ascii="Cambria" w:hAnsi="Cambria"/>
                <w:bCs w:val="0"/>
                <w:sz w:val="16"/>
                <w:szCs w:val="16"/>
                <w:lang w:val="en-US"/>
              </w:rPr>
            </w:pPr>
            <w:r w:rsidRPr="0061183E">
              <w:rPr>
                <w:rFonts w:ascii="Cambria" w:hAnsi="Cambria"/>
                <w:bCs w:val="0"/>
                <w:sz w:val="16"/>
                <w:szCs w:val="16"/>
                <w:lang w:val="en-US"/>
              </w:rPr>
              <w:t>Potentially avoided reconstruction costs in one hurricane event each</w:t>
            </w:r>
          </w:p>
        </w:tc>
        <w:tc>
          <w:tcPr>
            <w:tcW w:w="2250" w:type="dxa"/>
            <w:shd w:val="clear" w:color="auto" w:fill="auto"/>
            <w:hideMark/>
          </w:tcPr>
          <w:p w14:paraId="16D7E7B9" w14:textId="77777777" w:rsidR="00063F58" w:rsidRPr="0061183E" w:rsidRDefault="00063F58" w:rsidP="0061183E">
            <w:pPr>
              <w:tabs>
                <w:tab w:val="left" w:pos="1512"/>
              </w:tabs>
              <w:spacing w:line="200" w:lineRule="exact"/>
              <w:rPr>
                <w:rFonts w:ascii="Cambria" w:hAnsi="Cambria" w:cs="Arial"/>
                <w:bCs w:val="0"/>
                <w:sz w:val="16"/>
                <w:szCs w:val="16"/>
                <w:lang w:val="en-US"/>
              </w:rPr>
            </w:pPr>
            <w:r w:rsidRPr="0061183E">
              <w:rPr>
                <w:rFonts w:ascii="Cambria" w:hAnsi="Cambria" w:cs="Arial"/>
                <w:bCs w:val="0"/>
                <w:sz w:val="16"/>
                <w:szCs w:val="16"/>
                <w:lang w:val="en-US"/>
              </w:rPr>
              <w:t>Large reconstruction costs savings had measures been considered in design and construction</w:t>
            </w:r>
          </w:p>
        </w:tc>
      </w:tr>
      <w:tr w:rsidR="007124CF" w:rsidRPr="00C371F6" w14:paraId="694BA116" w14:textId="77777777" w:rsidTr="007124CF">
        <w:trPr>
          <w:trHeight w:val="520"/>
        </w:trPr>
        <w:tc>
          <w:tcPr>
            <w:tcW w:w="1728" w:type="dxa"/>
            <w:shd w:val="clear" w:color="auto" w:fill="auto"/>
            <w:hideMark/>
          </w:tcPr>
          <w:p w14:paraId="29FB8312"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FEMA (1998). Ex-post evaluation of implemented mitigation measures in the paper and feed industries in USA</w:t>
            </w:r>
          </w:p>
        </w:tc>
        <w:tc>
          <w:tcPr>
            <w:tcW w:w="1080" w:type="dxa"/>
            <w:shd w:val="clear" w:color="auto" w:fill="auto"/>
            <w:hideMark/>
          </w:tcPr>
          <w:p w14:paraId="30E01AB0"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Hurricanes</w:t>
            </w:r>
          </w:p>
        </w:tc>
        <w:tc>
          <w:tcPr>
            <w:tcW w:w="2160" w:type="dxa"/>
            <w:shd w:val="clear" w:color="auto" w:fill="auto"/>
            <w:hideMark/>
          </w:tcPr>
          <w:p w14:paraId="206CA0EA"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 xml:space="preserve">Risk prevention </w:t>
            </w:r>
          </w:p>
        </w:tc>
        <w:tc>
          <w:tcPr>
            <w:tcW w:w="2250" w:type="dxa"/>
            <w:shd w:val="clear" w:color="auto" w:fill="auto"/>
            <w:hideMark/>
          </w:tcPr>
          <w:p w14:paraId="0265F5B9"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Reduction in direct losses between 1972 and 1975 hurricanes</w:t>
            </w:r>
          </w:p>
        </w:tc>
        <w:tc>
          <w:tcPr>
            <w:tcW w:w="2250" w:type="dxa"/>
            <w:shd w:val="clear" w:color="auto" w:fill="auto"/>
            <w:hideMark/>
          </w:tcPr>
          <w:p w14:paraId="1C905CFA"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C/B ratio: ca. 100</w:t>
            </w:r>
          </w:p>
        </w:tc>
      </w:tr>
      <w:tr w:rsidR="007124CF" w:rsidRPr="00C371F6" w14:paraId="006611F4" w14:textId="77777777" w:rsidTr="007124CF">
        <w:trPr>
          <w:trHeight w:val="1395"/>
        </w:trPr>
        <w:tc>
          <w:tcPr>
            <w:tcW w:w="1728" w:type="dxa"/>
            <w:shd w:val="clear" w:color="auto" w:fill="auto"/>
            <w:hideMark/>
          </w:tcPr>
          <w:p w14:paraId="156FB7AA"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BTRE (2002). Flood risk management (Australia)</w:t>
            </w:r>
          </w:p>
        </w:tc>
        <w:tc>
          <w:tcPr>
            <w:tcW w:w="1080" w:type="dxa"/>
            <w:shd w:val="clear" w:color="auto" w:fill="auto"/>
            <w:hideMark/>
          </w:tcPr>
          <w:p w14:paraId="79E5B318"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Flood</w:t>
            </w:r>
          </w:p>
        </w:tc>
        <w:tc>
          <w:tcPr>
            <w:tcW w:w="2160" w:type="dxa"/>
            <w:shd w:val="clear" w:color="auto" w:fill="auto"/>
            <w:hideMark/>
          </w:tcPr>
          <w:p w14:paraId="7C14A4B7"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 xml:space="preserve">Structural and non-structural urban riverine flood prevention  measures: Land use planning, building controls, voluntary purchase, levees, road sealing; preparedness </w:t>
            </w:r>
          </w:p>
        </w:tc>
        <w:tc>
          <w:tcPr>
            <w:tcW w:w="2250" w:type="dxa"/>
            <w:shd w:val="clear" w:color="auto" w:fill="auto"/>
            <w:hideMark/>
          </w:tcPr>
          <w:p w14:paraId="3EFFEA34"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Direct and indirect (clean-up, disruption of business, emergency costs), losses reduced</w:t>
            </w:r>
          </w:p>
        </w:tc>
        <w:tc>
          <w:tcPr>
            <w:tcW w:w="2250" w:type="dxa"/>
            <w:shd w:val="clear" w:color="auto" w:fill="auto"/>
            <w:hideMark/>
          </w:tcPr>
          <w:p w14:paraId="7AC8B21E"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Substantial net benefits in terms of tangible direct and indirect losses reduced</w:t>
            </w:r>
          </w:p>
        </w:tc>
      </w:tr>
      <w:tr w:rsidR="007124CF" w:rsidRPr="00C371F6" w14:paraId="43B0E8CD" w14:textId="77777777" w:rsidTr="007124CF">
        <w:trPr>
          <w:trHeight w:val="1040"/>
        </w:trPr>
        <w:tc>
          <w:tcPr>
            <w:tcW w:w="1728" w:type="dxa"/>
            <w:shd w:val="clear" w:color="auto" w:fill="auto"/>
            <w:noWrap/>
            <w:hideMark/>
          </w:tcPr>
          <w:p w14:paraId="66CB643A"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IFRC (2002). Windstorm risk prevention  (Vietnam)</w:t>
            </w:r>
          </w:p>
        </w:tc>
        <w:tc>
          <w:tcPr>
            <w:tcW w:w="1080" w:type="dxa"/>
            <w:shd w:val="clear" w:color="auto" w:fill="auto"/>
            <w:hideMark/>
          </w:tcPr>
          <w:p w14:paraId="23D0F3D1"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Tropical cyclones</w:t>
            </w:r>
          </w:p>
        </w:tc>
        <w:tc>
          <w:tcPr>
            <w:tcW w:w="2160" w:type="dxa"/>
            <w:shd w:val="clear" w:color="auto" w:fill="auto"/>
            <w:hideMark/>
          </w:tcPr>
          <w:p w14:paraId="22266C9F"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 xml:space="preserve">IFRC (2002):  Mangrove planting project in Vietnam for protection of coastal population against typhoons and storms </w:t>
            </w:r>
          </w:p>
        </w:tc>
        <w:tc>
          <w:tcPr>
            <w:tcW w:w="2250" w:type="dxa"/>
            <w:shd w:val="clear" w:color="auto" w:fill="auto"/>
            <w:hideMark/>
          </w:tcPr>
          <w:p w14:paraId="3721E57B"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Savings in terms of</w:t>
            </w:r>
            <w:r w:rsidRPr="0061183E">
              <w:rPr>
                <w:rFonts w:ascii="Cambria" w:hAnsi="Cambria" w:cs="Arial"/>
                <w:bCs w:val="0"/>
                <w:sz w:val="16"/>
                <w:szCs w:val="16"/>
                <w:lang w:val="en-US"/>
              </w:rPr>
              <w:br/>
              <w:t>reduced costs of dike</w:t>
            </w:r>
            <w:r w:rsidRPr="0061183E">
              <w:rPr>
                <w:rFonts w:ascii="Cambria" w:hAnsi="Cambria" w:cs="Arial"/>
                <w:bCs w:val="0"/>
                <w:sz w:val="16"/>
                <w:szCs w:val="16"/>
                <w:lang w:val="en-US"/>
              </w:rPr>
              <w:br/>
              <w:t>maintenance</w:t>
            </w:r>
          </w:p>
        </w:tc>
        <w:tc>
          <w:tcPr>
            <w:tcW w:w="2250" w:type="dxa"/>
            <w:shd w:val="clear" w:color="auto" w:fill="auto"/>
            <w:hideMark/>
          </w:tcPr>
          <w:p w14:paraId="2A6D71BB"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Annual net benefits: 7.2 mill. USD</w:t>
            </w:r>
            <w:r w:rsidRPr="0061183E">
              <w:rPr>
                <w:rFonts w:ascii="Cambria" w:hAnsi="Cambria" w:cs="Arial"/>
                <w:bCs w:val="0"/>
                <w:sz w:val="16"/>
                <w:szCs w:val="16"/>
                <w:lang w:val="en-US"/>
              </w:rPr>
              <w:br/>
              <w:t>B/C ratio: 52</w:t>
            </w:r>
            <w:r w:rsidRPr="0061183E">
              <w:rPr>
                <w:rFonts w:ascii="Cambria" w:hAnsi="Cambria" w:cs="Arial"/>
                <w:bCs w:val="0"/>
                <w:sz w:val="16"/>
                <w:szCs w:val="16"/>
                <w:lang w:val="en-US"/>
              </w:rPr>
              <w:br/>
              <w:t>(over period 1994-2001)</w:t>
            </w:r>
          </w:p>
        </w:tc>
      </w:tr>
      <w:tr w:rsidR="007124CF" w:rsidRPr="00C371F6" w14:paraId="580D3F65" w14:textId="77777777" w:rsidTr="007124CF">
        <w:trPr>
          <w:trHeight w:val="584"/>
        </w:trPr>
        <w:tc>
          <w:tcPr>
            <w:tcW w:w="1728" w:type="dxa"/>
            <w:shd w:val="clear" w:color="auto" w:fill="auto"/>
            <w:hideMark/>
          </w:tcPr>
          <w:p w14:paraId="74DFE074"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Venton &amp; Venton (2004)</w:t>
            </w:r>
            <w:r w:rsidRPr="0061183E">
              <w:rPr>
                <w:rFonts w:ascii="Cambria" w:hAnsi="Cambria" w:cs="Arial"/>
                <w:bCs w:val="0"/>
                <w:sz w:val="16"/>
                <w:szCs w:val="16"/>
                <w:lang w:val="en-US"/>
              </w:rPr>
              <w:br/>
              <w:t>Risk management of floods, Bihar and Andhra Pradesh (India)</w:t>
            </w:r>
          </w:p>
        </w:tc>
        <w:tc>
          <w:tcPr>
            <w:tcW w:w="1080" w:type="dxa"/>
            <w:shd w:val="clear" w:color="auto" w:fill="auto"/>
            <w:hideMark/>
          </w:tcPr>
          <w:p w14:paraId="4BB2B621"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Floods</w:t>
            </w:r>
          </w:p>
        </w:tc>
        <w:tc>
          <w:tcPr>
            <w:tcW w:w="2160" w:type="dxa"/>
            <w:shd w:val="clear" w:color="auto" w:fill="auto"/>
            <w:hideMark/>
          </w:tcPr>
          <w:p w14:paraId="2201F0B9"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Combined disaster mitigation and preparedness program in Bihar, India and Andhra Pradesh, India</w:t>
            </w:r>
          </w:p>
        </w:tc>
        <w:tc>
          <w:tcPr>
            <w:tcW w:w="2250" w:type="dxa"/>
            <w:shd w:val="clear" w:color="auto" w:fill="auto"/>
            <w:hideMark/>
          </w:tcPr>
          <w:p w14:paraId="3F7CAFCA"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Reduced losses of household possessions and livestock, reduced loss of life and reduced health impacts, reduced emergency spending</w:t>
            </w:r>
          </w:p>
        </w:tc>
        <w:tc>
          <w:tcPr>
            <w:tcW w:w="2250" w:type="dxa"/>
            <w:shd w:val="clear" w:color="auto" w:fill="auto"/>
            <w:hideMark/>
          </w:tcPr>
          <w:p w14:paraId="2D70B645"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Bihar:</w:t>
            </w:r>
            <w:r w:rsidRPr="0061183E">
              <w:rPr>
                <w:rFonts w:ascii="Cambria" w:hAnsi="Cambria" w:cs="Arial"/>
                <w:bCs w:val="0"/>
                <w:sz w:val="16"/>
                <w:szCs w:val="16"/>
                <w:lang w:val="en-US"/>
              </w:rPr>
              <w:br/>
              <w:t>B/C ratio: 3.8</w:t>
            </w:r>
            <w:r w:rsidRPr="0061183E">
              <w:rPr>
                <w:rFonts w:ascii="Cambria" w:hAnsi="Cambria" w:cs="Arial"/>
                <w:bCs w:val="0"/>
                <w:sz w:val="16"/>
                <w:szCs w:val="16"/>
                <w:lang w:val="en-US"/>
              </w:rPr>
              <w:br/>
              <w:t>(range: 3.2-4.6)</w:t>
            </w:r>
            <w:r w:rsidRPr="0061183E">
              <w:rPr>
                <w:rFonts w:ascii="Cambria" w:hAnsi="Cambria" w:cs="Arial"/>
                <w:bCs w:val="0"/>
                <w:sz w:val="16"/>
                <w:szCs w:val="16"/>
                <w:lang w:val="en-US"/>
              </w:rPr>
              <w:br/>
            </w:r>
            <w:r w:rsidRPr="0061183E">
              <w:rPr>
                <w:rFonts w:ascii="Cambria" w:hAnsi="Cambria" w:cs="Arial"/>
                <w:bCs w:val="0"/>
                <w:sz w:val="16"/>
                <w:szCs w:val="16"/>
                <w:lang w:val="en-US"/>
              </w:rPr>
              <w:br/>
              <w:t>Andhra Pradesh:</w:t>
            </w:r>
            <w:r w:rsidRPr="0061183E">
              <w:rPr>
                <w:rFonts w:ascii="Cambria" w:hAnsi="Cambria" w:cs="Arial"/>
                <w:bCs w:val="0"/>
                <w:sz w:val="16"/>
                <w:szCs w:val="16"/>
                <w:lang w:val="en-US"/>
              </w:rPr>
              <w:br/>
              <w:t>B/C ratio: 13.4</w:t>
            </w:r>
            <w:r w:rsidRPr="0061183E">
              <w:rPr>
                <w:rFonts w:ascii="Cambria" w:hAnsi="Cambria" w:cs="Arial"/>
                <w:bCs w:val="0"/>
                <w:sz w:val="16"/>
                <w:szCs w:val="16"/>
                <w:lang w:val="en-US"/>
              </w:rPr>
              <w:br/>
              <w:t>(range: 3.7-20.1)</w:t>
            </w:r>
          </w:p>
        </w:tc>
      </w:tr>
      <w:tr w:rsidR="007124CF" w:rsidRPr="00C371F6" w14:paraId="6DFCDCED" w14:textId="77777777" w:rsidTr="007124CF">
        <w:trPr>
          <w:trHeight w:val="872"/>
        </w:trPr>
        <w:tc>
          <w:tcPr>
            <w:tcW w:w="1728" w:type="dxa"/>
            <w:shd w:val="clear" w:color="auto" w:fill="auto"/>
            <w:hideMark/>
          </w:tcPr>
          <w:p w14:paraId="0F45E6BA"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MMC (2005). Review of wide set of risk management grant programs (USA)</w:t>
            </w:r>
          </w:p>
        </w:tc>
        <w:tc>
          <w:tcPr>
            <w:tcW w:w="1080" w:type="dxa"/>
            <w:shd w:val="clear" w:color="auto" w:fill="auto"/>
            <w:hideMark/>
          </w:tcPr>
          <w:p w14:paraId="07B129AB"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Flood, Wind, earthquake</w:t>
            </w:r>
          </w:p>
        </w:tc>
        <w:tc>
          <w:tcPr>
            <w:tcW w:w="2160" w:type="dxa"/>
            <w:shd w:val="clear" w:color="auto" w:fill="auto"/>
            <w:hideMark/>
          </w:tcPr>
          <w:p w14:paraId="32982C29"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Structural and non-structural interventions</w:t>
            </w:r>
          </w:p>
        </w:tc>
        <w:tc>
          <w:tcPr>
            <w:tcW w:w="2250" w:type="dxa"/>
            <w:shd w:val="clear" w:color="auto" w:fill="auto"/>
            <w:hideMark/>
          </w:tcPr>
          <w:p w14:paraId="12E2ECBA"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Direct and indirect (clean-up, disruption of business, emergency costs) losses reduced</w:t>
            </w:r>
          </w:p>
        </w:tc>
        <w:tc>
          <w:tcPr>
            <w:tcW w:w="2250" w:type="dxa"/>
            <w:shd w:val="clear" w:color="auto" w:fill="auto"/>
            <w:hideMark/>
          </w:tcPr>
          <w:p w14:paraId="26A04828"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Average B/C ratio: 4 based on a review of 5,479 grant based activities (flood 1.3-5; wind 0.05-50; earthquake 0.1-4)</w:t>
            </w:r>
          </w:p>
        </w:tc>
      </w:tr>
      <w:tr w:rsidR="007124CF" w:rsidRPr="00C371F6" w14:paraId="531545DA" w14:textId="77777777" w:rsidTr="007124CF">
        <w:trPr>
          <w:trHeight w:val="900"/>
        </w:trPr>
        <w:tc>
          <w:tcPr>
            <w:tcW w:w="1728" w:type="dxa"/>
            <w:shd w:val="clear" w:color="auto" w:fill="auto"/>
            <w:hideMark/>
          </w:tcPr>
          <w:p w14:paraId="0F043863"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Ghesquiere et al. (2006). EQ- risk management  - Colombia</w:t>
            </w:r>
          </w:p>
        </w:tc>
        <w:tc>
          <w:tcPr>
            <w:tcW w:w="1080" w:type="dxa"/>
            <w:shd w:val="clear" w:color="auto" w:fill="auto"/>
            <w:hideMark/>
          </w:tcPr>
          <w:p w14:paraId="2FF3F6F2"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Earthquake</w:t>
            </w:r>
          </w:p>
        </w:tc>
        <w:tc>
          <w:tcPr>
            <w:tcW w:w="2160" w:type="dxa"/>
            <w:shd w:val="clear" w:color="auto" w:fill="auto"/>
            <w:hideMark/>
          </w:tcPr>
          <w:p w14:paraId="3D55789B"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Risk prevention coupled with preparedness and risk financing</w:t>
            </w:r>
          </w:p>
        </w:tc>
        <w:tc>
          <w:tcPr>
            <w:tcW w:w="2250" w:type="dxa"/>
            <w:shd w:val="clear" w:color="auto" w:fill="auto"/>
            <w:hideMark/>
          </w:tcPr>
          <w:p w14:paraId="1300B238"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Reduction in fatalities and</w:t>
            </w:r>
            <w:r w:rsidRPr="0061183E">
              <w:rPr>
                <w:rFonts w:ascii="Cambria" w:hAnsi="Cambria" w:cs="Arial"/>
                <w:bCs w:val="0"/>
                <w:sz w:val="16"/>
                <w:szCs w:val="16"/>
                <w:lang w:val="en-US"/>
              </w:rPr>
              <w:br/>
              <w:t>structural losses</w:t>
            </w:r>
          </w:p>
        </w:tc>
        <w:tc>
          <w:tcPr>
            <w:tcW w:w="2250" w:type="dxa"/>
            <w:shd w:val="clear" w:color="auto" w:fill="auto"/>
            <w:hideMark/>
          </w:tcPr>
          <w:p w14:paraId="1CC1D501"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B/C ratios range from: 0.9 – 2.5</w:t>
            </w:r>
          </w:p>
        </w:tc>
      </w:tr>
      <w:tr w:rsidR="007124CF" w:rsidRPr="00C371F6" w14:paraId="1B51CDF3" w14:textId="77777777" w:rsidTr="007124CF">
        <w:trPr>
          <w:trHeight w:val="1040"/>
        </w:trPr>
        <w:tc>
          <w:tcPr>
            <w:tcW w:w="1728" w:type="dxa"/>
            <w:shd w:val="clear" w:color="auto" w:fill="auto"/>
            <w:hideMark/>
          </w:tcPr>
          <w:p w14:paraId="7225A8C3"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Fuchs et al. (2006). Avalanche risk reduction strategies - Davos, Switzerland</w:t>
            </w:r>
          </w:p>
        </w:tc>
        <w:tc>
          <w:tcPr>
            <w:tcW w:w="1080" w:type="dxa"/>
            <w:shd w:val="clear" w:color="auto" w:fill="auto"/>
            <w:hideMark/>
          </w:tcPr>
          <w:p w14:paraId="29C8489D"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Avalanche</w:t>
            </w:r>
          </w:p>
        </w:tc>
        <w:tc>
          <w:tcPr>
            <w:tcW w:w="2160" w:type="dxa"/>
            <w:shd w:val="clear" w:color="auto" w:fill="auto"/>
            <w:hideMark/>
          </w:tcPr>
          <w:p w14:paraId="0396679C"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Wide variety of measures from land use planning</w:t>
            </w:r>
            <w:r w:rsidRPr="0061183E">
              <w:rPr>
                <w:rFonts w:ascii="Cambria" w:hAnsi="Cambria" w:cs="Arial"/>
                <w:bCs w:val="0"/>
                <w:sz w:val="16"/>
                <w:szCs w:val="16"/>
                <w:lang w:val="en-US"/>
              </w:rPr>
              <w:br/>
              <w:t>and zoning, snow fences, capacity building, to reducing soil erosion</w:t>
            </w:r>
          </w:p>
        </w:tc>
        <w:tc>
          <w:tcPr>
            <w:tcW w:w="2250" w:type="dxa"/>
            <w:shd w:val="clear" w:color="auto" w:fill="auto"/>
            <w:hideMark/>
          </w:tcPr>
          <w:p w14:paraId="3C118478"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Reduction in fatalities and</w:t>
            </w:r>
            <w:r w:rsidRPr="0061183E">
              <w:rPr>
                <w:rFonts w:ascii="Cambria" w:hAnsi="Cambria" w:cs="Arial"/>
                <w:bCs w:val="0"/>
                <w:sz w:val="16"/>
                <w:szCs w:val="16"/>
                <w:lang w:val="en-US"/>
              </w:rPr>
              <w:br/>
              <w:t xml:space="preserve">structural losses </w:t>
            </w:r>
          </w:p>
        </w:tc>
        <w:tc>
          <w:tcPr>
            <w:tcW w:w="2250" w:type="dxa"/>
            <w:shd w:val="clear" w:color="auto" w:fill="auto"/>
            <w:hideMark/>
          </w:tcPr>
          <w:p w14:paraId="0713BD4C"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B/C ratios range from 0.1 – 3.7</w:t>
            </w:r>
          </w:p>
        </w:tc>
      </w:tr>
      <w:tr w:rsidR="007124CF" w:rsidRPr="00C371F6" w14:paraId="084D86F9" w14:textId="77777777" w:rsidTr="007124CF">
        <w:trPr>
          <w:trHeight w:val="1151"/>
        </w:trPr>
        <w:tc>
          <w:tcPr>
            <w:tcW w:w="1728" w:type="dxa"/>
            <w:shd w:val="clear" w:color="auto" w:fill="auto"/>
            <w:hideMark/>
          </w:tcPr>
          <w:p w14:paraId="2C56A5BE"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Nabiul and Mechler (2009). Flood-proofing - Bangladesh</w:t>
            </w:r>
          </w:p>
        </w:tc>
        <w:tc>
          <w:tcPr>
            <w:tcW w:w="1080" w:type="dxa"/>
            <w:shd w:val="clear" w:color="auto" w:fill="auto"/>
            <w:hideMark/>
          </w:tcPr>
          <w:p w14:paraId="132121EC"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Flood</w:t>
            </w:r>
          </w:p>
        </w:tc>
        <w:tc>
          <w:tcPr>
            <w:tcW w:w="2160" w:type="dxa"/>
            <w:shd w:val="clear" w:color="auto" w:fill="auto"/>
            <w:hideMark/>
          </w:tcPr>
          <w:p w14:paraId="791F218A"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Flood-proofing of roads and highways and individual homesteads</w:t>
            </w:r>
          </w:p>
        </w:tc>
        <w:tc>
          <w:tcPr>
            <w:tcW w:w="2250" w:type="dxa"/>
            <w:shd w:val="clear" w:color="auto" w:fill="auto"/>
            <w:hideMark/>
          </w:tcPr>
          <w:p w14:paraId="3A569DEC"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Direct and indirect income losses</w:t>
            </w:r>
          </w:p>
        </w:tc>
        <w:tc>
          <w:tcPr>
            <w:tcW w:w="2250" w:type="dxa"/>
            <w:shd w:val="clear" w:color="auto" w:fill="auto"/>
            <w:hideMark/>
          </w:tcPr>
          <w:p w14:paraId="27F54B11"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Best estimates are 1.6 for both options with range of 0.5 to 1.6</w:t>
            </w:r>
          </w:p>
        </w:tc>
      </w:tr>
      <w:tr w:rsidR="007124CF" w:rsidRPr="00C371F6" w14:paraId="310E67B3" w14:textId="77777777" w:rsidTr="007124CF">
        <w:trPr>
          <w:trHeight w:val="1360"/>
        </w:trPr>
        <w:tc>
          <w:tcPr>
            <w:tcW w:w="1728" w:type="dxa"/>
            <w:shd w:val="clear" w:color="auto" w:fill="auto"/>
            <w:hideMark/>
          </w:tcPr>
          <w:p w14:paraId="213FAFFD"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lastRenderedPageBreak/>
              <w:t>Kull et al. (2009). Food risk prevention- India</w:t>
            </w:r>
          </w:p>
        </w:tc>
        <w:tc>
          <w:tcPr>
            <w:tcW w:w="1080" w:type="dxa"/>
            <w:shd w:val="clear" w:color="auto" w:fill="auto"/>
            <w:hideMark/>
          </w:tcPr>
          <w:p w14:paraId="234F32DC"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Flood</w:t>
            </w:r>
          </w:p>
        </w:tc>
        <w:tc>
          <w:tcPr>
            <w:tcW w:w="2160" w:type="dxa"/>
            <w:shd w:val="clear" w:color="auto" w:fill="auto"/>
            <w:hideMark/>
          </w:tcPr>
          <w:p w14:paraId="305EF35F"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Past flood risk performance of embankment</w:t>
            </w:r>
          </w:p>
        </w:tc>
        <w:tc>
          <w:tcPr>
            <w:tcW w:w="2250" w:type="dxa"/>
            <w:shd w:val="clear" w:color="auto" w:fill="auto"/>
            <w:hideMark/>
          </w:tcPr>
          <w:p w14:paraId="45AB47FF"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 xml:space="preserve">Direct and indirect as well as intangible benefits </w:t>
            </w:r>
          </w:p>
        </w:tc>
        <w:tc>
          <w:tcPr>
            <w:tcW w:w="2250" w:type="dxa"/>
            <w:shd w:val="clear" w:color="auto" w:fill="auto"/>
            <w:hideMark/>
          </w:tcPr>
          <w:p w14:paraId="56F5DC39"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Embankment has not been cost-effective if a range of benefits and disbenefits considered: best estimate of BC 0.9 at 12% discounting</w:t>
            </w:r>
          </w:p>
        </w:tc>
      </w:tr>
      <w:tr w:rsidR="007124CF" w:rsidRPr="00C371F6" w14:paraId="107295A6" w14:textId="77777777" w:rsidTr="007124CF">
        <w:trPr>
          <w:trHeight w:val="795"/>
        </w:trPr>
        <w:tc>
          <w:tcPr>
            <w:tcW w:w="1728" w:type="dxa"/>
            <w:shd w:val="clear" w:color="auto" w:fill="auto"/>
            <w:hideMark/>
          </w:tcPr>
          <w:p w14:paraId="10AD1493"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White&amp;Rorick (2010). DRM flood interventions in Kalali district, Nepal</w:t>
            </w:r>
          </w:p>
        </w:tc>
        <w:tc>
          <w:tcPr>
            <w:tcW w:w="1080" w:type="dxa"/>
            <w:shd w:val="clear" w:color="auto" w:fill="auto"/>
            <w:hideMark/>
          </w:tcPr>
          <w:p w14:paraId="5AFAF702"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Flood</w:t>
            </w:r>
          </w:p>
        </w:tc>
        <w:tc>
          <w:tcPr>
            <w:tcW w:w="2160" w:type="dxa"/>
            <w:shd w:val="clear" w:color="auto" w:fill="auto"/>
            <w:hideMark/>
          </w:tcPr>
          <w:p w14:paraId="68E2FCFD"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Capacity building, and training early warning system, flood risk prevention</w:t>
            </w:r>
          </w:p>
        </w:tc>
        <w:tc>
          <w:tcPr>
            <w:tcW w:w="2250" w:type="dxa"/>
            <w:shd w:val="clear" w:color="auto" w:fill="auto"/>
            <w:hideMark/>
          </w:tcPr>
          <w:p w14:paraId="67105A03"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Reduced losses to homes and content, increased yield due to distribution of hybrid rice seeds</w:t>
            </w:r>
          </w:p>
        </w:tc>
        <w:tc>
          <w:tcPr>
            <w:tcW w:w="2250" w:type="dxa"/>
            <w:shd w:val="clear" w:color="auto" w:fill="auto"/>
            <w:hideMark/>
          </w:tcPr>
          <w:p w14:paraId="795A18B3"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B/C ratios range from 1.9-3.5</w:t>
            </w:r>
          </w:p>
        </w:tc>
      </w:tr>
      <w:tr w:rsidR="007124CF" w:rsidRPr="00C371F6" w14:paraId="16DA6C4B" w14:textId="77777777" w:rsidTr="007124CF">
        <w:trPr>
          <w:trHeight w:val="1380"/>
        </w:trPr>
        <w:tc>
          <w:tcPr>
            <w:tcW w:w="1728" w:type="dxa"/>
            <w:shd w:val="clear" w:color="auto" w:fill="auto"/>
            <w:hideMark/>
          </w:tcPr>
          <w:p w14:paraId="16E3B648"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IFRC (2011). Coastal afforestation in Viet Nam</w:t>
            </w:r>
          </w:p>
        </w:tc>
        <w:tc>
          <w:tcPr>
            <w:tcW w:w="1080" w:type="dxa"/>
            <w:shd w:val="clear" w:color="auto" w:fill="auto"/>
            <w:hideMark/>
          </w:tcPr>
          <w:p w14:paraId="38D4ABBE"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Wind</w:t>
            </w:r>
          </w:p>
        </w:tc>
        <w:tc>
          <w:tcPr>
            <w:tcW w:w="2160" w:type="dxa"/>
            <w:shd w:val="clear" w:color="auto" w:fill="auto"/>
            <w:hideMark/>
          </w:tcPr>
          <w:p w14:paraId="51CD6BB8"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Mangrove afforestation along coastline for protecting sea-dykes</w:t>
            </w:r>
          </w:p>
        </w:tc>
        <w:tc>
          <w:tcPr>
            <w:tcW w:w="2250" w:type="dxa"/>
            <w:shd w:val="clear" w:color="auto" w:fill="auto"/>
            <w:hideMark/>
          </w:tcPr>
          <w:p w14:paraId="50AA4790"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Reduced costs in sea-dyke maintenance and repair, reduced disaster-induced material losses, ecological benefits due to carbon sink function of mangroves</w:t>
            </w:r>
          </w:p>
        </w:tc>
        <w:tc>
          <w:tcPr>
            <w:tcW w:w="2250" w:type="dxa"/>
            <w:shd w:val="clear" w:color="auto" w:fill="auto"/>
            <w:hideMark/>
          </w:tcPr>
          <w:p w14:paraId="2F88315C"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Wide range of B/C ratios from 3–69 (excluding sink benefits) and 29–105 (including carbon sink benefits) at discount rate of 7.2%, but hazard occurrence is assumed (every ten years)</w:t>
            </w:r>
          </w:p>
        </w:tc>
      </w:tr>
      <w:tr w:rsidR="007124CF" w:rsidRPr="00C371F6" w14:paraId="1DE76659" w14:textId="77777777" w:rsidTr="007124CF">
        <w:trPr>
          <w:trHeight w:val="795"/>
        </w:trPr>
        <w:tc>
          <w:tcPr>
            <w:tcW w:w="1728" w:type="dxa"/>
            <w:shd w:val="clear" w:color="auto" w:fill="auto"/>
            <w:hideMark/>
          </w:tcPr>
          <w:p w14:paraId="547932DD"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Kahn et al (2012). installation of boat winch system, Vietnam</w:t>
            </w:r>
          </w:p>
        </w:tc>
        <w:tc>
          <w:tcPr>
            <w:tcW w:w="1080" w:type="dxa"/>
            <w:shd w:val="clear" w:color="auto" w:fill="auto"/>
            <w:hideMark/>
          </w:tcPr>
          <w:p w14:paraId="48A13C46"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Wind</w:t>
            </w:r>
          </w:p>
        </w:tc>
        <w:tc>
          <w:tcPr>
            <w:tcW w:w="2160" w:type="dxa"/>
            <w:shd w:val="clear" w:color="auto" w:fill="auto"/>
            <w:hideMark/>
          </w:tcPr>
          <w:p w14:paraId="6C922A29"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Installation of a boat winch system</w:t>
            </w:r>
          </w:p>
        </w:tc>
        <w:tc>
          <w:tcPr>
            <w:tcW w:w="2250" w:type="dxa"/>
            <w:shd w:val="clear" w:color="auto" w:fill="auto"/>
            <w:hideMark/>
          </w:tcPr>
          <w:p w14:paraId="3E6853D7"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Avoided losses of boats during windstorms</w:t>
            </w:r>
          </w:p>
        </w:tc>
        <w:tc>
          <w:tcPr>
            <w:tcW w:w="2250" w:type="dxa"/>
            <w:shd w:val="clear" w:color="auto" w:fill="auto"/>
            <w:hideMark/>
          </w:tcPr>
          <w:p w14:paraId="43653D24"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3.5, with 12% discount rate</w:t>
            </w:r>
          </w:p>
        </w:tc>
      </w:tr>
      <w:tr w:rsidR="007124CF" w:rsidRPr="00C371F6" w14:paraId="443E5AF4" w14:textId="77777777" w:rsidTr="007124CF">
        <w:trPr>
          <w:trHeight w:val="795"/>
        </w:trPr>
        <w:tc>
          <w:tcPr>
            <w:tcW w:w="1728" w:type="dxa"/>
            <w:shd w:val="clear" w:color="auto" w:fill="auto"/>
            <w:noWrap/>
            <w:hideMark/>
          </w:tcPr>
          <w:p w14:paraId="514E16C2"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Eucker et al. (2012). Community-based flood risk management in 4 districts in Bangladesh</w:t>
            </w:r>
          </w:p>
        </w:tc>
        <w:tc>
          <w:tcPr>
            <w:tcW w:w="1080" w:type="dxa"/>
            <w:shd w:val="clear" w:color="auto" w:fill="auto"/>
            <w:hideMark/>
          </w:tcPr>
          <w:p w14:paraId="3BCBF3AF"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Flood</w:t>
            </w:r>
          </w:p>
        </w:tc>
        <w:tc>
          <w:tcPr>
            <w:tcW w:w="2160" w:type="dxa"/>
            <w:shd w:val="clear" w:color="auto" w:fill="auto"/>
            <w:hideMark/>
          </w:tcPr>
          <w:p w14:paraId="1A5046EF"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Community-awareness, risk prevention (through house plinth), livelihood support (rice distribution), emergency training</w:t>
            </w:r>
          </w:p>
        </w:tc>
        <w:tc>
          <w:tcPr>
            <w:tcW w:w="2250" w:type="dxa"/>
            <w:shd w:val="clear" w:color="auto" w:fill="auto"/>
            <w:hideMark/>
          </w:tcPr>
          <w:p w14:paraId="14BE07CF"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Reduced losses to homes and content, increased yield due to distribution of hybrid rice seeds</w:t>
            </w:r>
          </w:p>
        </w:tc>
        <w:tc>
          <w:tcPr>
            <w:tcW w:w="2250" w:type="dxa"/>
            <w:shd w:val="clear" w:color="auto" w:fill="auto"/>
            <w:hideMark/>
          </w:tcPr>
          <w:p w14:paraId="593E4087"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B/C ratios range from 1.2-4.9</w:t>
            </w:r>
          </w:p>
        </w:tc>
      </w:tr>
      <w:tr w:rsidR="007124CF" w:rsidRPr="007124CF" w14:paraId="1DDBBED4" w14:textId="77777777" w:rsidTr="007124CF">
        <w:trPr>
          <w:trHeight w:val="449"/>
        </w:trPr>
        <w:tc>
          <w:tcPr>
            <w:tcW w:w="9468" w:type="dxa"/>
            <w:gridSpan w:val="5"/>
            <w:shd w:val="clear" w:color="auto" w:fill="auto"/>
            <w:vAlign w:val="center"/>
            <w:hideMark/>
          </w:tcPr>
          <w:p w14:paraId="62F72A50" w14:textId="141A2962" w:rsidR="007124CF" w:rsidRPr="0061183E" w:rsidRDefault="007124CF" w:rsidP="007124CF">
            <w:pPr>
              <w:spacing w:line="200" w:lineRule="exact"/>
              <w:rPr>
                <w:rFonts w:ascii="Cambria" w:hAnsi="Cambria" w:cs="Arial"/>
                <w:bCs w:val="0"/>
                <w:sz w:val="16"/>
                <w:szCs w:val="16"/>
                <w:lang w:val="en-US"/>
              </w:rPr>
            </w:pPr>
            <w:r w:rsidRPr="0061183E">
              <w:rPr>
                <w:rFonts w:ascii="Cambria" w:hAnsi="Cambria" w:cs="Arial"/>
                <w:bCs w:val="0"/>
                <w:sz w:val="16"/>
                <w:szCs w:val="16"/>
                <w:lang w:val="en-US"/>
              </w:rPr>
              <w:t>APPRAISALS </w:t>
            </w:r>
          </w:p>
          <w:p w14:paraId="4D5DADA7" w14:textId="0E2956E4" w:rsidR="007124CF" w:rsidRPr="0061183E" w:rsidRDefault="007124CF" w:rsidP="007124CF">
            <w:pPr>
              <w:spacing w:line="200" w:lineRule="exact"/>
              <w:rPr>
                <w:rFonts w:ascii="Cambria" w:hAnsi="Cambria" w:cs="Arial"/>
                <w:bCs w:val="0"/>
                <w:sz w:val="16"/>
                <w:szCs w:val="16"/>
                <w:lang w:val="en-US"/>
              </w:rPr>
            </w:pPr>
            <w:r w:rsidRPr="0061183E">
              <w:rPr>
                <w:rFonts w:ascii="Cambria" w:hAnsi="Cambria" w:cs="Arial"/>
                <w:bCs w:val="0"/>
                <w:sz w:val="16"/>
                <w:szCs w:val="16"/>
                <w:lang w:val="en-US"/>
              </w:rPr>
              <w:t xml:space="preserve"> </w:t>
            </w:r>
          </w:p>
        </w:tc>
      </w:tr>
      <w:tr w:rsidR="007124CF" w:rsidRPr="00C371F6" w14:paraId="3852D0A6" w14:textId="77777777" w:rsidTr="007124CF">
        <w:trPr>
          <w:trHeight w:val="908"/>
        </w:trPr>
        <w:tc>
          <w:tcPr>
            <w:tcW w:w="1728" w:type="dxa"/>
            <w:shd w:val="clear" w:color="auto" w:fill="auto"/>
            <w:hideMark/>
          </w:tcPr>
          <w:p w14:paraId="123498B8"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Kramer (1995). Windproofing banana trees in St. Lucia</w:t>
            </w:r>
          </w:p>
        </w:tc>
        <w:tc>
          <w:tcPr>
            <w:tcW w:w="1080" w:type="dxa"/>
            <w:shd w:val="clear" w:color="auto" w:fill="auto"/>
            <w:hideMark/>
          </w:tcPr>
          <w:p w14:paraId="06D38C2F"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Tropical cyclones</w:t>
            </w:r>
          </w:p>
        </w:tc>
        <w:tc>
          <w:tcPr>
            <w:tcW w:w="2160" w:type="dxa"/>
            <w:shd w:val="clear" w:color="auto" w:fill="auto"/>
            <w:hideMark/>
          </w:tcPr>
          <w:p w14:paraId="7CB5A988"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Appraisal of strengthening of roots of banana trees against windstorms.</w:t>
            </w:r>
          </w:p>
        </w:tc>
        <w:tc>
          <w:tcPr>
            <w:tcW w:w="2250" w:type="dxa"/>
            <w:shd w:val="clear" w:color="auto" w:fill="auto"/>
            <w:noWrap/>
            <w:hideMark/>
          </w:tcPr>
          <w:p w14:paraId="6035CB07"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Reduced yield losses</w:t>
            </w:r>
          </w:p>
        </w:tc>
        <w:tc>
          <w:tcPr>
            <w:tcW w:w="2250" w:type="dxa"/>
            <w:shd w:val="clear" w:color="auto" w:fill="auto"/>
            <w:hideMark/>
          </w:tcPr>
          <w:p w14:paraId="0ABAB8DE"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 xml:space="preserve">Expected internal rate of return: 20.4% </w:t>
            </w:r>
            <w:r w:rsidRPr="0061183E">
              <w:rPr>
                <w:rFonts w:ascii="Cambria" w:hAnsi="Cambria" w:cs="Arial"/>
                <w:bCs w:val="0"/>
                <w:sz w:val="16"/>
                <w:szCs w:val="16"/>
                <w:lang w:val="en-US"/>
              </w:rPr>
              <w:br/>
              <w:t>(range of 7.5%-30.6%)</w:t>
            </w:r>
          </w:p>
        </w:tc>
      </w:tr>
      <w:tr w:rsidR="007124CF" w:rsidRPr="00C371F6" w14:paraId="73349C73" w14:textId="77777777" w:rsidTr="007124CF">
        <w:trPr>
          <w:trHeight w:val="780"/>
        </w:trPr>
        <w:tc>
          <w:tcPr>
            <w:tcW w:w="1728" w:type="dxa"/>
            <w:shd w:val="clear" w:color="auto" w:fill="auto"/>
            <w:hideMark/>
          </w:tcPr>
          <w:p w14:paraId="5C1B4C64"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World Bank (1996). Flood protection - Argentina</w:t>
            </w:r>
          </w:p>
        </w:tc>
        <w:tc>
          <w:tcPr>
            <w:tcW w:w="1080" w:type="dxa"/>
            <w:shd w:val="clear" w:color="auto" w:fill="auto"/>
            <w:hideMark/>
          </w:tcPr>
          <w:p w14:paraId="1E4E7B3C"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Flood</w:t>
            </w:r>
          </w:p>
        </w:tc>
        <w:tc>
          <w:tcPr>
            <w:tcW w:w="2160" w:type="dxa"/>
            <w:shd w:val="clear" w:color="auto" w:fill="auto"/>
            <w:hideMark/>
          </w:tcPr>
          <w:p w14:paraId="43DA7DA5"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Appraisal of Argentinean Flood Protection Project involving the construction of flood defense facilities</w:t>
            </w:r>
          </w:p>
        </w:tc>
        <w:tc>
          <w:tcPr>
            <w:tcW w:w="2250" w:type="dxa"/>
            <w:shd w:val="clear" w:color="auto" w:fill="auto"/>
            <w:noWrap/>
            <w:hideMark/>
          </w:tcPr>
          <w:p w14:paraId="3012FC68"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Reduction in direct flood damages to homes, and avoided expenses of evacuation and relocation</w:t>
            </w:r>
          </w:p>
        </w:tc>
        <w:tc>
          <w:tcPr>
            <w:tcW w:w="2250" w:type="dxa"/>
            <w:shd w:val="clear" w:color="auto" w:fill="auto"/>
            <w:hideMark/>
          </w:tcPr>
          <w:p w14:paraId="6369F6F9"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 xml:space="preserve">Economic rate of return: 20.4% </w:t>
            </w:r>
            <w:r w:rsidRPr="0061183E">
              <w:rPr>
                <w:rFonts w:ascii="Cambria" w:hAnsi="Cambria" w:cs="Arial"/>
                <w:bCs w:val="0"/>
                <w:sz w:val="16"/>
                <w:szCs w:val="16"/>
                <w:lang w:val="en-US"/>
              </w:rPr>
              <w:br/>
              <w:t>(range of 7.5%-30.6%)</w:t>
            </w:r>
          </w:p>
        </w:tc>
      </w:tr>
      <w:tr w:rsidR="007124CF" w:rsidRPr="00C371F6" w14:paraId="559FB874" w14:textId="77777777" w:rsidTr="007124CF">
        <w:trPr>
          <w:trHeight w:val="705"/>
        </w:trPr>
        <w:tc>
          <w:tcPr>
            <w:tcW w:w="1728" w:type="dxa"/>
            <w:shd w:val="clear" w:color="auto" w:fill="auto"/>
            <w:hideMark/>
          </w:tcPr>
          <w:p w14:paraId="4462DA7E"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Dedeurwaerdere (1998). flood prevention measures -Pampanga province- Philippines</w:t>
            </w:r>
          </w:p>
        </w:tc>
        <w:tc>
          <w:tcPr>
            <w:tcW w:w="1080" w:type="dxa"/>
            <w:shd w:val="clear" w:color="auto" w:fill="auto"/>
            <w:hideMark/>
          </w:tcPr>
          <w:p w14:paraId="1F64F136"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Flood</w:t>
            </w:r>
          </w:p>
        </w:tc>
        <w:tc>
          <w:tcPr>
            <w:tcW w:w="2160" w:type="dxa"/>
            <w:shd w:val="clear" w:color="auto" w:fill="auto"/>
            <w:hideMark/>
          </w:tcPr>
          <w:p w14:paraId="7E866B7F"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Appraisal of different prevention measures against floods and lahars in the Philippines</w:t>
            </w:r>
          </w:p>
        </w:tc>
        <w:tc>
          <w:tcPr>
            <w:tcW w:w="2250" w:type="dxa"/>
            <w:shd w:val="clear" w:color="auto" w:fill="auto"/>
            <w:noWrap/>
            <w:hideMark/>
          </w:tcPr>
          <w:p w14:paraId="05D6E0E6"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Avoided direct economic losses in agriculture, residential buildings and infrastructure</w:t>
            </w:r>
          </w:p>
        </w:tc>
        <w:tc>
          <w:tcPr>
            <w:tcW w:w="2250" w:type="dxa"/>
            <w:shd w:val="clear" w:color="auto" w:fill="auto"/>
            <w:hideMark/>
          </w:tcPr>
          <w:p w14:paraId="1F7E917A"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B/C ratio: 3.5 – 30</w:t>
            </w:r>
          </w:p>
        </w:tc>
      </w:tr>
      <w:tr w:rsidR="007124CF" w:rsidRPr="00C371F6" w14:paraId="0615C4DC" w14:textId="77777777" w:rsidTr="007124CF">
        <w:trPr>
          <w:trHeight w:val="520"/>
        </w:trPr>
        <w:tc>
          <w:tcPr>
            <w:tcW w:w="1728" w:type="dxa"/>
            <w:shd w:val="clear" w:color="auto" w:fill="auto"/>
            <w:hideMark/>
          </w:tcPr>
          <w:p w14:paraId="6B7430C0"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Smyth et al. (2004). Seismic retrofit - Istanbul (Turkey)</w:t>
            </w:r>
          </w:p>
        </w:tc>
        <w:tc>
          <w:tcPr>
            <w:tcW w:w="1080" w:type="dxa"/>
            <w:shd w:val="clear" w:color="auto" w:fill="auto"/>
            <w:hideMark/>
          </w:tcPr>
          <w:p w14:paraId="637F2431"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Earthquake</w:t>
            </w:r>
          </w:p>
        </w:tc>
        <w:tc>
          <w:tcPr>
            <w:tcW w:w="2160" w:type="dxa"/>
            <w:shd w:val="clear" w:color="auto" w:fill="auto"/>
            <w:hideMark/>
          </w:tcPr>
          <w:p w14:paraId="1F9C621D"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Smyth et al. (2004). Seismic retrofit In Istanbul</w:t>
            </w:r>
          </w:p>
        </w:tc>
        <w:tc>
          <w:tcPr>
            <w:tcW w:w="2250" w:type="dxa"/>
            <w:shd w:val="clear" w:color="auto" w:fill="auto"/>
            <w:noWrap/>
            <w:hideMark/>
          </w:tcPr>
          <w:p w14:paraId="4D6CC51B"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Reduced structural losses and fatalities</w:t>
            </w:r>
          </w:p>
        </w:tc>
        <w:tc>
          <w:tcPr>
            <w:tcW w:w="2250" w:type="dxa"/>
            <w:shd w:val="clear" w:color="auto" w:fill="auto"/>
            <w:hideMark/>
          </w:tcPr>
          <w:p w14:paraId="60D27D17"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Cost-efficient (in terms of NPV) only when loss of life considered</w:t>
            </w:r>
          </w:p>
        </w:tc>
      </w:tr>
      <w:tr w:rsidR="007124CF" w:rsidRPr="00C371F6" w14:paraId="5E153A69" w14:textId="77777777" w:rsidTr="007124CF">
        <w:trPr>
          <w:trHeight w:val="520"/>
        </w:trPr>
        <w:tc>
          <w:tcPr>
            <w:tcW w:w="1728" w:type="dxa"/>
            <w:shd w:val="clear" w:color="auto" w:fill="auto"/>
            <w:hideMark/>
          </w:tcPr>
          <w:p w14:paraId="0C2DD5CF"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Mechler (2004). Sovereign risk transfer - Honduras and Argentina</w:t>
            </w:r>
          </w:p>
        </w:tc>
        <w:tc>
          <w:tcPr>
            <w:tcW w:w="1080" w:type="dxa"/>
            <w:shd w:val="clear" w:color="auto" w:fill="auto"/>
            <w:hideMark/>
          </w:tcPr>
          <w:p w14:paraId="55702E47"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Earthquake, tropical cyclones</w:t>
            </w:r>
          </w:p>
        </w:tc>
        <w:tc>
          <w:tcPr>
            <w:tcW w:w="2160" w:type="dxa"/>
            <w:shd w:val="clear" w:color="auto" w:fill="auto"/>
            <w:hideMark/>
          </w:tcPr>
          <w:p w14:paraId="4BAC4FF4"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Appraisal of sovereign risk transfer for public infrastructure in Honduras and Argentina</w:t>
            </w:r>
          </w:p>
        </w:tc>
        <w:tc>
          <w:tcPr>
            <w:tcW w:w="2250" w:type="dxa"/>
            <w:shd w:val="clear" w:color="auto" w:fill="auto"/>
            <w:noWrap/>
            <w:hideMark/>
          </w:tcPr>
          <w:p w14:paraId="2C842EA4" w14:textId="77777777" w:rsidR="00063F58" w:rsidRPr="0061183E" w:rsidRDefault="00063F58" w:rsidP="0061183E">
            <w:pPr>
              <w:spacing w:line="200" w:lineRule="exact"/>
              <w:rPr>
                <w:rFonts w:ascii="Cambria" w:hAnsi="Cambria" w:cs="Arial"/>
                <w:bCs w:val="0"/>
                <w:color w:val="000000"/>
                <w:sz w:val="16"/>
                <w:szCs w:val="16"/>
                <w:lang w:val="en-US"/>
              </w:rPr>
            </w:pPr>
            <w:r w:rsidRPr="0061183E">
              <w:rPr>
                <w:rFonts w:ascii="Cambria" w:hAnsi="Cambria" w:cs="Arial"/>
                <w:bCs w:val="0"/>
                <w:color w:val="000000"/>
                <w:sz w:val="16"/>
                <w:szCs w:val="16"/>
                <w:lang w:val="en-US"/>
              </w:rPr>
              <w:t>Reduced effect on GDP</w:t>
            </w:r>
          </w:p>
        </w:tc>
        <w:tc>
          <w:tcPr>
            <w:tcW w:w="2250" w:type="dxa"/>
            <w:shd w:val="clear" w:color="auto" w:fill="auto"/>
            <w:hideMark/>
          </w:tcPr>
          <w:p w14:paraId="65FE0BBD"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 xml:space="preserve">Sovereign insurance beneficial for Honduras, and less so for Argentina </w:t>
            </w:r>
          </w:p>
        </w:tc>
      </w:tr>
      <w:tr w:rsidR="007124CF" w:rsidRPr="00C371F6" w14:paraId="59501EC7" w14:textId="77777777" w:rsidTr="007124CF">
        <w:trPr>
          <w:trHeight w:val="780"/>
        </w:trPr>
        <w:tc>
          <w:tcPr>
            <w:tcW w:w="1728" w:type="dxa"/>
            <w:shd w:val="clear" w:color="auto" w:fill="auto"/>
            <w:hideMark/>
          </w:tcPr>
          <w:p w14:paraId="6F6EA56F" w14:textId="3EE0FA70"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Mechler (2005).  Flood risk prevention - Piura (Peru)</w:t>
            </w:r>
            <w:r w:rsidR="00C371F6" w:rsidRPr="0061183E">
              <w:rPr>
                <w:rFonts w:ascii="Cambria" w:hAnsi="Cambria" w:cs="Arial"/>
                <w:bCs w:val="0"/>
                <w:sz w:val="16"/>
                <w:szCs w:val="16"/>
                <w:lang w:val="en-US"/>
              </w:rPr>
              <w:t xml:space="preserve">, </w:t>
            </w:r>
            <w:r w:rsidR="00C371F6" w:rsidRPr="0061183E">
              <w:rPr>
                <w:rFonts w:ascii="Cambria" w:hAnsi="Cambria" w:cs="Arial"/>
                <w:bCs w:val="0"/>
                <w:color w:val="000000"/>
                <w:sz w:val="16"/>
                <w:szCs w:val="16"/>
                <w:lang w:val="en-US"/>
              </w:rPr>
              <w:t xml:space="preserve">Integrated water management and flood protection scheme -  </w:t>
            </w:r>
          </w:p>
        </w:tc>
        <w:tc>
          <w:tcPr>
            <w:tcW w:w="1080" w:type="dxa"/>
            <w:shd w:val="clear" w:color="auto" w:fill="auto"/>
            <w:hideMark/>
          </w:tcPr>
          <w:p w14:paraId="02CD849F"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Flood</w:t>
            </w:r>
          </w:p>
        </w:tc>
        <w:tc>
          <w:tcPr>
            <w:tcW w:w="2160" w:type="dxa"/>
            <w:shd w:val="clear" w:color="auto" w:fill="auto"/>
            <w:hideMark/>
          </w:tcPr>
          <w:p w14:paraId="21656D74" w14:textId="6319EED3"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Prefeasibility appraisal of Polder system against flooding</w:t>
            </w:r>
            <w:r w:rsidR="00C371F6" w:rsidRPr="0061183E">
              <w:rPr>
                <w:rFonts w:ascii="Cambria" w:hAnsi="Cambria" w:cs="Arial"/>
                <w:bCs w:val="0"/>
                <w:sz w:val="16"/>
                <w:szCs w:val="16"/>
                <w:lang w:val="en-US"/>
              </w:rPr>
              <w:t>, integrated water management and flood protection scheme for Semarang, Indonesia</w:t>
            </w:r>
          </w:p>
        </w:tc>
        <w:tc>
          <w:tcPr>
            <w:tcW w:w="2250" w:type="dxa"/>
            <w:shd w:val="clear" w:color="auto" w:fill="auto"/>
            <w:hideMark/>
          </w:tcPr>
          <w:p w14:paraId="4B24BCA1"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Reduction in direct social and economic and indirect impacts</w:t>
            </w:r>
          </w:p>
        </w:tc>
        <w:tc>
          <w:tcPr>
            <w:tcW w:w="2250" w:type="dxa"/>
            <w:shd w:val="clear" w:color="auto" w:fill="auto"/>
            <w:hideMark/>
          </w:tcPr>
          <w:p w14:paraId="74EBFDA0" w14:textId="77777777" w:rsidR="00C371F6" w:rsidRPr="0061183E" w:rsidRDefault="00C371F6"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Peru</w:t>
            </w:r>
          </w:p>
          <w:p w14:paraId="1B90A61B"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B/C ratio: 3.8</w:t>
            </w:r>
            <w:r w:rsidRPr="0061183E">
              <w:rPr>
                <w:rFonts w:ascii="Cambria" w:hAnsi="Cambria" w:cs="Arial"/>
                <w:bCs w:val="0"/>
                <w:sz w:val="16"/>
                <w:szCs w:val="16"/>
                <w:lang w:val="en-US"/>
              </w:rPr>
              <w:br/>
              <w:t>Range: 2.2-3.8</w:t>
            </w:r>
          </w:p>
          <w:p w14:paraId="174112C2" w14:textId="77777777" w:rsidR="00C371F6" w:rsidRPr="0061183E" w:rsidRDefault="00C371F6"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Indonesia:</w:t>
            </w:r>
          </w:p>
          <w:p w14:paraId="5B6553E3" w14:textId="67421235" w:rsidR="00C371F6" w:rsidRPr="0061183E" w:rsidRDefault="00C371F6"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Best estimate: 2.5</w:t>
            </w:r>
            <w:r w:rsidRPr="0061183E">
              <w:rPr>
                <w:rFonts w:ascii="Cambria" w:hAnsi="Cambria" w:cs="Arial"/>
                <w:bCs w:val="0"/>
                <w:sz w:val="16"/>
                <w:szCs w:val="16"/>
                <w:lang w:val="en-US"/>
              </w:rPr>
              <w:br/>
              <w:t>B/C ratio: 1.9-2.5</w:t>
            </w:r>
          </w:p>
        </w:tc>
      </w:tr>
      <w:tr w:rsidR="007124CF" w:rsidRPr="00C371F6" w14:paraId="267DC35F" w14:textId="77777777" w:rsidTr="007124CF">
        <w:trPr>
          <w:trHeight w:val="1560"/>
        </w:trPr>
        <w:tc>
          <w:tcPr>
            <w:tcW w:w="1728" w:type="dxa"/>
            <w:shd w:val="clear" w:color="auto" w:fill="auto"/>
            <w:hideMark/>
          </w:tcPr>
          <w:p w14:paraId="409BBC6B"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lastRenderedPageBreak/>
              <w:t>Kull et al. (2009). Flood risk prevention -  Uttar Pradesh, India</w:t>
            </w:r>
          </w:p>
        </w:tc>
        <w:tc>
          <w:tcPr>
            <w:tcW w:w="1080" w:type="dxa"/>
            <w:shd w:val="clear" w:color="auto" w:fill="auto"/>
            <w:hideMark/>
          </w:tcPr>
          <w:p w14:paraId="3198262B"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Flood</w:t>
            </w:r>
          </w:p>
        </w:tc>
        <w:tc>
          <w:tcPr>
            <w:tcW w:w="2160" w:type="dxa"/>
            <w:shd w:val="clear" w:color="auto" w:fill="auto"/>
            <w:hideMark/>
          </w:tcPr>
          <w:p w14:paraId="34FD1C88"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Flood risk prevention</w:t>
            </w:r>
          </w:p>
        </w:tc>
        <w:tc>
          <w:tcPr>
            <w:tcW w:w="2250" w:type="dxa"/>
            <w:shd w:val="clear" w:color="auto" w:fill="auto"/>
            <w:hideMark/>
          </w:tcPr>
          <w:p w14:paraId="6D3C703C"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 xml:space="preserve">Direct and indirect as well as intangible benefits </w:t>
            </w:r>
          </w:p>
        </w:tc>
        <w:tc>
          <w:tcPr>
            <w:tcW w:w="2250" w:type="dxa"/>
            <w:shd w:val="clear" w:color="auto" w:fill="auto"/>
            <w:hideMark/>
          </w:tcPr>
          <w:p w14:paraId="42AA9E0A"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Flood risk prevention cost-effective given a future climate with more heavy precipitation. Range of 2-2.5 for BC ratio for today and future conditions</w:t>
            </w:r>
          </w:p>
        </w:tc>
      </w:tr>
      <w:tr w:rsidR="007124CF" w:rsidRPr="00C371F6" w14:paraId="7FC3F2F6" w14:textId="77777777" w:rsidTr="007124CF">
        <w:trPr>
          <w:trHeight w:val="1286"/>
        </w:trPr>
        <w:tc>
          <w:tcPr>
            <w:tcW w:w="1728" w:type="dxa"/>
            <w:shd w:val="clear" w:color="auto" w:fill="auto"/>
            <w:hideMark/>
          </w:tcPr>
          <w:p w14:paraId="41BCCFE7" w14:textId="12581AC9"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Schroeter et al. (2008).</w:t>
            </w:r>
            <w:r w:rsidRPr="0061183E">
              <w:rPr>
                <w:rFonts w:ascii="Cambria" w:hAnsi="Cambria" w:cs="Arial"/>
                <w:bCs w:val="0"/>
                <w:sz w:val="16"/>
                <w:szCs w:val="16"/>
                <w:lang w:val="en-US"/>
              </w:rPr>
              <w:br/>
              <w:t>Early Warning in the Traisen Basin, Lower Austria</w:t>
            </w:r>
            <w:r w:rsidR="00C371F6" w:rsidRPr="0061183E">
              <w:rPr>
                <w:rFonts w:ascii="Cambria" w:hAnsi="Cambria" w:cs="Arial"/>
                <w:bCs w:val="0"/>
                <w:sz w:val="16"/>
                <w:szCs w:val="16"/>
                <w:lang w:val="en-US"/>
              </w:rPr>
              <w:t>&amp; Besos Basin, Catalunya, Spain</w:t>
            </w:r>
          </w:p>
        </w:tc>
        <w:tc>
          <w:tcPr>
            <w:tcW w:w="1080" w:type="dxa"/>
            <w:shd w:val="clear" w:color="auto" w:fill="auto"/>
            <w:noWrap/>
            <w:hideMark/>
          </w:tcPr>
          <w:p w14:paraId="0380BA32"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Flood</w:t>
            </w:r>
          </w:p>
        </w:tc>
        <w:tc>
          <w:tcPr>
            <w:tcW w:w="2160" w:type="dxa"/>
            <w:shd w:val="clear" w:color="auto" w:fill="auto"/>
            <w:noWrap/>
            <w:hideMark/>
          </w:tcPr>
          <w:p w14:paraId="7C73CB81"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Reduction of losses due to installatin of early warning system</w:t>
            </w:r>
          </w:p>
        </w:tc>
        <w:tc>
          <w:tcPr>
            <w:tcW w:w="2250" w:type="dxa"/>
            <w:shd w:val="clear" w:color="auto" w:fill="auto"/>
            <w:noWrap/>
            <w:hideMark/>
          </w:tcPr>
          <w:p w14:paraId="01530EAD"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 xml:space="preserve"> Damage avoided in industry gathered from surveys </w:t>
            </w:r>
          </w:p>
        </w:tc>
        <w:tc>
          <w:tcPr>
            <w:tcW w:w="2250" w:type="dxa"/>
            <w:shd w:val="clear" w:color="auto" w:fill="auto"/>
            <w:hideMark/>
          </w:tcPr>
          <w:p w14:paraId="4130B8FA" w14:textId="0535145C" w:rsidR="00C371F6" w:rsidRPr="0061183E" w:rsidRDefault="00C371F6" w:rsidP="0061183E">
            <w:pPr>
              <w:spacing w:line="200" w:lineRule="exact"/>
              <w:rPr>
                <w:rFonts w:ascii="Cambria" w:hAnsi="Cambria" w:cs="Arial"/>
                <w:bCs w:val="0"/>
                <w:color w:val="000000"/>
                <w:sz w:val="16"/>
                <w:szCs w:val="16"/>
                <w:lang w:val="en-US"/>
              </w:rPr>
            </w:pPr>
            <w:r w:rsidRPr="0061183E">
              <w:rPr>
                <w:rFonts w:ascii="Cambria" w:hAnsi="Cambria" w:cs="Arial"/>
                <w:bCs w:val="0"/>
                <w:color w:val="000000"/>
                <w:sz w:val="16"/>
                <w:szCs w:val="16"/>
                <w:lang w:val="en-US"/>
              </w:rPr>
              <w:t>Austria</w:t>
            </w:r>
          </w:p>
          <w:p w14:paraId="5430D41E"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color w:val="000000"/>
                <w:sz w:val="16"/>
                <w:szCs w:val="16"/>
                <w:lang w:val="en-US"/>
              </w:rPr>
              <w:t xml:space="preserve">11.7, </w:t>
            </w:r>
            <w:r w:rsidRPr="0061183E">
              <w:rPr>
                <w:rFonts w:ascii="Cambria" w:hAnsi="Cambria" w:cs="Arial"/>
                <w:bCs w:val="0"/>
                <w:sz w:val="16"/>
                <w:szCs w:val="16"/>
                <w:lang w:val="en-US"/>
              </w:rPr>
              <w:t>range: 5.8-20.5</w:t>
            </w:r>
          </w:p>
          <w:p w14:paraId="70465A43" w14:textId="5EF43C78" w:rsidR="00C371F6" w:rsidRPr="0061183E" w:rsidRDefault="00C371F6"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Spain</w:t>
            </w:r>
          </w:p>
          <w:p w14:paraId="6A66AB3B" w14:textId="2E2E4C45" w:rsidR="00C371F6" w:rsidRPr="0061183E" w:rsidRDefault="00C371F6" w:rsidP="0061183E">
            <w:pPr>
              <w:spacing w:line="200" w:lineRule="exact"/>
              <w:rPr>
                <w:rFonts w:ascii="Cambria" w:hAnsi="Cambria" w:cs="Arial"/>
                <w:bCs w:val="0"/>
                <w:color w:val="000000"/>
                <w:sz w:val="16"/>
                <w:szCs w:val="16"/>
                <w:lang w:val="en-US"/>
              </w:rPr>
            </w:pPr>
            <w:r w:rsidRPr="0061183E">
              <w:rPr>
                <w:rFonts w:ascii="Cambria" w:hAnsi="Cambria" w:cs="Arial"/>
                <w:bCs w:val="0"/>
                <w:color w:val="000000"/>
                <w:sz w:val="16"/>
                <w:szCs w:val="16"/>
                <w:lang w:val="en-US"/>
              </w:rPr>
              <w:t xml:space="preserve">4.6, </w:t>
            </w:r>
            <w:r w:rsidRPr="0061183E">
              <w:rPr>
                <w:rFonts w:ascii="Cambria" w:hAnsi="Cambria" w:cs="Arial"/>
                <w:bCs w:val="0"/>
                <w:sz w:val="16"/>
                <w:szCs w:val="16"/>
                <w:lang w:val="en-US"/>
              </w:rPr>
              <w:t>range: 2.6-9.0</w:t>
            </w:r>
          </w:p>
        </w:tc>
      </w:tr>
      <w:tr w:rsidR="007124CF" w:rsidRPr="00C371F6" w14:paraId="3CC7CC34" w14:textId="77777777" w:rsidTr="007124CF">
        <w:trPr>
          <w:trHeight w:val="1275"/>
        </w:trPr>
        <w:tc>
          <w:tcPr>
            <w:tcW w:w="1728" w:type="dxa"/>
            <w:shd w:val="clear" w:color="auto" w:fill="auto"/>
            <w:noWrap/>
            <w:hideMark/>
          </w:tcPr>
          <w:p w14:paraId="036B9A66" w14:textId="77777777" w:rsidR="00063F58" w:rsidRPr="0061183E" w:rsidRDefault="00063F58" w:rsidP="0061183E">
            <w:pPr>
              <w:spacing w:line="200" w:lineRule="exact"/>
              <w:rPr>
                <w:rFonts w:ascii="Cambria" w:hAnsi="Cambria" w:cs="Arial"/>
                <w:bCs w:val="0"/>
                <w:color w:val="000000"/>
                <w:sz w:val="16"/>
                <w:szCs w:val="16"/>
                <w:lang w:val="en-US"/>
              </w:rPr>
            </w:pPr>
            <w:r w:rsidRPr="0061183E">
              <w:rPr>
                <w:rFonts w:ascii="Cambria" w:hAnsi="Cambria" w:cs="Arial"/>
                <w:bCs w:val="0"/>
                <w:color w:val="000000"/>
                <w:sz w:val="16"/>
                <w:szCs w:val="16"/>
                <w:lang w:val="en-US"/>
              </w:rPr>
              <w:t>ECA (2009) and CCRIF (2010). Climate risk adaptation cost curves applied to national and subnational level DRM options</w:t>
            </w:r>
          </w:p>
        </w:tc>
        <w:tc>
          <w:tcPr>
            <w:tcW w:w="1080" w:type="dxa"/>
            <w:shd w:val="clear" w:color="auto" w:fill="auto"/>
            <w:hideMark/>
          </w:tcPr>
          <w:p w14:paraId="520EF520"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Tropical cyclones, floods, drought</w:t>
            </w:r>
          </w:p>
        </w:tc>
        <w:tc>
          <w:tcPr>
            <w:tcW w:w="2160" w:type="dxa"/>
            <w:shd w:val="clear" w:color="auto" w:fill="auto"/>
            <w:noWrap/>
            <w:hideMark/>
          </w:tcPr>
          <w:p w14:paraId="22DE9DB3" w14:textId="77777777" w:rsidR="00063F58" w:rsidRPr="0061183E" w:rsidRDefault="00063F58" w:rsidP="0061183E">
            <w:pPr>
              <w:spacing w:line="200" w:lineRule="exact"/>
              <w:rPr>
                <w:rFonts w:ascii="Cambria" w:hAnsi="Cambria" w:cs="Arial"/>
                <w:bCs w:val="0"/>
                <w:color w:val="000000"/>
                <w:sz w:val="16"/>
                <w:szCs w:val="16"/>
                <w:lang w:val="en-US"/>
              </w:rPr>
            </w:pPr>
            <w:r w:rsidRPr="0061183E">
              <w:rPr>
                <w:rFonts w:ascii="Cambria" w:hAnsi="Cambria" w:cs="Arial"/>
                <w:bCs w:val="0"/>
                <w:color w:val="000000"/>
                <w:sz w:val="16"/>
                <w:szCs w:val="16"/>
                <w:lang w:val="en-US"/>
              </w:rPr>
              <w:t>Climate risk adaptation cost curves applied to national and subnational level DRM options</w:t>
            </w:r>
          </w:p>
        </w:tc>
        <w:tc>
          <w:tcPr>
            <w:tcW w:w="2250" w:type="dxa"/>
            <w:shd w:val="clear" w:color="auto" w:fill="auto"/>
            <w:hideMark/>
          </w:tcPr>
          <w:p w14:paraId="5154A408"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Avoided losses in to residential, industrial, commercial and public assets</w:t>
            </w:r>
          </w:p>
        </w:tc>
        <w:tc>
          <w:tcPr>
            <w:tcW w:w="2250" w:type="dxa"/>
            <w:shd w:val="clear" w:color="auto" w:fill="auto"/>
            <w:hideMark/>
          </w:tcPr>
          <w:p w14:paraId="3725B61A"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Wide variety of measures for different locations are considered economically efficient, while others are not</w:t>
            </w:r>
          </w:p>
        </w:tc>
      </w:tr>
      <w:tr w:rsidR="007124CF" w:rsidRPr="00C371F6" w14:paraId="0394D12A" w14:textId="77777777" w:rsidTr="007124CF">
        <w:trPr>
          <w:trHeight w:val="242"/>
        </w:trPr>
        <w:tc>
          <w:tcPr>
            <w:tcW w:w="1728" w:type="dxa"/>
            <w:shd w:val="clear" w:color="auto" w:fill="auto"/>
            <w:hideMark/>
          </w:tcPr>
          <w:p w14:paraId="57F1A8AD"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Mora et al. (2009). Retrofitting three groups of public buildings- Bogota, Colombia</w:t>
            </w:r>
          </w:p>
        </w:tc>
        <w:tc>
          <w:tcPr>
            <w:tcW w:w="1080" w:type="dxa"/>
            <w:shd w:val="clear" w:color="auto" w:fill="auto"/>
            <w:hideMark/>
          </w:tcPr>
          <w:p w14:paraId="6CE0E11E"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Earthquake</w:t>
            </w:r>
          </w:p>
        </w:tc>
        <w:tc>
          <w:tcPr>
            <w:tcW w:w="2160" w:type="dxa"/>
            <w:shd w:val="clear" w:color="auto" w:fill="auto"/>
            <w:hideMark/>
          </w:tcPr>
          <w:p w14:paraId="0A2927CC"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Seismic retrofit</w:t>
            </w:r>
          </w:p>
        </w:tc>
        <w:tc>
          <w:tcPr>
            <w:tcW w:w="2250" w:type="dxa"/>
            <w:shd w:val="clear" w:color="auto" w:fill="auto"/>
            <w:hideMark/>
          </w:tcPr>
          <w:p w14:paraId="67E8862A"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Direct, content and business interruption costs</w:t>
            </w:r>
          </w:p>
        </w:tc>
        <w:tc>
          <w:tcPr>
            <w:tcW w:w="2250" w:type="dxa"/>
            <w:shd w:val="clear" w:color="auto" w:fill="auto"/>
            <w:hideMark/>
          </w:tcPr>
          <w:p w14:paraId="5E6FD6EB"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 xml:space="preserve">Probability of benefit-cost ratio greater than one is  44%, 73%, 12% for education, health and administrative buildings. </w:t>
            </w:r>
          </w:p>
        </w:tc>
      </w:tr>
      <w:tr w:rsidR="007124CF" w:rsidRPr="00C371F6" w14:paraId="202CF8BD" w14:textId="77777777" w:rsidTr="007124CF">
        <w:trPr>
          <w:trHeight w:val="1380"/>
        </w:trPr>
        <w:tc>
          <w:tcPr>
            <w:tcW w:w="1728" w:type="dxa"/>
            <w:shd w:val="clear" w:color="auto" w:fill="auto"/>
            <w:hideMark/>
          </w:tcPr>
          <w:p w14:paraId="7F28D8EC"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Mechler et al. (2009). Integrated drought risk management -Uttar Pradesh, India</w:t>
            </w:r>
          </w:p>
        </w:tc>
        <w:tc>
          <w:tcPr>
            <w:tcW w:w="1080" w:type="dxa"/>
            <w:shd w:val="clear" w:color="auto" w:fill="auto"/>
            <w:hideMark/>
          </w:tcPr>
          <w:p w14:paraId="5D16DD6E"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Drought</w:t>
            </w:r>
          </w:p>
        </w:tc>
        <w:tc>
          <w:tcPr>
            <w:tcW w:w="2160" w:type="dxa"/>
            <w:shd w:val="clear" w:color="auto" w:fill="auto"/>
            <w:hideMark/>
          </w:tcPr>
          <w:p w14:paraId="51399D00"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Combined drought prevention and micro insurance portfolio</w:t>
            </w:r>
          </w:p>
        </w:tc>
        <w:tc>
          <w:tcPr>
            <w:tcW w:w="2250" w:type="dxa"/>
            <w:shd w:val="clear" w:color="auto" w:fill="auto"/>
            <w:hideMark/>
          </w:tcPr>
          <w:p w14:paraId="2A48F340"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Reduced impact on farmer's livelihoods</w:t>
            </w:r>
          </w:p>
        </w:tc>
        <w:tc>
          <w:tcPr>
            <w:tcW w:w="2250" w:type="dxa"/>
            <w:shd w:val="clear" w:color="auto" w:fill="auto"/>
            <w:hideMark/>
          </w:tcPr>
          <w:p w14:paraId="4BA8A774"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Combined drought prevention and microinsurance portfolio more effective than options individually, and range of 1.9 to 2.0 for combined option</w:t>
            </w:r>
          </w:p>
        </w:tc>
      </w:tr>
      <w:tr w:rsidR="007124CF" w:rsidRPr="00C371F6" w14:paraId="49170BD8" w14:textId="77777777" w:rsidTr="007124CF">
        <w:trPr>
          <w:trHeight w:val="1380"/>
        </w:trPr>
        <w:tc>
          <w:tcPr>
            <w:tcW w:w="1728" w:type="dxa"/>
            <w:shd w:val="clear" w:color="auto" w:fill="auto"/>
            <w:hideMark/>
          </w:tcPr>
          <w:p w14:paraId="784F3E34"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Subbiah et al. (2008). Potential benefits of early warning for hurricanes and floods across a number of case studies (Bangladesh, Sri Lanka, Vietnam, Thailand, Indonesia, India, Philippines)</w:t>
            </w:r>
          </w:p>
        </w:tc>
        <w:tc>
          <w:tcPr>
            <w:tcW w:w="1080" w:type="dxa"/>
            <w:shd w:val="clear" w:color="auto" w:fill="auto"/>
            <w:hideMark/>
          </w:tcPr>
          <w:p w14:paraId="13123F0A"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Tropical cyclones, flood</w:t>
            </w:r>
          </w:p>
        </w:tc>
        <w:tc>
          <w:tcPr>
            <w:tcW w:w="2160" w:type="dxa"/>
            <w:shd w:val="clear" w:color="auto" w:fill="auto"/>
            <w:hideMark/>
          </w:tcPr>
          <w:p w14:paraId="3E0916B5"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Setting up and improving early warning systems for sudden onset events, as well as improved seasonal forecasts</w:t>
            </w:r>
          </w:p>
        </w:tc>
        <w:tc>
          <w:tcPr>
            <w:tcW w:w="2250" w:type="dxa"/>
            <w:shd w:val="clear" w:color="auto" w:fill="auto"/>
            <w:hideMark/>
          </w:tcPr>
          <w:p w14:paraId="7DB900CE"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Reduced physical and economic losses</w:t>
            </w:r>
          </w:p>
        </w:tc>
        <w:tc>
          <w:tcPr>
            <w:tcW w:w="2250" w:type="dxa"/>
            <w:shd w:val="clear" w:color="auto" w:fill="auto"/>
            <w:hideMark/>
          </w:tcPr>
          <w:p w14:paraId="3D60E3FC"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Mostly very high returns calculated (up to BC ratio of 559), but no discounting conducted</w:t>
            </w:r>
          </w:p>
        </w:tc>
      </w:tr>
      <w:tr w:rsidR="007124CF" w:rsidRPr="00C371F6" w14:paraId="3BD5E44E" w14:textId="77777777" w:rsidTr="007124CF">
        <w:trPr>
          <w:trHeight w:val="1079"/>
        </w:trPr>
        <w:tc>
          <w:tcPr>
            <w:tcW w:w="1728" w:type="dxa"/>
            <w:shd w:val="clear" w:color="auto" w:fill="auto"/>
            <w:noWrap/>
            <w:hideMark/>
          </w:tcPr>
          <w:p w14:paraId="142E3A62"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Pinelli et al (2009): Multiple hurricane Mitigation measures for residential buildings in Florida</w:t>
            </w:r>
          </w:p>
        </w:tc>
        <w:tc>
          <w:tcPr>
            <w:tcW w:w="1080" w:type="dxa"/>
            <w:shd w:val="clear" w:color="auto" w:fill="auto"/>
            <w:noWrap/>
            <w:hideMark/>
          </w:tcPr>
          <w:p w14:paraId="4C827E11"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Wind</w:t>
            </w:r>
          </w:p>
        </w:tc>
        <w:tc>
          <w:tcPr>
            <w:tcW w:w="2160" w:type="dxa"/>
            <w:shd w:val="clear" w:color="auto" w:fill="auto"/>
            <w:noWrap/>
            <w:hideMark/>
          </w:tcPr>
          <w:p w14:paraId="452B426B"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Multiple measures</w:t>
            </w:r>
          </w:p>
        </w:tc>
        <w:tc>
          <w:tcPr>
            <w:tcW w:w="2250" w:type="dxa"/>
            <w:shd w:val="clear" w:color="auto" w:fill="auto"/>
            <w:noWrap/>
            <w:hideMark/>
          </w:tcPr>
          <w:p w14:paraId="279FE075"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Reduction in losses</w:t>
            </w:r>
          </w:p>
        </w:tc>
        <w:tc>
          <w:tcPr>
            <w:tcW w:w="2250" w:type="dxa"/>
            <w:shd w:val="clear" w:color="auto" w:fill="auto"/>
            <w:noWrap/>
            <w:hideMark/>
          </w:tcPr>
          <w:p w14:paraId="3B72BD53"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0.4-1.7 for the most vulnerable regions. Difference is due to retrofit measures</w:t>
            </w:r>
          </w:p>
        </w:tc>
      </w:tr>
      <w:tr w:rsidR="007124CF" w:rsidRPr="00C371F6" w14:paraId="433904C7" w14:textId="77777777" w:rsidTr="007124CF">
        <w:trPr>
          <w:trHeight w:val="1480"/>
        </w:trPr>
        <w:tc>
          <w:tcPr>
            <w:tcW w:w="1728" w:type="dxa"/>
            <w:shd w:val="clear" w:color="auto" w:fill="auto"/>
            <w:hideMark/>
          </w:tcPr>
          <w:p w14:paraId="17A4654C"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Hochrainer-Stigler et al. (2010), Comparison of structural risk reduction  against hurricane, flood, and earthquake hazard- St. Lucia, Indonesia, Turkey, and India</w:t>
            </w:r>
          </w:p>
        </w:tc>
        <w:tc>
          <w:tcPr>
            <w:tcW w:w="1080" w:type="dxa"/>
            <w:shd w:val="clear" w:color="auto" w:fill="auto"/>
            <w:hideMark/>
          </w:tcPr>
          <w:p w14:paraId="18CEC9BC"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Flood, tropical cyclones, drought</w:t>
            </w:r>
          </w:p>
        </w:tc>
        <w:tc>
          <w:tcPr>
            <w:tcW w:w="2160" w:type="dxa"/>
            <w:shd w:val="clear" w:color="auto" w:fill="auto"/>
            <w:hideMark/>
          </w:tcPr>
          <w:p w14:paraId="501E02D1"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 xml:space="preserve"> Improving or retrofitting residential structures in highly exposed developing countries</w:t>
            </w:r>
          </w:p>
        </w:tc>
        <w:tc>
          <w:tcPr>
            <w:tcW w:w="2250" w:type="dxa"/>
            <w:shd w:val="clear" w:color="auto" w:fill="auto"/>
            <w:hideMark/>
          </w:tcPr>
          <w:p w14:paraId="2A5EFDBE"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Direct structural and loss of life (Turkey)</w:t>
            </w:r>
          </w:p>
        </w:tc>
        <w:tc>
          <w:tcPr>
            <w:tcW w:w="2250" w:type="dxa"/>
            <w:shd w:val="clear" w:color="auto" w:fill="auto"/>
            <w:hideMark/>
          </w:tcPr>
          <w:p w14:paraId="1939387E"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Wide spectrum of results. Simple averages: Floods (India): 3.1 (0.04-6.2);Floods (Indonesia): 1.9 (0.07-3.75);Tropical cyclones  (St. Lucia): 0.8 (0.07-1.5); EQ (Turkey): 2.5 (0.09-4.9) at 12% discount rate</w:t>
            </w:r>
          </w:p>
        </w:tc>
      </w:tr>
      <w:tr w:rsidR="007124CF" w:rsidRPr="00C371F6" w14:paraId="3F72E6EA" w14:textId="77777777" w:rsidTr="007124CF">
        <w:trPr>
          <w:trHeight w:val="1110"/>
        </w:trPr>
        <w:tc>
          <w:tcPr>
            <w:tcW w:w="1728" w:type="dxa"/>
            <w:shd w:val="clear" w:color="auto" w:fill="auto"/>
            <w:hideMark/>
          </w:tcPr>
          <w:p w14:paraId="52D338F1"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lastRenderedPageBreak/>
              <w:t xml:space="preserve">Venton  et al. (2010). Flood prevention as part of safer islands programme  - Maldives </w:t>
            </w:r>
          </w:p>
        </w:tc>
        <w:tc>
          <w:tcPr>
            <w:tcW w:w="1080" w:type="dxa"/>
            <w:shd w:val="clear" w:color="auto" w:fill="auto"/>
            <w:hideMark/>
          </w:tcPr>
          <w:p w14:paraId="0C3C6A84"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Floods</w:t>
            </w:r>
          </w:p>
        </w:tc>
        <w:tc>
          <w:tcPr>
            <w:tcW w:w="2160" w:type="dxa"/>
            <w:shd w:val="clear" w:color="auto" w:fill="auto"/>
            <w:hideMark/>
          </w:tcPr>
          <w:p w14:paraId="04CF1230"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Coastal flood prevention for three islands and three interventions ranging from coastal protection to disaster risk awareness in the Maldives in light of climate change</w:t>
            </w:r>
          </w:p>
        </w:tc>
        <w:tc>
          <w:tcPr>
            <w:tcW w:w="2250" w:type="dxa"/>
            <w:shd w:val="clear" w:color="auto" w:fill="auto"/>
            <w:hideMark/>
          </w:tcPr>
          <w:p w14:paraId="16F972D0"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Avoided losses in to residential, industrial, commercial and public assets</w:t>
            </w:r>
          </w:p>
        </w:tc>
        <w:tc>
          <w:tcPr>
            <w:tcW w:w="2250" w:type="dxa"/>
            <w:shd w:val="clear" w:color="auto" w:fill="auto"/>
            <w:hideMark/>
          </w:tcPr>
          <w:p w14:paraId="7AB651F4"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BC ratio ranges from 0.28-3.65 when summarized across all cases and interventions, simple average across all results: 1.3</w:t>
            </w:r>
          </w:p>
        </w:tc>
      </w:tr>
      <w:tr w:rsidR="007124CF" w:rsidRPr="00C371F6" w14:paraId="771DE5FB" w14:textId="77777777" w:rsidTr="007124CF">
        <w:trPr>
          <w:trHeight w:val="1305"/>
        </w:trPr>
        <w:tc>
          <w:tcPr>
            <w:tcW w:w="1728" w:type="dxa"/>
            <w:shd w:val="clear" w:color="auto" w:fill="auto"/>
            <w:hideMark/>
          </w:tcPr>
          <w:p w14:paraId="361180CA"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ERN-AL (2010). retrofitting schools in Latin America</w:t>
            </w:r>
          </w:p>
        </w:tc>
        <w:tc>
          <w:tcPr>
            <w:tcW w:w="1080" w:type="dxa"/>
            <w:shd w:val="clear" w:color="auto" w:fill="auto"/>
            <w:hideMark/>
          </w:tcPr>
          <w:p w14:paraId="5886A0CB"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Earthquake</w:t>
            </w:r>
          </w:p>
        </w:tc>
        <w:tc>
          <w:tcPr>
            <w:tcW w:w="2160" w:type="dxa"/>
            <w:shd w:val="clear" w:color="auto" w:fill="auto"/>
            <w:hideMark/>
          </w:tcPr>
          <w:p w14:paraId="3FD37CAA"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Seismic retrofit</w:t>
            </w:r>
          </w:p>
        </w:tc>
        <w:tc>
          <w:tcPr>
            <w:tcW w:w="2250" w:type="dxa"/>
            <w:shd w:val="clear" w:color="auto" w:fill="auto"/>
            <w:hideMark/>
          </w:tcPr>
          <w:p w14:paraId="2F625555"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Reduced losses to buildings</w:t>
            </w:r>
          </w:p>
        </w:tc>
        <w:tc>
          <w:tcPr>
            <w:tcW w:w="2250" w:type="dxa"/>
            <w:shd w:val="clear" w:color="auto" w:fill="auto"/>
            <w:hideMark/>
          </w:tcPr>
          <w:p w14:paraId="6A7073F8"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Generally not economically efficient in  Bolivia, Honduras, Nicaragua, Argentina, Colombia, Mexico and Venezuela. Efficient in  Costa Rica, El Salvador and Peru due to low costs of retrofitting.</w:t>
            </w:r>
          </w:p>
        </w:tc>
      </w:tr>
      <w:tr w:rsidR="007124CF" w:rsidRPr="00C371F6" w14:paraId="5839AC7E" w14:textId="77777777" w:rsidTr="007124CF">
        <w:trPr>
          <w:trHeight w:val="2672"/>
        </w:trPr>
        <w:tc>
          <w:tcPr>
            <w:tcW w:w="1728" w:type="dxa"/>
            <w:shd w:val="clear" w:color="auto" w:fill="auto"/>
            <w:noWrap/>
            <w:hideMark/>
          </w:tcPr>
          <w:p w14:paraId="510CB5CF"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Venton et al. (2012). Building drought resilience for pastoralists in Kenya and Ethiopia</w:t>
            </w:r>
          </w:p>
        </w:tc>
        <w:tc>
          <w:tcPr>
            <w:tcW w:w="1080" w:type="dxa"/>
            <w:shd w:val="clear" w:color="auto" w:fill="auto"/>
            <w:noWrap/>
            <w:hideMark/>
          </w:tcPr>
          <w:p w14:paraId="6FA7A821"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Drought</w:t>
            </w:r>
          </w:p>
        </w:tc>
        <w:tc>
          <w:tcPr>
            <w:tcW w:w="2160" w:type="dxa"/>
            <w:shd w:val="clear" w:color="auto" w:fill="auto"/>
            <w:hideMark/>
          </w:tcPr>
          <w:p w14:paraId="0DE9E357"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Options building resilience:  Livestock (improving access to markets, veterinary care, adequate feed and water),   water (wells hand pumps, boreholes), education (school construction)</w:t>
            </w:r>
          </w:p>
        </w:tc>
        <w:tc>
          <w:tcPr>
            <w:tcW w:w="2250" w:type="dxa"/>
            <w:shd w:val="clear" w:color="auto" w:fill="auto"/>
            <w:hideMark/>
          </w:tcPr>
          <w:p w14:paraId="60C34311"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Avoided aid expenditure, animal losses (livestock),  reduced water borne diseases, reduced  water collection time, increased school attendance (water), increased revenue and reduced reliance on food aid (education)</w:t>
            </w:r>
          </w:p>
        </w:tc>
        <w:tc>
          <w:tcPr>
            <w:tcW w:w="2250" w:type="dxa"/>
            <w:shd w:val="clear" w:color="auto" w:fill="auto"/>
            <w:hideMark/>
          </w:tcPr>
          <w:p w14:paraId="3DF0C170"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 xml:space="preserve">Kenya: Livestock: 5.5; Water: 1.1-26; Education: 0.4                                      Ethiopia: Livestock: 3.8; Water: 5.5-27; Education: 0.4   </w:t>
            </w:r>
          </w:p>
        </w:tc>
      </w:tr>
      <w:tr w:rsidR="007124CF" w:rsidRPr="00C371F6" w14:paraId="2BA0C533" w14:textId="77777777" w:rsidTr="007124CF">
        <w:trPr>
          <w:trHeight w:val="940"/>
        </w:trPr>
        <w:tc>
          <w:tcPr>
            <w:tcW w:w="1728" w:type="dxa"/>
            <w:shd w:val="clear" w:color="auto" w:fill="auto"/>
            <w:hideMark/>
          </w:tcPr>
          <w:p w14:paraId="379B5090"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Kahn et al (2012).Earthquake-safe construction in Nepal</w:t>
            </w:r>
          </w:p>
        </w:tc>
        <w:tc>
          <w:tcPr>
            <w:tcW w:w="1080" w:type="dxa"/>
            <w:shd w:val="clear" w:color="auto" w:fill="auto"/>
            <w:hideMark/>
          </w:tcPr>
          <w:p w14:paraId="5C6E88A4"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Earthquake</w:t>
            </w:r>
          </w:p>
        </w:tc>
        <w:tc>
          <w:tcPr>
            <w:tcW w:w="2160" w:type="dxa"/>
            <w:shd w:val="clear" w:color="auto" w:fill="auto"/>
            <w:hideMark/>
          </w:tcPr>
          <w:p w14:paraId="177CDDBD"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Utilizing straw bale in building construction instead of using brick</w:t>
            </w:r>
          </w:p>
        </w:tc>
        <w:tc>
          <w:tcPr>
            <w:tcW w:w="2250" w:type="dxa"/>
            <w:shd w:val="clear" w:color="auto" w:fill="auto"/>
            <w:hideMark/>
          </w:tcPr>
          <w:p w14:paraId="2C534D30"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 xml:space="preserve">Financial benefits of constructing straw-bale houses </w:t>
            </w:r>
          </w:p>
        </w:tc>
        <w:tc>
          <w:tcPr>
            <w:tcW w:w="2250" w:type="dxa"/>
            <w:shd w:val="clear" w:color="auto" w:fill="auto"/>
            <w:hideMark/>
          </w:tcPr>
          <w:p w14:paraId="12C506C1"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2, with 12% discount rate</w:t>
            </w:r>
          </w:p>
        </w:tc>
      </w:tr>
      <w:tr w:rsidR="007124CF" w:rsidRPr="00C371F6" w14:paraId="5FF0BAB1" w14:textId="77777777" w:rsidTr="007124CF">
        <w:trPr>
          <w:trHeight w:val="737"/>
        </w:trPr>
        <w:tc>
          <w:tcPr>
            <w:tcW w:w="1728" w:type="dxa"/>
            <w:shd w:val="clear" w:color="auto" w:fill="auto"/>
            <w:noWrap/>
            <w:hideMark/>
          </w:tcPr>
          <w:p w14:paraId="51B9FA03"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Zarine et al. (2015b): Building of tidal channel in the Seychelles</w:t>
            </w:r>
          </w:p>
        </w:tc>
        <w:tc>
          <w:tcPr>
            <w:tcW w:w="1080" w:type="dxa"/>
            <w:shd w:val="clear" w:color="auto" w:fill="auto"/>
            <w:noWrap/>
            <w:hideMark/>
          </w:tcPr>
          <w:p w14:paraId="66B91FAD"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Flood</w:t>
            </w:r>
          </w:p>
        </w:tc>
        <w:tc>
          <w:tcPr>
            <w:tcW w:w="2160" w:type="dxa"/>
            <w:shd w:val="clear" w:color="auto" w:fill="auto"/>
            <w:noWrap/>
            <w:hideMark/>
          </w:tcPr>
          <w:p w14:paraId="670120D6"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Building of tidal channel running 1.5 km to prevent against flooding</w:t>
            </w:r>
          </w:p>
        </w:tc>
        <w:tc>
          <w:tcPr>
            <w:tcW w:w="2250" w:type="dxa"/>
            <w:shd w:val="clear" w:color="auto" w:fill="auto"/>
            <w:noWrap/>
            <w:hideMark/>
          </w:tcPr>
          <w:p w14:paraId="3155AEA6"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Reduction in losses</w:t>
            </w:r>
          </w:p>
        </w:tc>
        <w:tc>
          <w:tcPr>
            <w:tcW w:w="2250" w:type="dxa"/>
            <w:shd w:val="clear" w:color="auto" w:fill="auto"/>
            <w:noWrap/>
            <w:hideMark/>
          </w:tcPr>
          <w:p w14:paraId="3F19E847"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Range: 0.5- 4.0; best estimate: 1.2</w:t>
            </w:r>
          </w:p>
        </w:tc>
      </w:tr>
      <w:tr w:rsidR="007124CF" w:rsidRPr="00C371F6" w14:paraId="3E413E63" w14:textId="77777777" w:rsidTr="007124CF">
        <w:trPr>
          <w:trHeight w:val="1106"/>
        </w:trPr>
        <w:tc>
          <w:tcPr>
            <w:tcW w:w="1728" w:type="dxa"/>
            <w:shd w:val="clear" w:color="auto" w:fill="auto"/>
            <w:noWrap/>
            <w:hideMark/>
          </w:tcPr>
          <w:p w14:paraId="3136FC68"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Lazamanana et al. (2015). Evaluating Wind proofing options in Madagascar</w:t>
            </w:r>
          </w:p>
        </w:tc>
        <w:tc>
          <w:tcPr>
            <w:tcW w:w="1080" w:type="dxa"/>
            <w:shd w:val="clear" w:color="auto" w:fill="auto"/>
            <w:noWrap/>
            <w:hideMark/>
          </w:tcPr>
          <w:p w14:paraId="257DEF09"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Wind</w:t>
            </w:r>
          </w:p>
        </w:tc>
        <w:tc>
          <w:tcPr>
            <w:tcW w:w="2160" w:type="dxa"/>
            <w:shd w:val="clear" w:color="auto" w:fill="auto"/>
            <w:noWrap/>
            <w:hideMark/>
          </w:tcPr>
          <w:p w14:paraId="6B47EA28"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retrofitting wood and unrefined masonry homes against cyclone wind</w:t>
            </w:r>
          </w:p>
        </w:tc>
        <w:tc>
          <w:tcPr>
            <w:tcW w:w="2250" w:type="dxa"/>
            <w:shd w:val="clear" w:color="auto" w:fill="auto"/>
            <w:noWrap/>
            <w:hideMark/>
          </w:tcPr>
          <w:p w14:paraId="40EF0215"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Reduction in losses</w:t>
            </w:r>
          </w:p>
        </w:tc>
        <w:tc>
          <w:tcPr>
            <w:tcW w:w="2250" w:type="dxa"/>
            <w:shd w:val="clear" w:color="auto" w:fill="auto"/>
            <w:noWrap/>
            <w:hideMark/>
          </w:tcPr>
          <w:p w14:paraId="2C2FBBB8"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Range of B/C ratios: 0.4- 3.4. Best estimate: 1.5</w:t>
            </w:r>
          </w:p>
        </w:tc>
      </w:tr>
      <w:tr w:rsidR="007124CF" w:rsidRPr="00C371F6" w14:paraId="73ECAFF1" w14:textId="77777777" w:rsidTr="007124CF">
        <w:trPr>
          <w:trHeight w:val="760"/>
        </w:trPr>
        <w:tc>
          <w:tcPr>
            <w:tcW w:w="1728" w:type="dxa"/>
            <w:shd w:val="clear" w:color="auto" w:fill="auto"/>
            <w:noWrap/>
            <w:hideMark/>
          </w:tcPr>
          <w:p w14:paraId="68032CCF"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Leste-De Périndorge et al. (2015): Evaluating residential wind proofing options in Mauritius</w:t>
            </w:r>
          </w:p>
        </w:tc>
        <w:tc>
          <w:tcPr>
            <w:tcW w:w="1080" w:type="dxa"/>
            <w:shd w:val="clear" w:color="auto" w:fill="auto"/>
            <w:noWrap/>
            <w:hideMark/>
          </w:tcPr>
          <w:p w14:paraId="5CDB0107"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Wind</w:t>
            </w:r>
          </w:p>
        </w:tc>
        <w:tc>
          <w:tcPr>
            <w:tcW w:w="2160" w:type="dxa"/>
            <w:shd w:val="clear" w:color="auto" w:fill="auto"/>
            <w:noWrap/>
            <w:hideMark/>
          </w:tcPr>
          <w:p w14:paraId="58C33EBC"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Retrofitting concrete, iron and wood framed homes against cyclone wind</w:t>
            </w:r>
          </w:p>
        </w:tc>
        <w:tc>
          <w:tcPr>
            <w:tcW w:w="2250" w:type="dxa"/>
            <w:shd w:val="clear" w:color="auto" w:fill="auto"/>
            <w:noWrap/>
            <w:hideMark/>
          </w:tcPr>
          <w:p w14:paraId="554AA04A"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Reduction in losses</w:t>
            </w:r>
          </w:p>
        </w:tc>
        <w:tc>
          <w:tcPr>
            <w:tcW w:w="2250" w:type="dxa"/>
            <w:shd w:val="clear" w:color="auto" w:fill="auto"/>
            <w:noWrap/>
            <w:hideMark/>
          </w:tcPr>
          <w:p w14:paraId="2AF4299A" w14:textId="77777777" w:rsidR="00063F58" w:rsidRPr="0061183E" w:rsidRDefault="00063F58" w:rsidP="0061183E">
            <w:pPr>
              <w:spacing w:line="200" w:lineRule="exact"/>
              <w:rPr>
                <w:rFonts w:ascii="Cambria" w:hAnsi="Cambria" w:cs="Arial"/>
                <w:bCs w:val="0"/>
                <w:sz w:val="16"/>
                <w:szCs w:val="16"/>
                <w:lang w:val="en-US"/>
              </w:rPr>
            </w:pPr>
            <w:r w:rsidRPr="0061183E">
              <w:rPr>
                <w:rFonts w:ascii="Cambria" w:hAnsi="Cambria" w:cs="Arial"/>
                <w:bCs w:val="0"/>
                <w:sz w:val="16"/>
                <w:szCs w:val="16"/>
                <w:lang w:val="en-US"/>
              </w:rPr>
              <w:t>B/C ratios for different frames: concrete: 0.3- 1.65; iron: 1.3-9.3; wood: 1.2-6.4</w:t>
            </w:r>
          </w:p>
        </w:tc>
      </w:tr>
    </w:tbl>
    <w:p w14:paraId="797C19F7" w14:textId="77777777" w:rsidR="00B47D89" w:rsidRPr="00C371F6" w:rsidRDefault="00B47D89" w:rsidP="00B47D89">
      <w:pPr>
        <w:autoSpaceDE w:val="0"/>
        <w:autoSpaceDN w:val="0"/>
        <w:adjustRightInd w:val="0"/>
        <w:rPr>
          <w:rFonts w:ascii="Cambria" w:hAnsi="Cambria"/>
        </w:rPr>
      </w:pPr>
    </w:p>
    <w:p w14:paraId="57D0A987" w14:textId="77777777" w:rsidR="00B47D89" w:rsidRPr="00C371F6" w:rsidRDefault="00B47D89" w:rsidP="009D6DB6">
      <w:pPr>
        <w:pStyle w:val="Literaturverzeichnis"/>
        <w:rPr>
          <w:rFonts w:ascii="Cambria" w:hAnsi="Cambria"/>
          <w:sz w:val="22"/>
          <w:szCs w:val="22"/>
          <w:lang w:val="en-GB"/>
        </w:rPr>
      </w:pPr>
    </w:p>
    <w:sectPr w:rsidR="00B47D89" w:rsidRPr="00C371F6" w:rsidSect="001207A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3892A" w14:textId="77777777" w:rsidR="00476852" w:rsidRDefault="00476852" w:rsidP="00B247FE">
      <w:r>
        <w:separator/>
      </w:r>
    </w:p>
  </w:endnote>
  <w:endnote w:type="continuationSeparator" w:id="0">
    <w:p w14:paraId="7D1700DA" w14:textId="77777777" w:rsidR="00476852" w:rsidRDefault="00476852" w:rsidP="00B24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55">
    <w:altName w:val="Bell MT"/>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48FC4" w14:textId="77777777" w:rsidR="0061183E" w:rsidRDefault="0061183E">
    <w:pPr>
      <w:pStyle w:val="Footer"/>
      <w:jc w:val="center"/>
    </w:pPr>
    <w:r>
      <w:fldChar w:fldCharType="begin"/>
    </w:r>
    <w:r>
      <w:instrText xml:space="preserve"> PAGE   \* MERGEFORMAT </w:instrText>
    </w:r>
    <w:r>
      <w:fldChar w:fldCharType="separate"/>
    </w:r>
    <w:r w:rsidR="00045524">
      <w:rPr>
        <w:noProof/>
      </w:rPr>
      <w:t>1</w:t>
    </w:r>
    <w:r>
      <w:rPr>
        <w:noProof/>
      </w:rPr>
      <w:fldChar w:fldCharType="end"/>
    </w:r>
  </w:p>
  <w:p w14:paraId="523C2F7D" w14:textId="77777777" w:rsidR="0061183E" w:rsidRDefault="006118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69B8C" w14:textId="77777777" w:rsidR="00476852" w:rsidRDefault="00476852" w:rsidP="00B247FE">
      <w:r>
        <w:separator/>
      </w:r>
    </w:p>
  </w:footnote>
  <w:footnote w:type="continuationSeparator" w:id="0">
    <w:p w14:paraId="2262F74E" w14:textId="77777777" w:rsidR="00476852" w:rsidRDefault="00476852" w:rsidP="00B247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9ACC7DE"/>
    <w:name w:val="WW8Num13"/>
    <w:lvl w:ilvl="0">
      <w:start w:val="1"/>
      <w:numFmt w:val="decimal"/>
      <w:pStyle w:val="Stylecaption-tableCalibri12ptLinespacingsingle"/>
      <w:lvlText w:val="Table %1:"/>
      <w:lvlJc w:val="left"/>
      <w:pPr>
        <w:tabs>
          <w:tab w:val="num" w:pos="90"/>
        </w:tabs>
      </w:pPr>
      <w:rPr>
        <w:rFonts w:cs="Times New Roman" w:hint="default"/>
      </w:rPr>
    </w:lvl>
    <w:lvl w:ilvl="1">
      <w:start w:val="1"/>
      <w:numFmt w:val="decimal"/>
      <w:lvlText w:val="Section %1.%2"/>
      <w:lvlJc w:val="left"/>
      <w:pPr>
        <w:tabs>
          <w:tab w:val="num" w:pos="-1470"/>
        </w:tabs>
        <w:ind w:left="-1470"/>
      </w:pPr>
      <w:rPr>
        <w:rFonts w:cs="Times New Roman" w:hint="default"/>
      </w:rPr>
    </w:lvl>
    <w:lvl w:ilvl="2">
      <w:start w:val="1"/>
      <w:numFmt w:val="lowerLetter"/>
      <w:lvlText w:val="(%3)"/>
      <w:lvlJc w:val="left"/>
      <w:pPr>
        <w:tabs>
          <w:tab w:val="num" w:pos="-750"/>
        </w:tabs>
        <w:ind w:left="-750" w:hanging="432"/>
      </w:pPr>
      <w:rPr>
        <w:rFonts w:cs="Times New Roman" w:hint="default"/>
      </w:rPr>
    </w:lvl>
    <w:lvl w:ilvl="3">
      <w:start w:val="1"/>
      <w:numFmt w:val="lowerRoman"/>
      <w:lvlText w:val="(%4)"/>
      <w:lvlJc w:val="right"/>
      <w:pPr>
        <w:tabs>
          <w:tab w:val="num" w:pos="-606"/>
        </w:tabs>
        <w:ind w:left="-606" w:hanging="144"/>
      </w:pPr>
      <w:rPr>
        <w:rFonts w:cs="Times New Roman" w:hint="default"/>
      </w:rPr>
    </w:lvl>
    <w:lvl w:ilvl="4">
      <w:start w:val="1"/>
      <w:numFmt w:val="decimal"/>
      <w:lvlText w:val="%5)"/>
      <w:lvlJc w:val="left"/>
      <w:pPr>
        <w:tabs>
          <w:tab w:val="num" w:pos="-462"/>
        </w:tabs>
        <w:ind w:left="-462" w:hanging="432"/>
      </w:pPr>
      <w:rPr>
        <w:rFonts w:cs="Times New Roman" w:hint="default"/>
      </w:rPr>
    </w:lvl>
    <w:lvl w:ilvl="5">
      <w:start w:val="1"/>
      <w:numFmt w:val="lowerLetter"/>
      <w:lvlText w:val="%6)"/>
      <w:lvlJc w:val="left"/>
      <w:pPr>
        <w:tabs>
          <w:tab w:val="num" w:pos="-318"/>
        </w:tabs>
        <w:ind w:left="-318" w:hanging="432"/>
      </w:pPr>
      <w:rPr>
        <w:rFonts w:cs="Times New Roman" w:hint="default"/>
      </w:rPr>
    </w:lvl>
    <w:lvl w:ilvl="6">
      <w:start w:val="1"/>
      <w:numFmt w:val="lowerRoman"/>
      <w:lvlText w:val="%7)"/>
      <w:lvlJc w:val="right"/>
      <w:pPr>
        <w:tabs>
          <w:tab w:val="num" w:pos="-174"/>
        </w:tabs>
        <w:ind w:left="-174" w:hanging="288"/>
      </w:pPr>
      <w:rPr>
        <w:rFonts w:cs="Times New Roman" w:hint="default"/>
      </w:rPr>
    </w:lvl>
    <w:lvl w:ilvl="7">
      <w:start w:val="1"/>
      <w:numFmt w:val="lowerLetter"/>
      <w:lvlText w:val="%8."/>
      <w:lvlJc w:val="left"/>
      <w:pPr>
        <w:tabs>
          <w:tab w:val="num" w:pos="-30"/>
        </w:tabs>
        <w:ind w:left="-30" w:hanging="432"/>
      </w:pPr>
      <w:rPr>
        <w:rFonts w:cs="Times New Roman" w:hint="default"/>
      </w:rPr>
    </w:lvl>
    <w:lvl w:ilvl="8">
      <w:start w:val="1"/>
      <w:numFmt w:val="lowerRoman"/>
      <w:lvlText w:val="%9."/>
      <w:lvlJc w:val="right"/>
      <w:pPr>
        <w:tabs>
          <w:tab w:val="num" w:pos="114"/>
        </w:tabs>
        <w:ind w:left="114" w:hanging="144"/>
      </w:pPr>
      <w:rPr>
        <w:rFonts w:cs="Times New Roman" w:hint="default"/>
      </w:rPr>
    </w:lvl>
  </w:abstractNum>
  <w:abstractNum w:abstractNumId="1" w15:restartNumberingAfterBreak="0">
    <w:nsid w:val="025824F4"/>
    <w:multiLevelType w:val="multilevel"/>
    <w:tmpl w:val="9D041160"/>
    <w:name w:val="WW8Num1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03CC64EC"/>
    <w:multiLevelType w:val="hybridMultilevel"/>
    <w:tmpl w:val="1140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F5A99"/>
    <w:multiLevelType w:val="hybridMultilevel"/>
    <w:tmpl w:val="2A6CF9EA"/>
    <w:lvl w:ilvl="0" w:tplc="DBAAAF1A">
      <w:start w:val="1"/>
      <w:numFmt w:val="decimal"/>
      <w:lvlText w:val="Figure %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DA354D"/>
    <w:multiLevelType w:val="multilevel"/>
    <w:tmpl w:val="F6AE10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712B7A"/>
    <w:multiLevelType w:val="hybridMultilevel"/>
    <w:tmpl w:val="DAAC8588"/>
    <w:lvl w:ilvl="0" w:tplc="04090001">
      <w:start w:val="1"/>
      <w:numFmt w:val="bullet"/>
      <w:lvlText w:val=""/>
      <w:lvlJc w:val="left"/>
      <w:pPr>
        <w:tabs>
          <w:tab w:val="num" w:pos="-56"/>
        </w:tabs>
        <w:ind w:left="-56" w:hanging="360"/>
      </w:pPr>
      <w:rPr>
        <w:rFonts w:ascii="Symbol" w:hAnsi="Symbol" w:hint="default"/>
      </w:rPr>
    </w:lvl>
    <w:lvl w:ilvl="1" w:tplc="04090003" w:tentative="1">
      <w:start w:val="1"/>
      <w:numFmt w:val="bullet"/>
      <w:lvlText w:val="o"/>
      <w:lvlJc w:val="left"/>
      <w:pPr>
        <w:tabs>
          <w:tab w:val="num" w:pos="664"/>
        </w:tabs>
        <w:ind w:left="664" w:hanging="360"/>
      </w:pPr>
      <w:rPr>
        <w:rFonts w:ascii="Courier New" w:hAnsi="Courier New" w:hint="default"/>
      </w:rPr>
    </w:lvl>
    <w:lvl w:ilvl="2" w:tplc="04090005" w:tentative="1">
      <w:start w:val="1"/>
      <w:numFmt w:val="bullet"/>
      <w:lvlText w:val=""/>
      <w:lvlJc w:val="left"/>
      <w:pPr>
        <w:tabs>
          <w:tab w:val="num" w:pos="1384"/>
        </w:tabs>
        <w:ind w:left="1384" w:hanging="360"/>
      </w:pPr>
      <w:rPr>
        <w:rFonts w:ascii="Wingdings" w:hAnsi="Wingdings" w:hint="default"/>
      </w:rPr>
    </w:lvl>
    <w:lvl w:ilvl="3" w:tplc="04090001" w:tentative="1">
      <w:start w:val="1"/>
      <w:numFmt w:val="bullet"/>
      <w:lvlText w:val=""/>
      <w:lvlJc w:val="left"/>
      <w:pPr>
        <w:tabs>
          <w:tab w:val="num" w:pos="2104"/>
        </w:tabs>
        <w:ind w:left="2104" w:hanging="360"/>
      </w:pPr>
      <w:rPr>
        <w:rFonts w:ascii="Symbol" w:hAnsi="Symbol" w:hint="default"/>
      </w:rPr>
    </w:lvl>
    <w:lvl w:ilvl="4" w:tplc="04090003" w:tentative="1">
      <w:start w:val="1"/>
      <w:numFmt w:val="bullet"/>
      <w:lvlText w:val="o"/>
      <w:lvlJc w:val="left"/>
      <w:pPr>
        <w:tabs>
          <w:tab w:val="num" w:pos="2824"/>
        </w:tabs>
        <w:ind w:left="2824" w:hanging="360"/>
      </w:pPr>
      <w:rPr>
        <w:rFonts w:ascii="Courier New" w:hAnsi="Courier New" w:hint="default"/>
      </w:rPr>
    </w:lvl>
    <w:lvl w:ilvl="5" w:tplc="04090005" w:tentative="1">
      <w:start w:val="1"/>
      <w:numFmt w:val="bullet"/>
      <w:lvlText w:val=""/>
      <w:lvlJc w:val="left"/>
      <w:pPr>
        <w:tabs>
          <w:tab w:val="num" w:pos="3544"/>
        </w:tabs>
        <w:ind w:left="3544" w:hanging="360"/>
      </w:pPr>
      <w:rPr>
        <w:rFonts w:ascii="Wingdings" w:hAnsi="Wingdings" w:hint="default"/>
      </w:rPr>
    </w:lvl>
    <w:lvl w:ilvl="6" w:tplc="04090001" w:tentative="1">
      <w:start w:val="1"/>
      <w:numFmt w:val="bullet"/>
      <w:lvlText w:val=""/>
      <w:lvlJc w:val="left"/>
      <w:pPr>
        <w:tabs>
          <w:tab w:val="num" w:pos="4264"/>
        </w:tabs>
        <w:ind w:left="4264" w:hanging="360"/>
      </w:pPr>
      <w:rPr>
        <w:rFonts w:ascii="Symbol" w:hAnsi="Symbol" w:hint="default"/>
      </w:rPr>
    </w:lvl>
    <w:lvl w:ilvl="7" w:tplc="04090003" w:tentative="1">
      <w:start w:val="1"/>
      <w:numFmt w:val="bullet"/>
      <w:lvlText w:val="o"/>
      <w:lvlJc w:val="left"/>
      <w:pPr>
        <w:tabs>
          <w:tab w:val="num" w:pos="4984"/>
        </w:tabs>
        <w:ind w:left="4984" w:hanging="360"/>
      </w:pPr>
      <w:rPr>
        <w:rFonts w:ascii="Courier New" w:hAnsi="Courier New" w:hint="default"/>
      </w:rPr>
    </w:lvl>
    <w:lvl w:ilvl="8" w:tplc="04090005" w:tentative="1">
      <w:start w:val="1"/>
      <w:numFmt w:val="bullet"/>
      <w:lvlText w:val=""/>
      <w:lvlJc w:val="left"/>
      <w:pPr>
        <w:tabs>
          <w:tab w:val="num" w:pos="5704"/>
        </w:tabs>
        <w:ind w:left="5704" w:hanging="360"/>
      </w:pPr>
      <w:rPr>
        <w:rFonts w:ascii="Wingdings" w:hAnsi="Wingdings" w:hint="default"/>
      </w:rPr>
    </w:lvl>
  </w:abstractNum>
  <w:abstractNum w:abstractNumId="6" w15:restartNumberingAfterBreak="0">
    <w:nsid w:val="28631C03"/>
    <w:multiLevelType w:val="hybridMultilevel"/>
    <w:tmpl w:val="A95EE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98775D"/>
    <w:multiLevelType w:val="hybridMultilevel"/>
    <w:tmpl w:val="0F440880"/>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8" w15:restartNumberingAfterBreak="0">
    <w:nsid w:val="34F71A74"/>
    <w:multiLevelType w:val="multilevel"/>
    <w:tmpl w:val="D31C8682"/>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 w15:restartNumberingAfterBreak="0">
    <w:nsid w:val="35D208D6"/>
    <w:multiLevelType w:val="hybridMultilevel"/>
    <w:tmpl w:val="6FEE63D8"/>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D96AC2"/>
    <w:multiLevelType w:val="hybridMultilevel"/>
    <w:tmpl w:val="CD76D292"/>
    <w:lvl w:ilvl="0" w:tplc="0409000F">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AC1DD8"/>
    <w:multiLevelType w:val="multilevel"/>
    <w:tmpl w:val="6074B4EC"/>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720"/>
        </w:tabs>
        <w:ind w:left="576" w:hanging="576"/>
      </w:pPr>
      <w:rPr>
        <w:rFonts w:cs="Times New Roman" w:hint="default"/>
      </w:rPr>
    </w:lvl>
    <w:lvl w:ilvl="2">
      <w:start w:val="1"/>
      <w:numFmt w:val="decimal"/>
      <w:pStyle w:val="Heading3"/>
      <w:lvlText w:val="%1.%2.%3"/>
      <w:lvlJc w:val="left"/>
      <w:pPr>
        <w:tabs>
          <w:tab w:val="num" w:pos="720"/>
        </w:tabs>
        <w:ind w:left="720" w:hanging="720"/>
      </w:pPr>
      <w:rPr>
        <w:rFonts w:ascii="Times New Roman" w:hAnsi="Times New Roman" w:cs="Times New Roman"/>
        <w:b w:val="0"/>
        <w:bCs w:val="0"/>
        <w:i w:val="0"/>
        <w:iCs w:val="0"/>
        <w:caps w:val="0"/>
        <w:smallCaps w:val="0"/>
        <w:strike w:val="0"/>
        <w:dstrike w:val="0"/>
        <w:vanish w:val="0"/>
        <w:spacing w:val="0"/>
        <w:kern w:val="0"/>
        <w:position w:val="0"/>
        <w:u w:val="none"/>
        <w:effect w:val="none"/>
        <w:vertAlign w:val="baseline"/>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58AD34F6"/>
    <w:multiLevelType w:val="singleLevel"/>
    <w:tmpl w:val="16E81666"/>
    <w:lvl w:ilvl="0">
      <w:start w:val="1"/>
      <w:numFmt w:val="bullet"/>
      <w:pStyle w:val="Aufzhlung"/>
      <w:lvlText w:val=""/>
      <w:lvlJc w:val="left"/>
      <w:pPr>
        <w:tabs>
          <w:tab w:val="num" w:pos="360"/>
        </w:tabs>
        <w:ind w:left="360" w:hanging="360"/>
      </w:pPr>
      <w:rPr>
        <w:rFonts w:ascii="Wingdings" w:hAnsi="Wingdings" w:hint="default"/>
        <w:sz w:val="16"/>
      </w:rPr>
    </w:lvl>
  </w:abstractNum>
  <w:abstractNum w:abstractNumId="13" w15:restartNumberingAfterBreak="0">
    <w:nsid w:val="5ABF0909"/>
    <w:multiLevelType w:val="multilevel"/>
    <w:tmpl w:val="7786C360"/>
    <w:lvl w:ilvl="0">
      <w:start w:val="1"/>
      <w:numFmt w:val="decimal"/>
      <w:pStyle w:val="caption-table"/>
      <w:lvlText w:val="Table %1:"/>
      <w:lvlJc w:val="left"/>
      <w:pPr>
        <w:tabs>
          <w:tab w:val="num" w:pos="1080"/>
        </w:tabs>
      </w:pPr>
      <w:rPr>
        <w:rFonts w:ascii="Times New Roman" w:hAnsi="Times New Roman" w:cs="Times New Roman"/>
        <w:b w:val="0"/>
        <w:bCs w:val="0"/>
        <w:i w:val="0"/>
        <w:iCs w:val="0"/>
        <w:caps w:val="0"/>
        <w:smallCaps w:val="0"/>
        <w:strike w:val="0"/>
        <w:dstrike w:val="0"/>
        <w:vanish w:val="0"/>
        <w:spacing w:val="0"/>
        <w:kern w:val="0"/>
        <w:position w:val="0"/>
        <w:u w:val="none"/>
        <w:effect w:val="none"/>
        <w:vertAlign w:val="baseline"/>
      </w:rPr>
    </w:lvl>
    <w:lvl w:ilvl="1">
      <w:start w:val="1"/>
      <w:numFmt w:val="decimalZero"/>
      <w:isLgl/>
      <w:lvlText w:val="Section %1.%2"/>
      <w:lvlJc w:val="left"/>
      <w:pPr>
        <w:tabs>
          <w:tab w:val="num" w:pos="108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4" w15:restartNumberingAfterBreak="0">
    <w:nsid w:val="6FA43658"/>
    <w:multiLevelType w:val="hybridMultilevel"/>
    <w:tmpl w:val="2F923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1726E02"/>
    <w:multiLevelType w:val="hybridMultilevel"/>
    <w:tmpl w:val="336E5D5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266774D"/>
    <w:multiLevelType w:val="hybridMultilevel"/>
    <w:tmpl w:val="2304D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1A2EE1"/>
    <w:multiLevelType w:val="multilevel"/>
    <w:tmpl w:val="26060AFE"/>
    <w:lvl w:ilvl="0">
      <w:start w:val="1"/>
      <w:numFmt w:val="decimal"/>
      <w:lvlText w:val="Figure %1"/>
      <w:lvlJc w:val="left"/>
      <w:pPr>
        <w:ind w:left="720" w:hanging="360"/>
      </w:pPr>
      <w:rPr>
        <w:rFonts w:cs="Times New Roman" w:hint="default"/>
      </w:rPr>
    </w:lvl>
    <w:lvl w:ilvl="1">
      <w:start w:val="1"/>
      <w:numFmt w:val="decimalZero"/>
      <w:isLgl/>
      <w:lvlText w:val="Section %1.%2"/>
      <w:lvlJc w:val="left"/>
      <w:pPr>
        <w:tabs>
          <w:tab w:val="num" w:pos="1440"/>
        </w:tabs>
      </w:pPr>
      <w:rPr>
        <w:rFonts w:cs="Times New Roman" w:hint="default"/>
      </w:rPr>
    </w:lvl>
    <w:lvl w:ilvl="2">
      <w:start w:val="1"/>
      <w:numFmt w:val="lowerLetter"/>
      <w:lvlText w:val="(%3)"/>
      <w:lvlJc w:val="left"/>
      <w:pPr>
        <w:tabs>
          <w:tab w:val="num" w:pos="1080"/>
        </w:tabs>
        <w:ind w:left="1080" w:hanging="432"/>
      </w:pPr>
      <w:rPr>
        <w:rFonts w:cs="Times New Roman" w:hint="default"/>
      </w:rPr>
    </w:lvl>
    <w:lvl w:ilvl="3">
      <w:start w:val="1"/>
      <w:numFmt w:val="lowerRoman"/>
      <w:lvlText w:val="(%4)"/>
      <w:lvlJc w:val="right"/>
      <w:pPr>
        <w:tabs>
          <w:tab w:val="num" w:pos="1224"/>
        </w:tabs>
        <w:ind w:left="1224" w:hanging="144"/>
      </w:pPr>
      <w:rPr>
        <w:rFonts w:cs="Times New Roman" w:hint="default"/>
      </w:rPr>
    </w:lvl>
    <w:lvl w:ilvl="4">
      <w:start w:val="1"/>
      <w:numFmt w:val="decimal"/>
      <w:lvlText w:val="%5)"/>
      <w:lvlJc w:val="left"/>
      <w:pPr>
        <w:tabs>
          <w:tab w:val="num" w:pos="1368"/>
        </w:tabs>
        <w:ind w:left="1368" w:hanging="432"/>
      </w:pPr>
      <w:rPr>
        <w:rFonts w:cs="Times New Roman" w:hint="default"/>
      </w:rPr>
    </w:lvl>
    <w:lvl w:ilvl="5">
      <w:start w:val="1"/>
      <w:numFmt w:val="lowerLetter"/>
      <w:lvlText w:val="%6)"/>
      <w:lvlJc w:val="left"/>
      <w:pPr>
        <w:tabs>
          <w:tab w:val="num" w:pos="1512"/>
        </w:tabs>
        <w:ind w:left="1512" w:hanging="432"/>
      </w:pPr>
      <w:rPr>
        <w:rFonts w:cs="Times New Roman" w:hint="default"/>
      </w:rPr>
    </w:lvl>
    <w:lvl w:ilvl="6">
      <w:start w:val="1"/>
      <w:numFmt w:val="lowerRoman"/>
      <w:lvlText w:val="%7)"/>
      <w:lvlJc w:val="right"/>
      <w:pPr>
        <w:tabs>
          <w:tab w:val="num" w:pos="1656"/>
        </w:tabs>
        <w:ind w:left="1656" w:hanging="288"/>
      </w:pPr>
      <w:rPr>
        <w:rFonts w:cs="Times New Roman" w:hint="default"/>
      </w:rPr>
    </w:lvl>
    <w:lvl w:ilvl="7">
      <w:start w:val="1"/>
      <w:numFmt w:val="lowerLetter"/>
      <w:lvlText w:val="%8."/>
      <w:lvlJc w:val="left"/>
      <w:pPr>
        <w:tabs>
          <w:tab w:val="num" w:pos="1800"/>
        </w:tabs>
        <w:ind w:left="1800" w:hanging="432"/>
      </w:pPr>
      <w:rPr>
        <w:rFonts w:cs="Times New Roman" w:hint="default"/>
      </w:rPr>
    </w:lvl>
    <w:lvl w:ilvl="8">
      <w:start w:val="1"/>
      <w:numFmt w:val="lowerRoman"/>
      <w:lvlText w:val="%9."/>
      <w:lvlJc w:val="right"/>
      <w:pPr>
        <w:tabs>
          <w:tab w:val="num" w:pos="1944"/>
        </w:tabs>
        <w:ind w:left="1944" w:hanging="144"/>
      </w:pPr>
      <w:rPr>
        <w:rFonts w:cs="Times New Roman" w:hint="default"/>
      </w:rPr>
    </w:lvl>
  </w:abstractNum>
  <w:abstractNum w:abstractNumId="18" w15:restartNumberingAfterBreak="0">
    <w:nsid w:val="77C76722"/>
    <w:multiLevelType w:val="hybridMultilevel"/>
    <w:tmpl w:val="28C68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7"/>
  </w:num>
  <w:num w:numId="4">
    <w:abstractNumId w:val="11"/>
  </w:num>
  <w:num w:numId="5">
    <w:abstractNumId w:val="5"/>
  </w:num>
  <w:num w:numId="6">
    <w:abstractNumId w:val="7"/>
  </w:num>
  <w:num w:numId="7">
    <w:abstractNumId w:val="15"/>
  </w:num>
  <w:num w:numId="8">
    <w:abstractNumId w:val="0"/>
  </w:num>
  <w:num w:numId="9">
    <w:abstractNumId w:val="12"/>
  </w:num>
  <w:num w:numId="10">
    <w:abstractNumId w:val="9"/>
  </w:num>
  <w:num w:numId="11">
    <w:abstractNumId w:val="4"/>
  </w:num>
  <w:num w:numId="12">
    <w:abstractNumId w:val="10"/>
  </w:num>
  <w:num w:numId="13">
    <w:abstractNumId w:val="6"/>
  </w:num>
  <w:num w:numId="14">
    <w:abstractNumId w:val="17"/>
  </w:num>
  <w:num w:numId="15">
    <w:abstractNumId w:val="17"/>
  </w:num>
  <w:num w:numId="16">
    <w:abstractNumId w:val="3"/>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4"/>
  </w:num>
  <w:num w:numId="31">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DF3"/>
    <w:rsid w:val="00002277"/>
    <w:rsid w:val="00003AB2"/>
    <w:rsid w:val="000050C0"/>
    <w:rsid w:val="00007250"/>
    <w:rsid w:val="000075A8"/>
    <w:rsid w:val="00010822"/>
    <w:rsid w:val="00014CAB"/>
    <w:rsid w:val="00015117"/>
    <w:rsid w:val="000151A5"/>
    <w:rsid w:val="00015642"/>
    <w:rsid w:val="00016E62"/>
    <w:rsid w:val="00024587"/>
    <w:rsid w:val="000260EA"/>
    <w:rsid w:val="000269C8"/>
    <w:rsid w:val="000275B7"/>
    <w:rsid w:val="00030C8C"/>
    <w:rsid w:val="00032E95"/>
    <w:rsid w:val="00033720"/>
    <w:rsid w:val="00040134"/>
    <w:rsid w:val="00040473"/>
    <w:rsid w:val="0004193E"/>
    <w:rsid w:val="00045524"/>
    <w:rsid w:val="00045FB4"/>
    <w:rsid w:val="0004695C"/>
    <w:rsid w:val="00047C9A"/>
    <w:rsid w:val="0005201C"/>
    <w:rsid w:val="00053441"/>
    <w:rsid w:val="00053AE4"/>
    <w:rsid w:val="000547A3"/>
    <w:rsid w:val="0005590F"/>
    <w:rsid w:val="000576D2"/>
    <w:rsid w:val="00062866"/>
    <w:rsid w:val="00063835"/>
    <w:rsid w:val="00063F58"/>
    <w:rsid w:val="00067492"/>
    <w:rsid w:val="0006773C"/>
    <w:rsid w:val="00072C1E"/>
    <w:rsid w:val="000737E6"/>
    <w:rsid w:val="00074E88"/>
    <w:rsid w:val="0007532A"/>
    <w:rsid w:val="00075A3D"/>
    <w:rsid w:val="00075BA4"/>
    <w:rsid w:val="00080741"/>
    <w:rsid w:val="00081A9A"/>
    <w:rsid w:val="00083D57"/>
    <w:rsid w:val="00084145"/>
    <w:rsid w:val="000954A3"/>
    <w:rsid w:val="000B644E"/>
    <w:rsid w:val="000B676B"/>
    <w:rsid w:val="000B7949"/>
    <w:rsid w:val="000B7F3C"/>
    <w:rsid w:val="000C2C7A"/>
    <w:rsid w:val="000C3ACC"/>
    <w:rsid w:val="000C43AA"/>
    <w:rsid w:val="000C684B"/>
    <w:rsid w:val="000D271F"/>
    <w:rsid w:val="000D2E20"/>
    <w:rsid w:val="000D6841"/>
    <w:rsid w:val="000E58B1"/>
    <w:rsid w:val="000E6245"/>
    <w:rsid w:val="000E7B61"/>
    <w:rsid w:val="000F0D04"/>
    <w:rsid w:val="000F1439"/>
    <w:rsid w:val="000F2FCF"/>
    <w:rsid w:val="000F3AC4"/>
    <w:rsid w:val="000F58C9"/>
    <w:rsid w:val="000F67B0"/>
    <w:rsid w:val="00104E63"/>
    <w:rsid w:val="00110C7A"/>
    <w:rsid w:val="00111BEE"/>
    <w:rsid w:val="001207A7"/>
    <w:rsid w:val="001247A0"/>
    <w:rsid w:val="00127BB5"/>
    <w:rsid w:val="00131752"/>
    <w:rsid w:val="001319E5"/>
    <w:rsid w:val="0013343A"/>
    <w:rsid w:val="00134021"/>
    <w:rsid w:val="00141DD1"/>
    <w:rsid w:val="00145D62"/>
    <w:rsid w:val="0015047E"/>
    <w:rsid w:val="00150BE7"/>
    <w:rsid w:val="00152DDC"/>
    <w:rsid w:val="001552BC"/>
    <w:rsid w:val="00155C57"/>
    <w:rsid w:val="001636D2"/>
    <w:rsid w:val="001669A6"/>
    <w:rsid w:val="00173AB1"/>
    <w:rsid w:val="0017458A"/>
    <w:rsid w:val="00180C09"/>
    <w:rsid w:val="00186338"/>
    <w:rsid w:val="00186614"/>
    <w:rsid w:val="00187881"/>
    <w:rsid w:val="00191086"/>
    <w:rsid w:val="00197521"/>
    <w:rsid w:val="001A3F0A"/>
    <w:rsid w:val="001A472A"/>
    <w:rsid w:val="001A4D50"/>
    <w:rsid w:val="001A5394"/>
    <w:rsid w:val="001A57D7"/>
    <w:rsid w:val="001B2CF6"/>
    <w:rsid w:val="001B36A7"/>
    <w:rsid w:val="001C0D79"/>
    <w:rsid w:val="001C594A"/>
    <w:rsid w:val="001D5B00"/>
    <w:rsid w:val="001F28BE"/>
    <w:rsid w:val="001F67C1"/>
    <w:rsid w:val="001F71BB"/>
    <w:rsid w:val="00207F5A"/>
    <w:rsid w:val="00212EF9"/>
    <w:rsid w:val="00214C64"/>
    <w:rsid w:val="00215908"/>
    <w:rsid w:val="002208B3"/>
    <w:rsid w:val="002230F4"/>
    <w:rsid w:val="00224410"/>
    <w:rsid w:val="00230D07"/>
    <w:rsid w:val="00235A41"/>
    <w:rsid w:val="002431B0"/>
    <w:rsid w:val="0024532E"/>
    <w:rsid w:val="00252D94"/>
    <w:rsid w:val="002625FE"/>
    <w:rsid w:val="002639E0"/>
    <w:rsid w:val="00264D48"/>
    <w:rsid w:val="002671C8"/>
    <w:rsid w:val="0027314C"/>
    <w:rsid w:val="0027498D"/>
    <w:rsid w:val="00276B24"/>
    <w:rsid w:val="0028537F"/>
    <w:rsid w:val="002A2574"/>
    <w:rsid w:val="002A2F03"/>
    <w:rsid w:val="002A7B89"/>
    <w:rsid w:val="002B07FF"/>
    <w:rsid w:val="002B42B9"/>
    <w:rsid w:val="002B4D0D"/>
    <w:rsid w:val="002B65AE"/>
    <w:rsid w:val="002B6F30"/>
    <w:rsid w:val="002B7030"/>
    <w:rsid w:val="002C54E6"/>
    <w:rsid w:val="002D1549"/>
    <w:rsid w:val="002D4661"/>
    <w:rsid w:val="002D5D4A"/>
    <w:rsid w:val="002D7612"/>
    <w:rsid w:val="002E126B"/>
    <w:rsid w:val="002E259C"/>
    <w:rsid w:val="002E7748"/>
    <w:rsid w:val="0030059C"/>
    <w:rsid w:val="0030076C"/>
    <w:rsid w:val="00303C96"/>
    <w:rsid w:val="00305B7B"/>
    <w:rsid w:val="00306FE4"/>
    <w:rsid w:val="0030793F"/>
    <w:rsid w:val="00310540"/>
    <w:rsid w:val="003135C0"/>
    <w:rsid w:val="003228DF"/>
    <w:rsid w:val="00332B76"/>
    <w:rsid w:val="003349B7"/>
    <w:rsid w:val="003462FB"/>
    <w:rsid w:val="00346F99"/>
    <w:rsid w:val="00346FDC"/>
    <w:rsid w:val="00353219"/>
    <w:rsid w:val="0035682B"/>
    <w:rsid w:val="00361DD3"/>
    <w:rsid w:val="00364B94"/>
    <w:rsid w:val="00371105"/>
    <w:rsid w:val="003717C6"/>
    <w:rsid w:val="003718D4"/>
    <w:rsid w:val="00372AEC"/>
    <w:rsid w:val="003776C1"/>
    <w:rsid w:val="00383179"/>
    <w:rsid w:val="0038795D"/>
    <w:rsid w:val="003915DB"/>
    <w:rsid w:val="00391FEA"/>
    <w:rsid w:val="00392EE6"/>
    <w:rsid w:val="003A00C7"/>
    <w:rsid w:val="003A1A99"/>
    <w:rsid w:val="003A50F3"/>
    <w:rsid w:val="003A536F"/>
    <w:rsid w:val="003A6FEB"/>
    <w:rsid w:val="003B1633"/>
    <w:rsid w:val="003B6261"/>
    <w:rsid w:val="003C7DC9"/>
    <w:rsid w:val="003D2C38"/>
    <w:rsid w:val="003D31BB"/>
    <w:rsid w:val="003D507C"/>
    <w:rsid w:val="003D72E0"/>
    <w:rsid w:val="003E191C"/>
    <w:rsid w:val="003E7EE5"/>
    <w:rsid w:val="003F4A5A"/>
    <w:rsid w:val="003F53BD"/>
    <w:rsid w:val="0040267F"/>
    <w:rsid w:val="00402CE3"/>
    <w:rsid w:val="00404BD5"/>
    <w:rsid w:val="00411F51"/>
    <w:rsid w:val="0041602C"/>
    <w:rsid w:val="00420248"/>
    <w:rsid w:val="00436D8B"/>
    <w:rsid w:val="00441E81"/>
    <w:rsid w:val="004425C2"/>
    <w:rsid w:val="00442EC4"/>
    <w:rsid w:val="00443502"/>
    <w:rsid w:val="00444FD7"/>
    <w:rsid w:val="004459FD"/>
    <w:rsid w:val="004461AF"/>
    <w:rsid w:val="00447ED1"/>
    <w:rsid w:val="0045164F"/>
    <w:rsid w:val="00461FB6"/>
    <w:rsid w:val="004630CD"/>
    <w:rsid w:val="00471AF1"/>
    <w:rsid w:val="004737A3"/>
    <w:rsid w:val="004742F2"/>
    <w:rsid w:val="0047453C"/>
    <w:rsid w:val="00475E69"/>
    <w:rsid w:val="00476852"/>
    <w:rsid w:val="00482E5E"/>
    <w:rsid w:val="0048717A"/>
    <w:rsid w:val="00491970"/>
    <w:rsid w:val="004A36BA"/>
    <w:rsid w:val="004B7ECB"/>
    <w:rsid w:val="004C2EED"/>
    <w:rsid w:val="004C3EEE"/>
    <w:rsid w:val="004C407D"/>
    <w:rsid w:val="004C6C13"/>
    <w:rsid w:val="004D0999"/>
    <w:rsid w:val="004D3D61"/>
    <w:rsid w:val="004D45CA"/>
    <w:rsid w:val="004D6339"/>
    <w:rsid w:val="004E1EC8"/>
    <w:rsid w:val="004E5459"/>
    <w:rsid w:val="004F71E3"/>
    <w:rsid w:val="00500185"/>
    <w:rsid w:val="00504F73"/>
    <w:rsid w:val="005103FC"/>
    <w:rsid w:val="00512CBB"/>
    <w:rsid w:val="005173A8"/>
    <w:rsid w:val="005216D8"/>
    <w:rsid w:val="00525652"/>
    <w:rsid w:val="00526BF3"/>
    <w:rsid w:val="00532581"/>
    <w:rsid w:val="0053278F"/>
    <w:rsid w:val="00532EAF"/>
    <w:rsid w:val="00536D08"/>
    <w:rsid w:val="00541FC1"/>
    <w:rsid w:val="0054278A"/>
    <w:rsid w:val="00544230"/>
    <w:rsid w:val="00546E9F"/>
    <w:rsid w:val="005508CF"/>
    <w:rsid w:val="00554E86"/>
    <w:rsid w:val="00560CF3"/>
    <w:rsid w:val="005637E3"/>
    <w:rsid w:val="00564428"/>
    <w:rsid w:val="0056443A"/>
    <w:rsid w:val="0056498E"/>
    <w:rsid w:val="00565CD5"/>
    <w:rsid w:val="00567AC4"/>
    <w:rsid w:val="00573105"/>
    <w:rsid w:val="00573B33"/>
    <w:rsid w:val="0058086E"/>
    <w:rsid w:val="00583AAF"/>
    <w:rsid w:val="00583FA2"/>
    <w:rsid w:val="0059089B"/>
    <w:rsid w:val="00596DF2"/>
    <w:rsid w:val="00597F86"/>
    <w:rsid w:val="005A4448"/>
    <w:rsid w:val="005A4D9E"/>
    <w:rsid w:val="005A7C11"/>
    <w:rsid w:val="005B07C1"/>
    <w:rsid w:val="005B1EEA"/>
    <w:rsid w:val="005C226A"/>
    <w:rsid w:val="005C6345"/>
    <w:rsid w:val="005C6EF5"/>
    <w:rsid w:val="005C7AB0"/>
    <w:rsid w:val="005D08A4"/>
    <w:rsid w:val="005D0AD4"/>
    <w:rsid w:val="005E0907"/>
    <w:rsid w:val="005E1227"/>
    <w:rsid w:val="005E4095"/>
    <w:rsid w:val="005E769F"/>
    <w:rsid w:val="005F0637"/>
    <w:rsid w:val="005F26D5"/>
    <w:rsid w:val="005F6B62"/>
    <w:rsid w:val="006040F2"/>
    <w:rsid w:val="0061183E"/>
    <w:rsid w:val="0061367B"/>
    <w:rsid w:val="00614182"/>
    <w:rsid w:val="00614FA1"/>
    <w:rsid w:val="00616691"/>
    <w:rsid w:val="006372AD"/>
    <w:rsid w:val="00643868"/>
    <w:rsid w:val="00643897"/>
    <w:rsid w:val="00644F92"/>
    <w:rsid w:val="00647CFB"/>
    <w:rsid w:val="0065138A"/>
    <w:rsid w:val="006519AE"/>
    <w:rsid w:val="00652AEE"/>
    <w:rsid w:val="006533FA"/>
    <w:rsid w:val="00655934"/>
    <w:rsid w:val="00656F07"/>
    <w:rsid w:val="00661587"/>
    <w:rsid w:val="00664374"/>
    <w:rsid w:val="00664D82"/>
    <w:rsid w:val="006653E2"/>
    <w:rsid w:val="00665E75"/>
    <w:rsid w:val="0067019C"/>
    <w:rsid w:val="00676E3E"/>
    <w:rsid w:val="0067784A"/>
    <w:rsid w:val="00680616"/>
    <w:rsid w:val="00680E9B"/>
    <w:rsid w:val="0068299B"/>
    <w:rsid w:val="00684485"/>
    <w:rsid w:val="00690111"/>
    <w:rsid w:val="006903D5"/>
    <w:rsid w:val="00693D8B"/>
    <w:rsid w:val="006957D7"/>
    <w:rsid w:val="00695E8B"/>
    <w:rsid w:val="006A3E0C"/>
    <w:rsid w:val="006A428C"/>
    <w:rsid w:val="006A4926"/>
    <w:rsid w:val="006B31EA"/>
    <w:rsid w:val="006B3F06"/>
    <w:rsid w:val="006B4940"/>
    <w:rsid w:val="006B660C"/>
    <w:rsid w:val="006B7FC3"/>
    <w:rsid w:val="006C2829"/>
    <w:rsid w:val="006C5D6D"/>
    <w:rsid w:val="006D0915"/>
    <w:rsid w:val="006D2646"/>
    <w:rsid w:val="006D2D51"/>
    <w:rsid w:val="006D4A26"/>
    <w:rsid w:val="006D5ACA"/>
    <w:rsid w:val="006E23EE"/>
    <w:rsid w:val="006E28B5"/>
    <w:rsid w:val="006E3015"/>
    <w:rsid w:val="006F023F"/>
    <w:rsid w:val="006F4260"/>
    <w:rsid w:val="006F4FA2"/>
    <w:rsid w:val="006F6C04"/>
    <w:rsid w:val="00703D93"/>
    <w:rsid w:val="007124CF"/>
    <w:rsid w:val="007227EA"/>
    <w:rsid w:val="00723CC8"/>
    <w:rsid w:val="00724301"/>
    <w:rsid w:val="00730886"/>
    <w:rsid w:val="00730D4B"/>
    <w:rsid w:val="007333BE"/>
    <w:rsid w:val="00736FF1"/>
    <w:rsid w:val="00746F8B"/>
    <w:rsid w:val="00747313"/>
    <w:rsid w:val="00747C91"/>
    <w:rsid w:val="007505E0"/>
    <w:rsid w:val="007507DE"/>
    <w:rsid w:val="00750C59"/>
    <w:rsid w:val="00753B36"/>
    <w:rsid w:val="00753D06"/>
    <w:rsid w:val="00754B86"/>
    <w:rsid w:val="00755581"/>
    <w:rsid w:val="00760FC6"/>
    <w:rsid w:val="007619ED"/>
    <w:rsid w:val="00763767"/>
    <w:rsid w:val="007641FB"/>
    <w:rsid w:val="00765033"/>
    <w:rsid w:val="00766D48"/>
    <w:rsid w:val="00771F05"/>
    <w:rsid w:val="007723A2"/>
    <w:rsid w:val="00775A52"/>
    <w:rsid w:val="00776D5C"/>
    <w:rsid w:val="007805EB"/>
    <w:rsid w:val="0078172F"/>
    <w:rsid w:val="007859B8"/>
    <w:rsid w:val="007868CF"/>
    <w:rsid w:val="00787B3A"/>
    <w:rsid w:val="007970F0"/>
    <w:rsid w:val="007A0804"/>
    <w:rsid w:val="007A0C63"/>
    <w:rsid w:val="007A2DDD"/>
    <w:rsid w:val="007B01BF"/>
    <w:rsid w:val="007C3DB6"/>
    <w:rsid w:val="007C637F"/>
    <w:rsid w:val="007C6711"/>
    <w:rsid w:val="007C7A31"/>
    <w:rsid w:val="007D0F29"/>
    <w:rsid w:val="007D3933"/>
    <w:rsid w:val="007D4F1B"/>
    <w:rsid w:val="007E102A"/>
    <w:rsid w:val="007E63AF"/>
    <w:rsid w:val="007E6A14"/>
    <w:rsid w:val="007F0097"/>
    <w:rsid w:val="007F2241"/>
    <w:rsid w:val="007F2B44"/>
    <w:rsid w:val="007F34FB"/>
    <w:rsid w:val="007F3BA8"/>
    <w:rsid w:val="008057B0"/>
    <w:rsid w:val="00811B69"/>
    <w:rsid w:val="00812755"/>
    <w:rsid w:val="00812EB8"/>
    <w:rsid w:val="008143BE"/>
    <w:rsid w:val="0082059E"/>
    <w:rsid w:val="00826C44"/>
    <w:rsid w:val="0082765D"/>
    <w:rsid w:val="0083044B"/>
    <w:rsid w:val="00833E2C"/>
    <w:rsid w:val="00833E5C"/>
    <w:rsid w:val="00837328"/>
    <w:rsid w:val="00840D25"/>
    <w:rsid w:val="008427FA"/>
    <w:rsid w:val="0084319A"/>
    <w:rsid w:val="00843802"/>
    <w:rsid w:val="008500A3"/>
    <w:rsid w:val="008504BA"/>
    <w:rsid w:val="008510D8"/>
    <w:rsid w:val="00851B99"/>
    <w:rsid w:val="0085485B"/>
    <w:rsid w:val="008565FC"/>
    <w:rsid w:val="0086171E"/>
    <w:rsid w:val="00865097"/>
    <w:rsid w:val="0087445D"/>
    <w:rsid w:val="00876E1A"/>
    <w:rsid w:val="00880FFE"/>
    <w:rsid w:val="008834B4"/>
    <w:rsid w:val="00883D7C"/>
    <w:rsid w:val="00884D5B"/>
    <w:rsid w:val="008A1726"/>
    <w:rsid w:val="008A267A"/>
    <w:rsid w:val="008A3D6F"/>
    <w:rsid w:val="008A4E6D"/>
    <w:rsid w:val="008A4EE8"/>
    <w:rsid w:val="008B109B"/>
    <w:rsid w:val="008B1ACD"/>
    <w:rsid w:val="008B1E60"/>
    <w:rsid w:val="008B3BA5"/>
    <w:rsid w:val="008B4AEC"/>
    <w:rsid w:val="008B6120"/>
    <w:rsid w:val="008B61B9"/>
    <w:rsid w:val="008C577F"/>
    <w:rsid w:val="008C6B8C"/>
    <w:rsid w:val="008D1996"/>
    <w:rsid w:val="008E011D"/>
    <w:rsid w:val="008E0D6C"/>
    <w:rsid w:val="008E2438"/>
    <w:rsid w:val="008E4D18"/>
    <w:rsid w:val="008E5A1E"/>
    <w:rsid w:val="008E7398"/>
    <w:rsid w:val="008E7AB9"/>
    <w:rsid w:val="008E7B80"/>
    <w:rsid w:val="008F2162"/>
    <w:rsid w:val="00900B5B"/>
    <w:rsid w:val="00902604"/>
    <w:rsid w:val="00905326"/>
    <w:rsid w:val="00906859"/>
    <w:rsid w:val="0091112C"/>
    <w:rsid w:val="009171F6"/>
    <w:rsid w:val="00924F23"/>
    <w:rsid w:val="009275D6"/>
    <w:rsid w:val="009342BA"/>
    <w:rsid w:val="00941873"/>
    <w:rsid w:val="009424EB"/>
    <w:rsid w:val="009435F8"/>
    <w:rsid w:val="0094407B"/>
    <w:rsid w:val="00953AE2"/>
    <w:rsid w:val="009578BB"/>
    <w:rsid w:val="009612B1"/>
    <w:rsid w:val="00961737"/>
    <w:rsid w:val="00962444"/>
    <w:rsid w:val="00965851"/>
    <w:rsid w:val="009719B8"/>
    <w:rsid w:val="009742F7"/>
    <w:rsid w:val="009863E3"/>
    <w:rsid w:val="009869FC"/>
    <w:rsid w:val="0099102F"/>
    <w:rsid w:val="00995E79"/>
    <w:rsid w:val="00995F55"/>
    <w:rsid w:val="009B1FA6"/>
    <w:rsid w:val="009B4047"/>
    <w:rsid w:val="009C0355"/>
    <w:rsid w:val="009C3471"/>
    <w:rsid w:val="009C3A0E"/>
    <w:rsid w:val="009C670F"/>
    <w:rsid w:val="009C6760"/>
    <w:rsid w:val="009D0C3C"/>
    <w:rsid w:val="009D18E4"/>
    <w:rsid w:val="009D2E71"/>
    <w:rsid w:val="009D5CC4"/>
    <w:rsid w:val="009D6DB6"/>
    <w:rsid w:val="009D70D2"/>
    <w:rsid w:val="009E0871"/>
    <w:rsid w:val="009E7D5F"/>
    <w:rsid w:val="009F2021"/>
    <w:rsid w:val="009F4092"/>
    <w:rsid w:val="00A01E8F"/>
    <w:rsid w:val="00A03F6C"/>
    <w:rsid w:val="00A04947"/>
    <w:rsid w:val="00A0791B"/>
    <w:rsid w:val="00A1735D"/>
    <w:rsid w:val="00A2326A"/>
    <w:rsid w:val="00A239CA"/>
    <w:rsid w:val="00A328DE"/>
    <w:rsid w:val="00A32EC3"/>
    <w:rsid w:val="00A33CAA"/>
    <w:rsid w:val="00A33D03"/>
    <w:rsid w:val="00A35321"/>
    <w:rsid w:val="00A35FD8"/>
    <w:rsid w:val="00A404CC"/>
    <w:rsid w:val="00A40B39"/>
    <w:rsid w:val="00A42B51"/>
    <w:rsid w:val="00A470B5"/>
    <w:rsid w:val="00A52940"/>
    <w:rsid w:val="00A563D7"/>
    <w:rsid w:val="00A602F2"/>
    <w:rsid w:val="00A6622C"/>
    <w:rsid w:val="00A66D62"/>
    <w:rsid w:val="00A70087"/>
    <w:rsid w:val="00A71091"/>
    <w:rsid w:val="00A74027"/>
    <w:rsid w:val="00A74B50"/>
    <w:rsid w:val="00A80872"/>
    <w:rsid w:val="00A817AC"/>
    <w:rsid w:val="00A85AD1"/>
    <w:rsid w:val="00A87BF8"/>
    <w:rsid w:val="00A958C3"/>
    <w:rsid w:val="00A97FF7"/>
    <w:rsid w:val="00AA0887"/>
    <w:rsid w:val="00AB5FF9"/>
    <w:rsid w:val="00AB78D7"/>
    <w:rsid w:val="00AB7E92"/>
    <w:rsid w:val="00AC081F"/>
    <w:rsid w:val="00AC201F"/>
    <w:rsid w:val="00AD16F5"/>
    <w:rsid w:val="00AD31C1"/>
    <w:rsid w:val="00AD320A"/>
    <w:rsid w:val="00AD49B1"/>
    <w:rsid w:val="00AE05B4"/>
    <w:rsid w:val="00AE178A"/>
    <w:rsid w:val="00AE27AF"/>
    <w:rsid w:val="00AE3C3F"/>
    <w:rsid w:val="00AE5DAF"/>
    <w:rsid w:val="00AE67C3"/>
    <w:rsid w:val="00AE765E"/>
    <w:rsid w:val="00AF1513"/>
    <w:rsid w:val="00B0444E"/>
    <w:rsid w:val="00B05945"/>
    <w:rsid w:val="00B071EF"/>
    <w:rsid w:val="00B1040A"/>
    <w:rsid w:val="00B10DD8"/>
    <w:rsid w:val="00B10EA3"/>
    <w:rsid w:val="00B13836"/>
    <w:rsid w:val="00B141E1"/>
    <w:rsid w:val="00B14582"/>
    <w:rsid w:val="00B20BC2"/>
    <w:rsid w:val="00B239F7"/>
    <w:rsid w:val="00B247FE"/>
    <w:rsid w:val="00B26403"/>
    <w:rsid w:val="00B26729"/>
    <w:rsid w:val="00B31F2D"/>
    <w:rsid w:val="00B3284B"/>
    <w:rsid w:val="00B32A53"/>
    <w:rsid w:val="00B36839"/>
    <w:rsid w:val="00B407FC"/>
    <w:rsid w:val="00B47D89"/>
    <w:rsid w:val="00B520FA"/>
    <w:rsid w:val="00B535B6"/>
    <w:rsid w:val="00B60A8F"/>
    <w:rsid w:val="00B61A4F"/>
    <w:rsid w:val="00B64B8E"/>
    <w:rsid w:val="00B65F54"/>
    <w:rsid w:val="00B6616E"/>
    <w:rsid w:val="00B66A51"/>
    <w:rsid w:val="00B76F68"/>
    <w:rsid w:val="00B80562"/>
    <w:rsid w:val="00B815CD"/>
    <w:rsid w:val="00B87091"/>
    <w:rsid w:val="00B90D3A"/>
    <w:rsid w:val="00B913BE"/>
    <w:rsid w:val="00B94D66"/>
    <w:rsid w:val="00BA38D1"/>
    <w:rsid w:val="00BA3F52"/>
    <w:rsid w:val="00BA58C3"/>
    <w:rsid w:val="00BB07D5"/>
    <w:rsid w:val="00BB0DAC"/>
    <w:rsid w:val="00BB418C"/>
    <w:rsid w:val="00BB4DA1"/>
    <w:rsid w:val="00BB6CD5"/>
    <w:rsid w:val="00BB6D54"/>
    <w:rsid w:val="00BC080A"/>
    <w:rsid w:val="00BC41F9"/>
    <w:rsid w:val="00BD059A"/>
    <w:rsid w:val="00BD0EAE"/>
    <w:rsid w:val="00BD4F49"/>
    <w:rsid w:val="00BE3806"/>
    <w:rsid w:val="00BE3D8E"/>
    <w:rsid w:val="00BF1BA4"/>
    <w:rsid w:val="00BF558F"/>
    <w:rsid w:val="00C001C6"/>
    <w:rsid w:val="00C05365"/>
    <w:rsid w:val="00C0596B"/>
    <w:rsid w:val="00C072CC"/>
    <w:rsid w:val="00C11E9D"/>
    <w:rsid w:val="00C12A77"/>
    <w:rsid w:val="00C13DE2"/>
    <w:rsid w:val="00C14923"/>
    <w:rsid w:val="00C30A2F"/>
    <w:rsid w:val="00C3295F"/>
    <w:rsid w:val="00C32A94"/>
    <w:rsid w:val="00C33E7A"/>
    <w:rsid w:val="00C34EED"/>
    <w:rsid w:val="00C35B40"/>
    <w:rsid w:val="00C35D40"/>
    <w:rsid w:val="00C371F6"/>
    <w:rsid w:val="00C37C81"/>
    <w:rsid w:val="00C438A8"/>
    <w:rsid w:val="00C46D40"/>
    <w:rsid w:val="00C50C06"/>
    <w:rsid w:val="00C51A1F"/>
    <w:rsid w:val="00C57129"/>
    <w:rsid w:val="00C5728F"/>
    <w:rsid w:val="00C57DF3"/>
    <w:rsid w:val="00C62688"/>
    <w:rsid w:val="00C62F70"/>
    <w:rsid w:val="00C634F0"/>
    <w:rsid w:val="00C63B02"/>
    <w:rsid w:val="00C64111"/>
    <w:rsid w:val="00C64499"/>
    <w:rsid w:val="00C6499D"/>
    <w:rsid w:val="00C664B7"/>
    <w:rsid w:val="00C66A3C"/>
    <w:rsid w:val="00C735D2"/>
    <w:rsid w:val="00C749D4"/>
    <w:rsid w:val="00C74E24"/>
    <w:rsid w:val="00C758BA"/>
    <w:rsid w:val="00C75A86"/>
    <w:rsid w:val="00C76C90"/>
    <w:rsid w:val="00C771DD"/>
    <w:rsid w:val="00C80136"/>
    <w:rsid w:val="00C82692"/>
    <w:rsid w:val="00C92B00"/>
    <w:rsid w:val="00C94069"/>
    <w:rsid w:val="00C94B36"/>
    <w:rsid w:val="00C95F98"/>
    <w:rsid w:val="00CA02CF"/>
    <w:rsid w:val="00CB0932"/>
    <w:rsid w:val="00CB2CAC"/>
    <w:rsid w:val="00CB3CDC"/>
    <w:rsid w:val="00CB5AC2"/>
    <w:rsid w:val="00CC334C"/>
    <w:rsid w:val="00CD39DA"/>
    <w:rsid w:val="00CD39DC"/>
    <w:rsid w:val="00CD3F19"/>
    <w:rsid w:val="00CD536B"/>
    <w:rsid w:val="00CE55F4"/>
    <w:rsid w:val="00CE5F6B"/>
    <w:rsid w:val="00CF0035"/>
    <w:rsid w:val="00CF0652"/>
    <w:rsid w:val="00CF108A"/>
    <w:rsid w:val="00CF135A"/>
    <w:rsid w:val="00CF4AA3"/>
    <w:rsid w:val="00CF51AC"/>
    <w:rsid w:val="00D0453A"/>
    <w:rsid w:val="00D05D0C"/>
    <w:rsid w:val="00D06623"/>
    <w:rsid w:val="00D07E34"/>
    <w:rsid w:val="00D113F6"/>
    <w:rsid w:val="00D12AB1"/>
    <w:rsid w:val="00D17DD6"/>
    <w:rsid w:val="00D20BAB"/>
    <w:rsid w:val="00D226CA"/>
    <w:rsid w:val="00D24226"/>
    <w:rsid w:val="00D26F64"/>
    <w:rsid w:val="00D32B9E"/>
    <w:rsid w:val="00D33A25"/>
    <w:rsid w:val="00D412BE"/>
    <w:rsid w:val="00D43C17"/>
    <w:rsid w:val="00D50EAC"/>
    <w:rsid w:val="00D5142D"/>
    <w:rsid w:val="00D51B65"/>
    <w:rsid w:val="00D55426"/>
    <w:rsid w:val="00D562CE"/>
    <w:rsid w:val="00D56B65"/>
    <w:rsid w:val="00D6312E"/>
    <w:rsid w:val="00D639E5"/>
    <w:rsid w:val="00D6793D"/>
    <w:rsid w:val="00D74604"/>
    <w:rsid w:val="00D82CD1"/>
    <w:rsid w:val="00D9165D"/>
    <w:rsid w:val="00D91E14"/>
    <w:rsid w:val="00D94319"/>
    <w:rsid w:val="00D95411"/>
    <w:rsid w:val="00D9573E"/>
    <w:rsid w:val="00DA159B"/>
    <w:rsid w:val="00DA195F"/>
    <w:rsid w:val="00DA1CB6"/>
    <w:rsid w:val="00DA2767"/>
    <w:rsid w:val="00DA4717"/>
    <w:rsid w:val="00DA4CB2"/>
    <w:rsid w:val="00DA7D18"/>
    <w:rsid w:val="00DB3539"/>
    <w:rsid w:val="00DB450F"/>
    <w:rsid w:val="00DB69C5"/>
    <w:rsid w:val="00DC15BF"/>
    <w:rsid w:val="00DC15F9"/>
    <w:rsid w:val="00DC3B08"/>
    <w:rsid w:val="00DC4F14"/>
    <w:rsid w:val="00DC587E"/>
    <w:rsid w:val="00DC5B88"/>
    <w:rsid w:val="00DC7ACD"/>
    <w:rsid w:val="00DD44B6"/>
    <w:rsid w:val="00DD5ECC"/>
    <w:rsid w:val="00DD6844"/>
    <w:rsid w:val="00DD702C"/>
    <w:rsid w:val="00DE4E4D"/>
    <w:rsid w:val="00DE4E8E"/>
    <w:rsid w:val="00DF7D39"/>
    <w:rsid w:val="00E037CB"/>
    <w:rsid w:val="00E076E8"/>
    <w:rsid w:val="00E10D8B"/>
    <w:rsid w:val="00E11349"/>
    <w:rsid w:val="00E14383"/>
    <w:rsid w:val="00E1654E"/>
    <w:rsid w:val="00E17462"/>
    <w:rsid w:val="00E23131"/>
    <w:rsid w:val="00E24132"/>
    <w:rsid w:val="00E24272"/>
    <w:rsid w:val="00E26B9E"/>
    <w:rsid w:val="00E30AC3"/>
    <w:rsid w:val="00E43508"/>
    <w:rsid w:val="00E44940"/>
    <w:rsid w:val="00E44D63"/>
    <w:rsid w:val="00E508AA"/>
    <w:rsid w:val="00E528A3"/>
    <w:rsid w:val="00E52B82"/>
    <w:rsid w:val="00E62F98"/>
    <w:rsid w:val="00E638A5"/>
    <w:rsid w:val="00E65884"/>
    <w:rsid w:val="00E65F8D"/>
    <w:rsid w:val="00E66266"/>
    <w:rsid w:val="00E70525"/>
    <w:rsid w:val="00E72097"/>
    <w:rsid w:val="00E74493"/>
    <w:rsid w:val="00E76ACD"/>
    <w:rsid w:val="00E80EC9"/>
    <w:rsid w:val="00E83106"/>
    <w:rsid w:val="00E8515B"/>
    <w:rsid w:val="00E856F4"/>
    <w:rsid w:val="00E91E86"/>
    <w:rsid w:val="00E921C3"/>
    <w:rsid w:val="00E9236B"/>
    <w:rsid w:val="00E9254B"/>
    <w:rsid w:val="00EA0077"/>
    <w:rsid w:val="00EA14F8"/>
    <w:rsid w:val="00EA25FC"/>
    <w:rsid w:val="00EA3AD4"/>
    <w:rsid w:val="00EA5407"/>
    <w:rsid w:val="00EB1E16"/>
    <w:rsid w:val="00EB5FE0"/>
    <w:rsid w:val="00EC3862"/>
    <w:rsid w:val="00EC4062"/>
    <w:rsid w:val="00EC5232"/>
    <w:rsid w:val="00EC5818"/>
    <w:rsid w:val="00ED0CE0"/>
    <w:rsid w:val="00ED1C4B"/>
    <w:rsid w:val="00ED23C3"/>
    <w:rsid w:val="00ED4D89"/>
    <w:rsid w:val="00EE0297"/>
    <w:rsid w:val="00EE2871"/>
    <w:rsid w:val="00EE3079"/>
    <w:rsid w:val="00EE361E"/>
    <w:rsid w:val="00EE7801"/>
    <w:rsid w:val="00EF248D"/>
    <w:rsid w:val="00EF2CC5"/>
    <w:rsid w:val="00EF3C61"/>
    <w:rsid w:val="00EF7F04"/>
    <w:rsid w:val="00F10910"/>
    <w:rsid w:val="00F12A4A"/>
    <w:rsid w:val="00F136D9"/>
    <w:rsid w:val="00F139D1"/>
    <w:rsid w:val="00F13ABA"/>
    <w:rsid w:val="00F13EFC"/>
    <w:rsid w:val="00F17692"/>
    <w:rsid w:val="00F21832"/>
    <w:rsid w:val="00F21CB4"/>
    <w:rsid w:val="00F23CE1"/>
    <w:rsid w:val="00F24D34"/>
    <w:rsid w:val="00F26560"/>
    <w:rsid w:val="00F35CE5"/>
    <w:rsid w:val="00F402F5"/>
    <w:rsid w:val="00F44F0A"/>
    <w:rsid w:val="00F510B3"/>
    <w:rsid w:val="00F52C23"/>
    <w:rsid w:val="00F56A87"/>
    <w:rsid w:val="00F570C0"/>
    <w:rsid w:val="00F6378C"/>
    <w:rsid w:val="00F70824"/>
    <w:rsid w:val="00F7134D"/>
    <w:rsid w:val="00F73C15"/>
    <w:rsid w:val="00F73DD9"/>
    <w:rsid w:val="00F755C8"/>
    <w:rsid w:val="00F8158B"/>
    <w:rsid w:val="00F8241C"/>
    <w:rsid w:val="00F846A8"/>
    <w:rsid w:val="00F85B37"/>
    <w:rsid w:val="00F86690"/>
    <w:rsid w:val="00F86E71"/>
    <w:rsid w:val="00F87BF6"/>
    <w:rsid w:val="00F9051D"/>
    <w:rsid w:val="00F91E26"/>
    <w:rsid w:val="00F93E58"/>
    <w:rsid w:val="00F97BA5"/>
    <w:rsid w:val="00FA7AAD"/>
    <w:rsid w:val="00FB5BBD"/>
    <w:rsid w:val="00FC3613"/>
    <w:rsid w:val="00FC7F2F"/>
    <w:rsid w:val="00FC7F69"/>
    <w:rsid w:val="00FD0F8C"/>
    <w:rsid w:val="00FD4B20"/>
    <w:rsid w:val="00FE1C81"/>
    <w:rsid w:val="00FE516A"/>
    <w:rsid w:val="00FE5172"/>
    <w:rsid w:val="00FE6EAA"/>
    <w:rsid w:val="00FF1649"/>
    <w:rsid w:val="00FF3E56"/>
    <w:rsid w:val="00FF5119"/>
    <w:rsid w:val="00FF6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F363A7"/>
  <w15:docId w15:val="{6CE7530D-9658-4312-A47B-C0133CCA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DF3"/>
    <w:rPr>
      <w:rFonts w:ascii="Univers 55" w:eastAsia="Times New Roman" w:hAnsi="Univers 55"/>
      <w:bCs/>
      <w:sz w:val="24"/>
      <w:szCs w:val="24"/>
      <w:lang w:val="en-GB"/>
    </w:rPr>
  </w:style>
  <w:style w:type="paragraph" w:styleId="Heading1">
    <w:name w:val="heading 1"/>
    <w:basedOn w:val="Normal"/>
    <w:next w:val="Normal"/>
    <w:link w:val="Heading1Char"/>
    <w:uiPriority w:val="99"/>
    <w:qFormat/>
    <w:rsid w:val="00C11E9D"/>
    <w:pPr>
      <w:keepNext/>
      <w:numPr>
        <w:numId w:val="4"/>
      </w:numPr>
      <w:tabs>
        <w:tab w:val="left" w:pos="720"/>
      </w:tabs>
      <w:spacing w:before="240" w:after="60"/>
      <w:jc w:val="both"/>
      <w:outlineLvl w:val="0"/>
    </w:pPr>
    <w:rPr>
      <w:rFonts w:ascii="Times New Roman" w:hAnsi="Times New Roman"/>
      <w:b/>
      <w:bCs w:val="0"/>
      <w:kern w:val="28"/>
      <w:sz w:val="28"/>
      <w:szCs w:val="20"/>
      <w:lang w:val="de-DE"/>
    </w:rPr>
  </w:style>
  <w:style w:type="paragraph" w:styleId="Heading2">
    <w:name w:val="heading 2"/>
    <w:basedOn w:val="Normal"/>
    <w:next w:val="Normal"/>
    <w:link w:val="Heading2Char"/>
    <w:uiPriority w:val="99"/>
    <w:qFormat/>
    <w:rsid w:val="00C11E9D"/>
    <w:pPr>
      <w:keepNext/>
      <w:numPr>
        <w:ilvl w:val="1"/>
        <w:numId w:val="4"/>
      </w:numPr>
      <w:spacing w:before="240" w:after="60"/>
      <w:outlineLvl w:val="1"/>
    </w:pPr>
    <w:rPr>
      <w:rFonts w:ascii="Times New Roman" w:hAnsi="Times New Roman"/>
      <w:b/>
      <w:lang w:val="de-DE"/>
    </w:rPr>
  </w:style>
  <w:style w:type="paragraph" w:styleId="Heading3">
    <w:name w:val="heading 3"/>
    <w:basedOn w:val="Heading2"/>
    <w:next w:val="Normal"/>
    <w:link w:val="Heading3Char"/>
    <w:uiPriority w:val="99"/>
    <w:qFormat/>
    <w:rsid w:val="00C11E9D"/>
    <w:pPr>
      <w:numPr>
        <w:ilvl w:val="2"/>
      </w:numPr>
      <w:tabs>
        <w:tab w:val="left" w:pos="284"/>
      </w:tabs>
      <w:spacing w:before="120"/>
      <w:outlineLvl w:val="2"/>
    </w:pPr>
    <w:rPr>
      <w:lang w:val="en-US"/>
    </w:rPr>
  </w:style>
  <w:style w:type="paragraph" w:styleId="Heading4">
    <w:name w:val="heading 4"/>
    <w:basedOn w:val="Normal"/>
    <w:next w:val="Normal"/>
    <w:link w:val="Heading4Char"/>
    <w:uiPriority w:val="99"/>
    <w:qFormat/>
    <w:rsid w:val="00C11E9D"/>
    <w:pPr>
      <w:keepNext/>
      <w:numPr>
        <w:ilvl w:val="3"/>
        <w:numId w:val="4"/>
      </w:numPr>
      <w:spacing w:before="240" w:after="60"/>
      <w:outlineLvl w:val="3"/>
    </w:pPr>
    <w:rPr>
      <w:rFonts w:ascii="Times New Roman" w:hAnsi="Times New Roman"/>
      <w:b/>
      <w:bCs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1E9D"/>
    <w:rPr>
      <w:rFonts w:ascii="Times New Roman" w:eastAsia="Times New Roman" w:hAnsi="Times New Roman"/>
      <w:b/>
      <w:kern w:val="28"/>
      <w:sz w:val="28"/>
      <w:szCs w:val="20"/>
      <w:lang w:val="de-DE"/>
    </w:rPr>
  </w:style>
  <w:style w:type="character" w:customStyle="1" w:styleId="Heading2Char">
    <w:name w:val="Heading 2 Char"/>
    <w:basedOn w:val="DefaultParagraphFont"/>
    <w:link w:val="Heading2"/>
    <w:uiPriority w:val="99"/>
    <w:locked/>
    <w:rsid w:val="00C11E9D"/>
    <w:rPr>
      <w:rFonts w:ascii="Times New Roman" w:eastAsia="Times New Roman" w:hAnsi="Times New Roman"/>
      <w:b/>
      <w:bCs/>
      <w:sz w:val="24"/>
      <w:szCs w:val="24"/>
      <w:lang w:val="de-DE"/>
    </w:rPr>
  </w:style>
  <w:style w:type="character" w:customStyle="1" w:styleId="Heading3Char">
    <w:name w:val="Heading 3 Char"/>
    <w:basedOn w:val="DefaultParagraphFont"/>
    <w:link w:val="Heading3"/>
    <w:uiPriority w:val="99"/>
    <w:locked/>
    <w:rsid w:val="00C11E9D"/>
    <w:rPr>
      <w:rFonts w:ascii="Times New Roman" w:eastAsia="Times New Roman" w:hAnsi="Times New Roman"/>
      <w:b/>
      <w:bCs/>
      <w:sz w:val="24"/>
      <w:szCs w:val="24"/>
    </w:rPr>
  </w:style>
  <w:style w:type="character" w:customStyle="1" w:styleId="Heading4Char">
    <w:name w:val="Heading 4 Char"/>
    <w:basedOn w:val="DefaultParagraphFont"/>
    <w:link w:val="Heading4"/>
    <w:uiPriority w:val="99"/>
    <w:locked/>
    <w:rsid w:val="00C11E9D"/>
    <w:rPr>
      <w:rFonts w:ascii="Times New Roman" w:eastAsia="Times New Roman" w:hAnsi="Times New Roman"/>
      <w:b/>
      <w:sz w:val="24"/>
      <w:szCs w:val="20"/>
    </w:rPr>
  </w:style>
  <w:style w:type="paragraph" w:styleId="ListParagraph">
    <w:name w:val="List Paragraph"/>
    <w:basedOn w:val="Normal"/>
    <w:link w:val="ListParagraphChar"/>
    <w:uiPriority w:val="34"/>
    <w:qFormat/>
    <w:rsid w:val="00C57DF3"/>
    <w:pPr>
      <w:spacing w:after="200" w:line="276" w:lineRule="auto"/>
      <w:ind w:left="720"/>
      <w:contextualSpacing/>
    </w:pPr>
    <w:rPr>
      <w:rFonts w:ascii="Calibri" w:hAnsi="Calibri"/>
      <w:bCs w:val="0"/>
      <w:sz w:val="22"/>
      <w:szCs w:val="22"/>
    </w:rPr>
  </w:style>
  <w:style w:type="character" w:customStyle="1" w:styleId="ListParagraphChar">
    <w:name w:val="List Paragraph Char"/>
    <w:basedOn w:val="DefaultParagraphFont"/>
    <w:link w:val="ListParagraph"/>
    <w:uiPriority w:val="34"/>
    <w:locked/>
    <w:rsid w:val="00C57DF3"/>
    <w:rPr>
      <w:rFonts w:ascii="Calibri" w:hAnsi="Calibri" w:cs="Times New Roman"/>
      <w:lang w:val="en-GB"/>
    </w:rPr>
  </w:style>
  <w:style w:type="paragraph" w:customStyle="1" w:styleId="caption-table">
    <w:name w:val="caption-table"/>
    <w:basedOn w:val="Normal"/>
    <w:link w:val="caption-tableChar"/>
    <w:rsid w:val="009342BA"/>
    <w:pPr>
      <w:numPr>
        <w:numId w:val="2"/>
      </w:numPr>
      <w:spacing w:line="220" w:lineRule="exact"/>
    </w:pPr>
    <w:rPr>
      <w:rFonts w:ascii="Times New Roman" w:eastAsia="Calibri" w:hAnsi="Times New Roman"/>
      <w:b/>
      <w:bCs w:val="0"/>
      <w:sz w:val="20"/>
      <w:szCs w:val="20"/>
      <w:lang w:val="en-US" w:eastAsia="ja-JP"/>
    </w:rPr>
  </w:style>
  <w:style w:type="paragraph" w:customStyle="1" w:styleId="Normtext">
    <w:name w:val="Normtext"/>
    <w:basedOn w:val="Normal"/>
    <w:link w:val="NormtextChar6"/>
    <w:uiPriority w:val="99"/>
    <w:rsid w:val="00B247FE"/>
    <w:pPr>
      <w:tabs>
        <w:tab w:val="left" w:pos="284"/>
      </w:tabs>
      <w:jc w:val="both"/>
    </w:pPr>
    <w:rPr>
      <w:rFonts w:ascii="Times New Roman" w:hAnsi="Times New Roman"/>
      <w:bCs w:val="0"/>
      <w:szCs w:val="20"/>
      <w:lang w:val="en-US"/>
    </w:rPr>
  </w:style>
  <w:style w:type="character" w:customStyle="1" w:styleId="NormtextChar6">
    <w:name w:val="Normtext Char6"/>
    <w:basedOn w:val="DefaultParagraphFont"/>
    <w:link w:val="Normtext"/>
    <w:uiPriority w:val="99"/>
    <w:locked/>
    <w:rsid w:val="00B247FE"/>
    <w:rPr>
      <w:rFonts w:ascii="Times New Roman" w:hAnsi="Times New Roman" w:cs="Times New Roman"/>
      <w:sz w:val="20"/>
      <w:szCs w:val="20"/>
    </w:rPr>
  </w:style>
  <w:style w:type="paragraph" w:customStyle="1" w:styleId="H1">
    <w:name w:val="H1"/>
    <w:uiPriority w:val="99"/>
    <w:rsid w:val="00B247FE"/>
    <w:pPr>
      <w:spacing w:line="480" w:lineRule="auto"/>
    </w:pPr>
    <w:rPr>
      <w:rFonts w:ascii="Times New Roman" w:eastAsia="Times New Roman" w:hAnsi="Times New Roman"/>
      <w:color w:val="333399"/>
      <w:sz w:val="32"/>
      <w:szCs w:val="24"/>
    </w:rPr>
  </w:style>
  <w:style w:type="paragraph" w:customStyle="1" w:styleId="N">
    <w:name w:val="N"/>
    <w:uiPriority w:val="99"/>
    <w:rsid w:val="00B247FE"/>
    <w:pPr>
      <w:spacing w:line="480" w:lineRule="auto"/>
      <w:ind w:left="720" w:hanging="720"/>
    </w:pPr>
    <w:rPr>
      <w:rFonts w:ascii="Times New Roman" w:eastAsia="Times New Roman" w:hAnsi="Times New Roman"/>
      <w:sz w:val="24"/>
      <w:szCs w:val="24"/>
    </w:rPr>
  </w:style>
  <w:style w:type="paragraph" w:customStyle="1" w:styleId="P">
    <w:name w:val="P"/>
    <w:uiPriority w:val="99"/>
    <w:rsid w:val="00B247FE"/>
    <w:pPr>
      <w:spacing w:line="480" w:lineRule="auto"/>
    </w:pPr>
    <w:rPr>
      <w:rFonts w:ascii="Times New Roman" w:eastAsia="Times New Roman" w:hAnsi="Times New Roman"/>
      <w:sz w:val="24"/>
      <w:szCs w:val="24"/>
    </w:rPr>
  </w:style>
  <w:style w:type="paragraph" w:customStyle="1" w:styleId="P1">
    <w:name w:val="P1"/>
    <w:uiPriority w:val="99"/>
    <w:rsid w:val="00B247FE"/>
    <w:pPr>
      <w:spacing w:line="480" w:lineRule="auto"/>
      <w:ind w:firstLine="720"/>
    </w:pPr>
    <w:rPr>
      <w:rFonts w:ascii="Times New Roman" w:eastAsia="Times New Roman" w:hAnsi="Times New Roman"/>
      <w:sz w:val="24"/>
      <w:szCs w:val="24"/>
    </w:rPr>
  </w:style>
  <w:style w:type="character" w:styleId="CommentReference">
    <w:name w:val="annotation reference"/>
    <w:basedOn w:val="DefaultParagraphFont"/>
    <w:rsid w:val="00B247FE"/>
    <w:rPr>
      <w:rFonts w:cs="Times New Roman"/>
      <w:sz w:val="16"/>
    </w:rPr>
  </w:style>
  <w:style w:type="paragraph" w:styleId="CommentText">
    <w:name w:val="annotation text"/>
    <w:aliases w:val=" Char"/>
    <w:basedOn w:val="Normal"/>
    <w:link w:val="CommentTextChar"/>
    <w:rsid w:val="00B247FE"/>
    <w:rPr>
      <w:rFonts w:ascii="Times New Roman" w:hAnsi="Times New Roman"/>
      <w:bCs w:val="0"/>
      <w:sz w:val="20"/>
      <w:lang w:val="en-US"/>
    </w:rPr>
  </w:style>
  <w:style w:type="character" w:customStyle="1" w:styleId="CommentTextChar">
    <w:name w:val="Comment Text Char"/>
    <w:aliases w:val=" Char Char"/>
    <w:basedOn w:val="DefaultParagraphFont"/>
    <w:link w:val="CommentText"/>
    <w:locked/>
    <w:rsid w:val="00B247FE"/>
    <w:rPr>
      <w:rFonts w:ascii="Times New Roman" w:hAnsi="Times New Roman" w:cs="Times New Roman"/>
      <w:sz w:val="24"/>
      <w:szCs w:val="24"/>
    </w:rPr>
  </w:style>
  <w:style w:type="paragraph" w:customStyle="1" w:styleId="caption-figure">
    <w:name w:val="caption-figure"/>
    <w:basedOn w:val="Normal"/>
    <w:link w:val="caption-figureChar"/>
    <w:rsid w:val="009342BA"/>
    <w:pPr>
      <w:spacing w:line="220" w:lineRule="exact"/>
    </w:pPr>
    <w:rPr>
      <w:rFonts w:ascii="Times New Roman" w:hAnsi="Times New Roman"/>
      <w:b/>
      <w:bCs w:val="0"/>
      <w:sz w:val="20"/>
      <w:szCs w:val="20"/>
      <w:lang w:val="en-US" w:eastAsia="ja-JP"/>
    </w:rPr>
  </w:style>
  <w:style w:type="character" w:styleId="FootnoteReference">
    <w:name w:val="footnote reference"/>
    <w:aliases w:val="ftref,16 Point,Superscript 6 Point,Footnote Reference Number,Superscript 6 Point + 11 pt,fr,Footnote Ref in FtNote,footnote ref"/>
    <w:basedOn w:val="DefaultParagraphFont"/>
    <w:semiHidden/>
    <w:rsid w:val="00C11E9D"/>
    <w:rPr>
      <w:rFonts w:cs="Times New Roman"/>
      <w:vertAlign w:val="superscript"/>
    </w:rPr>
  </w:style>
  <w:style w:type="paragraph" w:styleId="FootnoteText">
    <w:name w:val="footnote text"/>
    <w:aliases w:val="ft,ADB,Geneva 9,Font: Geneva 9,Boston 10,f,fn,Char,Fußnote,Footnote,WB-Fußnotentext,WB-Fußnotentext Char Char,FOOTNOTES,single space,FN,Footnote Text Char Char Char Char Char,Footnote Text Char Char Char Char Char Char,Footnote Text Char2"/>
    <w:basedOn w:val="Normal"/>
    <w:link w:val="FootnoteTextChar"/>
    <w:uiPriority w:val="99"/>
    <w:semiHidden/>
    <w:rsid w:val="00C11E9D"/>
    <w:pPr>
      <w:keepNext/>
      <w:tabs>
        <w:tab w:val="left" w:pos="227"/>
      </w:tabs>
      <w:ind w:left="227" w:hanging="227"/>
      <w:jc w:val="both"/>
    </w:pPr>
    <w:rPr>
      <w:rFonts w:ascii="Times New Roman" w:hAnsi="Times New Roman"/>
      <w:bCs w:val="0"/>
      <w:sz w:val="20"/>
      <w:szCs w:val="20"/>
      <w:lang w:val="de-DE"/>
    </w:rPr>
  </w:style>
  <w:style w:type="character" w:customStyle="1" w:styleId="FootnoteTextChar">
    <w:name w:val="Footnote Text Char"/>
    <w:aliases w:val="ft Char,ADB Char,Geneva 9 Char,Font: Geneva 9 Char,Boston 10 Char,f Char,fn Char,Char Char,Fußnote Char,Footnote Char,WB-Fußnotentext Char,WB-Fußnotentext Char Char Char,FOOTNOTES Char,single space Char,FN Char"/>
    <w:basedOn w:val="DefaultParagraphFont"/>
    <w:link w:val="FootnoteText"/>
    <w:uiPriority w:val="99"/>
    <w:semiHidden/>
    <w:locked/>
    <w:rsid w:val="00C11E9D"/>
    <w:rPr>
      <w:rFonts w:ascii="Times New Roman" w:hAnsi="Times New Roman" w:cs="Times New Roman"/>
      <w:sz w:val="20"/>
      <w:szCs w:val="20"/>
      <w:lang w:val="de-DE"/>
    </w:rPr>
  </w:style>
  <w:style w:type="paragraph" w:customStyle="1" w:styleId="Style15ptJustified">
    <w:name w:val="Style 15 pt Justified"/>
    <w:basedOn w:val="Normal"/>
    <w:uiPriority w:val="99"/>
    <w:rsid w:val="00C11E9D"/>
    <w:pPr>
      <w:jc w:val="both"/>
    </w:pPr>
    <w:rPr>
      <w:rFonts w:ascii="Times New Roman" w:hAnsi="Times New Roman"/>
      <w:bCs w:val="0"/>
      <w:szCs w:val="20"/>
    </w:rPr>
  </w:style>
  <w:style w:type="character" w:customStyle="1" w:styleId="apple-style-span">
    <w:name w:val="apple-style-span"/>
    <w:uiPriority w:val="99"/>
    <w:rsid w:val="00C11E9D"/>
  </w:style>
  <w:style w:type="paragraph" w:styleId="BalloonText">
    <w:name w:val="Balloon Text"/>
    <w:basedOn w:val="Normal"/>
    <w:link w:val="BalloonTextChar"/>
    <w:uiPriority w:val="99"/>
    <w:semiHidden/>
    <w:rsid w:val="00D32B9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35B6"/>
    <w:rPr>
      <w:rFonts w:ascii="Times New Roman" w:hAnsi="Times New Roman" w:cs="Times New Roman"/>
      <w:bCs/>
      <w:sz w:val="2"/>
      <w:lang w:val="en-GB"/>
    </w:rPr>
  </w:style>
  <w:style w:type="character" w:customStyle="1" w:styleId="caption-figureChar">
    <w:name w:val="caption-figure Char"/>
    <w:link w:val="caption-figure"/>
    <w:locked/>
    <w:rsid w:val="009342BA"/>
    <w:rPr>
      <w:rFonts w:ascii="Times New Roman" w:eastAsia="Times New Roman" w:hAnsi="Times New Roman"/>
      <w:b/>
      <w:sz w:val="20"/>
      <w:szCs w:val="20"/>
      <w:lang w:eastAsia="ja-JP"/>
    </w:rPr>
  </w:style>
  <w:style w:type="character" w:customStyle="1" w:styleId="caption-tableChar">
    <w:name w:val="caption-table Char"/>
    <w:link w:val="caption-table"/>
    <w:locked/>
    <w:rsid w:val="009342BA"/>
    <w:rPr>
      <w:rFonts w:ascii="Times New Roman" w:hAnsi="Times New Roman"/>
      <w:b/>
      <w:sz w:val="20"/>
      <w:szCs w:val="20"/>
      <w:lang w:eastAsia="ja-JP"/>
    </w:rPr>
  </w:style>
  <w:style w:type="paragraph" w:customStyle="1" w:styleId="ZchnZchnCharCharCharCharCharChar">
    <w:name w:val="Zchn Zchn Char Char Char Char Char Char"/>
    <w:basedOn w:val="Normal"/>
    <w:uiPriority w:val="99"/>
    <w:rsid w:val="00765033"/>
    <w:pPr>
      <w:spacing w:after="160" w:line="240" w:lineRule="exact"/>
    </w:pPr>
    <w:rPr>
      <w:rFonts w:ascii="Verdana" w:hAnsi="Verdana"/>
      <w:bCs w:val="0"/>
      <w:sz w:val="20"/>
      <w:szCs w:val="20"/>
    </w:rPr>
  </w:style>
  <w:style w:type="paragraph" w:customStyle="1" w:styleId="Literaturverzeichnis">
    <w:name w:val="Literaturverzeichnis"/>
    <w:basedOn w:val="Normal"/>
    <w:rsid w:val="00766D48"/>
    <w:pPr>
      <w:tabs>
        <w:tab w:val="left" w:pos="284"/>
      </w:tabs>
      <w:ind w:left="284" w:hanging="284"/>
      <w:jc w:val="both"/>
    </w:pPr>
    <w:rPr>
      <w:rFonts w:ascii="Times New Roman" w:hAnsi="Times New Roman"/>
      <w:bCs w:val="0"/>
      <w:szCs w:val="20"/>
      <w:lang w:val="de-DE"/>
    </w:rPr>
  </w:style>
  <w:style w:type="paragraph" w:styleId="Header">
    <w:name w:val="header"/>
    <w:basedOn w:val="Normal"/>
    <w:link w:val="HeaderChar"/>
    <w:uiPriority w:val="99"/>
    <w:rsid w:val="00FE6EAA"/>
    <w:pPr>
      <w:tabs>
        <w:tab w:val="center" w:pos="4680"/>
        <w:tab w:val="right" w:pos="9360"/>
      </w:tabs>
    </w:pPr>
  </w:style>
  <w:style w:type="character" w:customStyle="1" w:styleId="HeaderChar">
    <w:name w:val="Header Char"/>
    <w:basedOn w:val="DefaultParagraphFont"/>
    <w:link w:val="Header"/>
    <w:uiPriority w:val="99"/>
    <w:locked/>
    <w:rsid w:val="00FE6EAA"/>
    <w:rPr>
      <w:rFonts w:ascii="Univers 55" w:hAnsi="Univers 55" w:cs="Times New Roman"/>
      <w:bCs/>
      <w:sz w:val="24"/>
      <w:szCs w:val="24"/>
      <w:lang w:val="en-GB"/>
    </w:rPr>
  </w:style>
  <w:style w:type="paragraph" w:styleId="Footer">
    <w:name w:val="footer"/>
    <w:basedOn w:val="Normal"/>
    <w:link w:val="FooterChar"/>
    <w:uiPriority w:val="99"/>
    <w:rsid w:val="00FE6EAA"/>
    <w:pPr>
      <w:tabs>
        <w:tab w:val="center" w:pos="4680"/>
        <w:tab w:val="right" w:pos="9360"/>
      </w:tabs>
    </w:pPr>
  </w:style>
  <w:style w:type="character" w:customStyle="1" w:styleId="FooterChar">
    <w:name w:val="Footer Char"/>
    <w:basedOn w:val="DefaultParagraphFont"/>
    <w:link w:val="Footer"/>
    <w:uiPriority w:val="99"/>
    <w:locked/>
    <w:rsid w:val="00FE6EAA"/>
    <w:rPr>
      <w:rFonts w:ascii="Univers 55" w:hAnsi="Univers 55" w:cs="Times New Roman"/>
      <w:bCs/>
      <w:sz w:val="24"/>
      <w:szCs w:val="24"/>
      <w:lang w:val="en-GB"/>
    </w:rPr>
  </w:style>
  <w:style w:type="paragraph" w:customStyle="1" w:styleId="IIAddressee">
    <w:name w:val="IIAddressee"/>
    <w:basedOn w:val="Normal"/>
    <w:next w:val="Normal"/>
    <w:uiPriority w:val="99"/>
    <w:rsid w:val="00A2326A"/>
    <w:pPr>
      <w:spacing w:before="360"/>
    </w:pPr>
    <w:rPr>
      <w:rFonts w:ascii="Times" w:hAnsi="Times"/>
      <w:bCs w:val="0"/>
      <w:szCs w:val="20"/>
      <w:lang w:val="en-US"/>
    </w:rPr>
  </w:style>
  <w:style w:type="paragraph" w:customStyle="1" w:styleId="tabelle">
    <w:name w:val="tabelle"/>
    <w:basedOn w:val="E-mailSignature"/>
    <w:link w:val="tabelleChar"/>
    <w:rsid w:val="00FA7AAD"/>
    <w:pPr>
      <w:suppressAutoHyphens/>
      <w:spacing w:line="220" w:lineRule="exact"/>
    </w:pPr>
    <w:rPr>
      <w:rFonts w:ascii="Times New Roman" w:eastAsia="Calibri" w:hAnsi="Times New Roman"/>
      <w:bCs w:val="0"/>
      <w:sz w:val="22"/>
      <w:szCs w:val="20"/>
      <w:lang w:val="en-US" w:eastAsia="ar-SA"/>
    </w:rPr>
  </w:style>
  <w:style w:type="paragraph" w:customStyle="1" w:styleId="Stylecaption-tableCalibri12ptLinespacingsingle">
    <w:name w:val="Style caption-table + Calibri 12 pt Line spacing:  single"/>
    <w:basedOn w:val="Normal"/>
    <w:uiPriority w:val="99"/>
    <w:rsid w:val="00FA7AAD"/>
    <w:pPr>
      <w:numPr>
        <w:numId w:val="8"/>
      </w:numPr>
      <w:suppressAutoHyphens/>
    </w:pPr>
    <w:rPr>
      <w:rFonts w:ascii="Calibri" w:eastAsia="Calibri" w:hAnsi="Calibri"/>
      <w:bCs w:val="0"/>
      <w:sz w:val="22"/>
      <w:szCs w:val="20"/>
      <w:lang w:val="en-US" w:eastAsia="ar-SA"/>
    </w:rPr>
  </w:style>
  <w:style w:type="character" w:customStyle="1" w:styleId="tabelleChar">
    <w:name w:val="tabelle Char"/>
    <w:basedOn w:val="DefaultParagraphFont"/>
    <w:link w:val="tabelle"/>
    <w:uiPriority w:val="99"/>
    <w:locked/>
    <w:rsid w:val="00FA7AAD"/>
    <w:rPr>
      <w:rFonts w:cs="Times New Roman"/>
      <w:sz w:val="22"/>
      <w:lang w:val="en-US" w:eastAsia="ar-SA" w:bidi="ar-SA"/>
    </w:rPr>
  </w:style>
  <w:style w:type="paragraph" w:styleId="E-mailSignature">
    <w:name w:val="E-mail Signature"/>
    <w:basedOn w:val="Normal"/>
    <w:link w:val="E-mailSignatureChar"/>
    <w:uiPriority w:val="99"/>
    <w:rsid w:val="00FA7AAD"/>
  </w:style>
  <w:style w:type="character" w:customStyle="1" w:styleId="E-mailSignatureChar">
    <w:name w:val="E-mail Signature Char"/>
    <w:basedOn w:val="DefaultParagraphFont"/>
    <w:link w:val="E-mailSignature"/>
    <w:uiPriority w:val="99"/>
    <w:semiHidden/>
    <w:locked/>
    <w:rsid w:val="005A4D9E"/>
    <w:rPr>
      <w:rFonts w:ascii="Univers 55" w:hAnsi="Univers 55" w:cs="Times New Roman"/>
      <w:bCs/>
      <w:sz w:val="24"/>
      <w:szCs w:val="24"/>
      <w:lang w:val="en-GB"/>
    </w:rPr>
  </w:style>
  <w:style w:type="paragraph" w:customStyle="1" w:styleId="Aufzhlung">
    <w:name w:val="Aufzählung"/>
    <w:basedOn w:val="Normal"/>
    <w:qFormat/>
    <w:rsid w:val="00A40B39"/>
    <w:pPr>
      <w:numPr>
        <w:numId w:val="9"/>
      </w:numPr>
    </w:pPr>
    <w:rPr>
      <w:rFonts w:ascii="Times New Roman" w:eastAsia="Calibri" w:hAnsi="Times New Roman"/>
      <w:bCs w:val="0"/>
      <w:szCs w:val="20"/>
      <w:lang w:val="de-DE"/>
    </w:rPr>
  </w:style>
  <w:style w:type="paragraph" w:customStyle="1" w:styleId="Stylecaption-figureCalibri12ptLinespacingsingle">
    <w:name w:val="Style caption-figure + Calibri 12 pt Line spacing:  single"/>
    <w:basedOn w:val="caption-figure"/>
    <w:uiPriority w:val="99"/>
    <w:rsid w:val="00E528A3"/>
    <w:pPr>
      <w:tabs>
        <w:tab w:val="num" w:pos="720"/>
      </w:tabs>
      <w:suppressAutoHyphens/>
      <w:spacing w:line="240" w:lineRule="auto"/>
    </w:pPr>
    <w:rPr>
      <w:rFonts w:eastAsia="Calibri"/>
      <w:lang w:eastAsia="ar-SA"/>
    </w:rPr>
  </w:style>
  <w:style w:type="character" w:customStyle="1" w:styleId="caption-figureChar1">
    <w:name w:val="caption-figure Char1"/>
    <w:basedOn w:val="DefaultParagraphFont"/>
    <w:uiPriority w:val="99"/>
    <w:locked/>
    <w:rsid w:val="00E528A3"/>
    <w:rPr>
      <w:rFonts w:cs="Times New Roman"/>
      <w:sz w:val="22"/>
      <w:lang w:eastAsia="ar-SA" w:bidi="ar-SA"/>
    </w:rPr>
  </w:style>
  <w:style w:type="paragraph" w:customStyle="1" w:styleId="Default">
    <w:name w:val="Default"/>
    <w:uiPriority w:val="99"/>
    <w:rsid w:val="009F4092"/>
    <w:pPr>
      <w:autoSpaceDE w:val="0"/>
      <w:autoSpaceDN w:val="0"/>
      <w:adjustRightInd w:val="0"/>
    </w:pPr>
    <w:rPr>
      <w:rFonts w:cs="Calibri"/>
      <w:color w:val="000000"/>
      <w:sz w:val="24"/>
      <w:szCs w:val="24"/>
    </w:rPr>
  </w:style>
  <w:style w:type="paragraph" w:customStyle="1" w:styleId="BBL">
    <w:name w:val="BBL"/>
    <w:uiPriority w:val="99"/>
    <w:rsid w:val="000737E6"/>
    <w:pPr>
      <w:shd w:val="clear" w:color="auto" w:fill="F3F3F3"/>
      <w:spacing w:line="480" w:lineRule="auto"/>
      <w:ind w:left="1440" w:hanging="720"/>
    </w:pPr>
    <w:rPr>
      <w:rFonts w:ascii="Times New Roman" w:hAnsi="Times New Roman"/>
      <w:color w:val="993300"/>
      <w:sz w:val="24"/>
      <w:szCs w:val="24"/>
    </w:rPr>
  </w:style>
  <w:style w:type="paragraph" w:styleId="Caption">
    <w:name w:val="caption"/>
    <w:basedOn w:val="Normal"/>
    <w:next w:val="Normal"/>
    <w:uiPriority w:val="99"/>
    <w:qFormat/>
    <w:locked/>
    <w:rsid w:val="00150BE7"/>
    <w:pPr>
      <w:suppressAutoHyphens/>
      <w:spacing w:before="120" w:after="120" w:line="360" w:lineRule="auto"/>
      <w:jc w:val="center"/>
    </w:pPr>
    <w:rPr>
      <w:rFonts w:ascii="Times" w:hAnsi="Times"/>
      <w:b/>
      <w:bCs w:val="0"/>
      <w:sz w:val="20"/>
      <w:szCs w:val="20"/>
      <w:lang w:val="en-US" w:eastAsia="ar-SA"/>
    </w:rPr>
  </w:style>
  <w:style w:type="character" w:styleId="Hyperlink">
    <w:name w:val="Hyperlink"/>
    <w:basedOn w:val="DefaultParagraphFont"/>
    <w:uiPriority w:val="99"/>
    <w:locked/>
    <w:rsid w:val="0027314C"/>
    <w:rPr>
      <w:rFonts w:cs="Times New Roman"/>
      <w:color w:val="0000FF"/>
      <w:u w:val="single"/>
    </w:rPr>
  </w:style>
  <w:style w:type="paragraph" w:customStyle="1" w:styleId="onepubtitle">
    <w:name w:val="onepub_title"/>
    <w:basedOn w:val="Normal"/>
    <w:uiPriority w:val="99"/>
    <w:rsid w:val="00C94069"/>
    <w:pPr>
      <w:spacing w:before="100" w:beforeAutospacing="1" w:after="100" w:afterAutospacing="1"/>
    </w:pPr>
    <w:rPr>
      <w:rFonts w:ascii="Times New Roman" w:eastAsia="MS Mincho" w:hAnsi="Times New Roman"/>
      <w:bCs w:val="0"/>
      <w:lang w:eastAsia="ja-JP"/>
    </w:rPr>
  </w:style>
  <w:style w:type="character" w:customStyle="1" w:styleId="Date1">
    <w:name w:val="Date1"/>
    <w:basedOn w:val="DefaultParagraphFont"/>
    <w:uiPriority w:val="99"/>
    <w:rsid w:val="00C94069"/>
    <w:rPr>
      <w:rFonts w:cs="Times New Roman"/>
    </w:rPr>
  </w:style>
  <w:style w:type="paragraph" w:customStyle="1" w:styleId="onepubauthors">
    <w:name w:val="onepub_authors"/>
    <w:basedOn w:val="Normal"/>
    <w:uiPriority w:val="99"/>
    <w:rsid w:val="00C94069"/>
    <w:pPr>
      <w:spacing w:before="100" w:beforeAutospacing="1" w:after="100" w:afterAutospacing="1"/>
    </w:pPr>
    <w:rPr>
      <w:rFonts w:ascii="Times New Roman" w:eastAsia="MS Mincho" w:hAnsi="Times New Roman"/>
      <w:bCs w:val="0"/>
      <w:lang w:eastAsia="ja-JP"/>
    </w:rPr>
  </w:style>
  <w:style w:type="paragraph" w:customStyle="1" w:styleId="onepubdescription">
    <w:name w:val="onepub_description"/>
    <w:basedOn w:val="Normal"/>
    <w:uiPriority w:val="99"/>
    <w:rsid w:val="00C94069"/>
    <w:pPr>
      <w:spacing w:before="100" w:beforeAutospacing="1" w:after="100" w:afterAutospacing="1"/>
    </w:pPr>
    <w:rPr>
      <w:rFonts w:ascii="Times New Roman" w:eastAsia="MS Mincho" w:hAnsi="Times New Roman"/>
      <w:bCs w:val="0"/>
      <w:lang w:eastAsia="ja-JP"/>
    </w:rPr>
  </w:style>
  <w:style w:type="character" w:styleId="Emphasis">
    <w:name w:val="Emphasis"/>
    <w:basedOn w:val="DefaultParagraphFont"/>
    <w:uiPriority w:val="99"/>
    <w:qFormat/>
    <w:locked/>
    <w:rsid w:val="00C94069"/>
    <w:rPr>
      <w:rFonts w:cs="Times New Roman"/>
      <w:i/>
      <w:iCs/>
    </w:rPr>
  </w:style>
  <w:style w:type="character" w:customStyle="1" w:styleId="apple-converted-space">
    <w:name w:val="apple-converted-space"/>
    <w:basedOn w:val="DefaultParagraphFont"/>
    <w:uiPriority w:val="99"/>
    <w:rsid w:val="00C94069"/>
    <w:rPr>
      <w:rFonts w:cs="Times New Roman"/>
    </w:rPr>
  </w:style>
  <w:style w:type="paragraph" w:styleId="HTMLPreformatted">
    <w:name w:val="HTML Preformatted"/>
    <w:basedOn w:val="Normal"/>
    <w:link w:val="HTMLPreformattedChar"/>
    <w:uiPriority w:val="99"/>
    <w:locked/>
    <w:rsid w:val="0026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bCs w:val="0"/>
      <w:sz w:val="20"/>
      <w:szCs w:val="20"/>
      <w:lang w:eastAsia="ja-JP"/>
    </w:rPr>
  </w:style>
  <w:style w:type="character" w:customStyle="1" w:styleId="HTMLPreformattedChar">
    <w:name w:val="HTML Preformatted Char"/>
    <w:basedOn w:val="DefaultParagraphFont"/>
    <w:link w:val="HTMLPreformatted"/>
    <w:uiPriority w:val="99"/>
    <w:semiHidden/>
    <w:locked/>
    <w:rPr>
      <w:rFonts w:ascii="Courier New" w:hAnsi="Courier New" w:cs="Courier New"/>
      <w:bCs/>
      <w:sz w:val="20"/>
      <w:szCs w:val="20"/>
      <w:lang w:val="en-GB"/>
    </w:rPr>
  </w:style>
  <w:style w:type="paragraph" w:customStyle="1" w:styleId="ZchnZchnCharCharCharCharCharChar1">
    <w:name w:val="Zchn Zchn Char Char Char Char Char Char1"/>
    <w:basedOn w:val="Normal"/>
    <w:uiPriority w:val="99"/>
    <w:rsid w:val="002B07FF"/>
    <w:pPr>
      <w:spacing w:after="160" w:line="240" w:lineRule="exact"/>
    </w:pPr>
    <w:rPr>
      <w:rFonts w:ascii="Verdana" w:hAnsi="Verdana"/>
      <w:bCs w:val="0"/>
      <w:sz w:val="20"/>
      <w:szCs w:val="20"/>
    </w:rPr>
  </w:style>
  <w:style w:type="paragraph" w:customStyle="1" w:styleId="CharCharChar">
    <w:name w:val="Char Char Char"/>
    <w:basedOn w:val="Normal"/>
    <w:rsid w:val="00482E5E"/>
    <w:pPr>
      <w:spacing w:after="160" w:line="240" w:lineRule="exact"/>
    </w:pPr>
    <w:rPr>
      <w:rFonts w:ascii="Verdana" w:hAnsi="Verdana"/>
      <w:bCs w:val="0"/>
      <w:sz w:val="20"/>
      <w:szCs w:val="20"/>
    </w:rPr>
  </w:style>
  <w:style w:type="paragraph" w:customStyle="1" w:styleId="ListParagraph2">
    <w:name w:val="List Paragraph2"/>
    <w:basedOn w:val="Normal"/>
    <w:uiPriority w:val="34"/>
    <w:qFormat/>
    <w:rsid w:val="0030793F"/>
    <w:pPr>
      <w:spacing w:line="240" w:lineRule="exact"/>
      <w:ind w:left="720"/>
    </w:pPr>
    <w:rPr>
      <w:rFonts w:ascii="Times" w:hAnsi="Times"/>
      <w:bCs w:val="0"/>
      <w:sz w:val="20"/>
      <w:szCs w:val="20"/>
      <w:lang w:val="en-AU" w:eastAsia="en-GB"/>
    </w:rPr>
  </w:style>
  <w:style w:type="table" w:styleId="TableGrid">
    <w:name w:val="Table Grid"/>
    <w:basedOn w:val="TableNormal"/>
    <w:rsid w:val="00504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64389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NormtextChar5">
    <w:name w:val="Normtext Char5"/>
    <w:rsid w:val="00730D4B"/>
    <w:rPr>
      <w:sz w:val="24"/>
      <w:lang w:val="en-US" w:eastAsia="en-US" w:bidi="ar-SA"/>
    </w:rPr>
  </w:style>
  <w:style w:type="paragraph" w:customStyle="1" w:styleId="ZchnZchnCharCharCharCharCharChar0">
    <w:name w:val="Zchn Zchn Char Char Char Char Char Char"/>
    <w:basedOn w:val="Normal"/>
    <w:rsid w:val="009578BB"/>
    <w:pPr>
      <w:spacing w:after="160" w:line="240" w:lineRule="exact"/>
    </w:pPr>
    <w:rPr>
      <w:rFonts w:ascii="Verdana" w:hAnsi="Verdana"/>
      <w:b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66212">
      <w:bodyDiv w:val="1"/>
      <w:marLeft w:val="0"/>
      <w:marRight w:val="0"/>
      <w:marTop w:val="0"/>
      <w:marBottom w:val="0"/>
      <w:divBdr>
        <w:top w:val="none" w:sz="0" w:space="0" w:color="auto"/>
        <w:left w:val="none" w:sz="0" w:space="0" w:color="auto"/>
        <w:bottom w:val="none" w:sz="0" w:space="0" w:color="auto"/>
        <w:right w:val="none" w:sz="0" w:space="0" w:color="auto"/>
      </w:divBdr>
    </w:div>
    <w:div w:id="302123612">
      <w:bodyDiv w:val="1"/>
      <w:marLeft w:val="0"/>
      <w:marRight w:val="0"/>
      <w:marTop w:val="0"/>
      <w:marBottom w:val="0"/>
      <w:divBdr>
        <w:top w:val="none" w:sz="0" w:space="0" w:color="auto"/>
        <w:left w:val="none" w:sz="0" w:space="0" w:color="auto"/>
        <w:bottom w:val="none" w:sz="0" w:space="0" w:color="auto"/>
        <w:right w:val="none" w:sz="0" w:space="0" w:color="auto"/>
      </w:divBdr>
    </w:div>
    <w:div w:id="446042650">
      <w:bodyDiv w:val="1"/>
      <w:marLeft w:val="0"/>
      <w:marRight w:val="0"/>
      <w:marTop w:val="0"/>
      <w:marBottom w:val="0"/>
      <w:divBdr>
        <w:top w:val="none" w:sz="0" w:space="0" w:color="auto"/>
        <w:left w:val="none" w:sz="0" w:space="0" w:color="auto"/>
        <w:bottom w:val="none" w:sz="0" w:space="0" w:color="auto"/>
        <w:right w:val="none" w:sz="0" w:space="0" w:color="auto"/>
      </w:divBdr>
    </w:div>
    <w:div w:id="515924396">
      <w:bodyDiv w:val="1"/>
      <w:marLeft w:val="0"/>
      <w:marRight w:val="0"/>
      <w:marTop w:val="0"/>
      <w:marBottom w:val="0"/>
      <w:divBdr>
        <w:top w:val="none" w:sz="0" w:space="0" w:color="auto"/>
        <w:left w:val="none" w:sz="0" w:space="0" w:color="auto"/>
        <w:bottom w:val="none" w:sz="0" w:space="0" w:color="auto"/>
        <w:right w:val="none" w:sz="0" w:space="0" w:color="auto"/>
      </w:divBdr>
    </w:div>
    <w:div w:id="804735714">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0"/>
      <w:marBottom w:val="0"/>
      <w:divBdr>
        <w:top w:val="none" w:sz="0" w:space="0" w:color="auto"/>
        <w:left w:val="none" w:sz="0" w:space="0" w:color="auto"/>
        <w:bottom w:val="none" w:sz="0" w:space="0" w:color="auto"/>
        <w:right w:val="none" w:sz="0" w:space="0" w:color="auto"/>
      </w:divBdr>
    </w:div>
    <w:div w:id="804735716">
      <w:marLeft w:val="0"/>
      <w:marRight w:val="0"/>
      <w:marTop w:val="0"/>
      <w:marBottom w:val="0"/>
      <w:divBdr>
        <w:top w:val="none" w:sz="0" w:space="0" w:color="auto"/>
        <w:left w:val="none" w:sz="0" w:space="0" w:color="auto"/>
        <w:bottom w:val="none" w:sz="0" w:space="0" w:color="auto"/>
        <w:right w:val="none" w:sz="0" w:space="0" w:color="auto"/>
      </w:divBdr>
    </w:div>
    <w:div w:id="804735718">
      <w:marLeft w:val="0"/>
      <w:marRight w:val="0"/>
      <w:marTop w:val="0"/>
      <w:marBottom w:val="0"/>
      <w:divBdr>
        <w:top w:val="none" w:sz="0" w:space="0" w:color="auto"/>
        <w:left w:val="none" w:sz="0" w:space="0" w:color="auto"/>
        <w:bottom w:val="none" w:sz="0" w:space="0" w:color="auto"/>
        <w:right w:val="none" w:sz="0" w:space="0" w:color="auto"/>
      </w:divBdr>
      <w:divsChild>
        <w:div w:id="804735717">
          <w:marLeft w:val="0"/>
          <w:marRight w:val="0"/>
          <w:marTop w:val="0"/>
          <w:marBottom w:val="0"/>
          <w:divBdr>
            <w:top w:val="none" w:sz="0" w:space="0" w:color="auto"/>
            <w:left w:val="none" w:sz="0" w:space="0" w:color="auto"/>
            <w:bottom w:val="none" w:sz="0" w:space="0" w:color="auto"/>
            <w:right w:val="none" w:sz="0" w:space="0" w:color="auto"/>
          </w:divBdr>
        </w:div>
      </w:divsChild>
    </w:div>
    <w:div w:id="804735719">
      <w:marLeft w:val="0"/>
      <w:marRight w:val="0"/>
      <w:marTop w:val="0"/>
      <w:marBottom w:val="0"/>
      <w:divBdr>
        <w:top w:val="none" w:sz="0" w:space="0" w:color="auto"/>
        <w:left w:val="none" w:sz="0" w:space="0" w:color="auto"/>
        <w:bottom w:val="none" w:sz="0" w:space="0" w:color="auto"/>
        <w:right w:val="none" w:sz="0" w:space="0" w:color="auto"/>
      </w:divBdr>
      <w:divsChild>
        <w:div w:id="804735728">
          <w:marLeft w:val="0"/>
          <w:marRight w:val="0"/>
          <w:marTop w:val="0"/>
          <w:marBottom w:val="0"/>
          <w:divBdr>
            <w:top w:val="none" w:sz="0" w:space="0" w:color="auto"/>
            <w:left w:val="none" w:sz="0" w:space="0" w:color="auto"/>
            <w:bottom w:val="none" w:sz="0" w:space="0" w:color="auto"/>
            <w:right w:val="none" w:sz="0" w:space="0" w:color="auto"/>
          </w:divBdr>
          <w:divsChild>
            <w:div w:id="804735720">
              <w:marLeft w:val="0"/>
              <w:marRight w:val="0"/>
              <w:marTop w:val="0"/>
              <w:marBottom w:val="0"/>
              <w:divBdr>
                <w:top w:val="none" w:sz="0" w:space="0" w:color="auto"/>
                <w:left w:val="none" w:sz="0" w:space="0" w:color="auto"/>
                <w:bottom w:val="none" w:sz="0" w:space="0" w:color="auto"/>
                <w:right w:val="none" w:sz="0" w:space="0" w:color="auto"/>
              </w:divBdr>
            </w:div>
            <w:div w:id="804735723">
              <w:marLeft w:val="0"/>
              <w:marRight w:val="0"/>
              <w:marTop w:val="0"/>
              <w:marBottom w:val="0"/>
              <w:divBdr>
                <w:top w:val="none" w:sz="0" w:space="0" w:color="auto"/>
                <w:left w:val="none" w:sz="0" w:space="0" w:color="auto"/>
                <w:bottom w:val="none" w:sz="0" w:space="0" w:color="auto"/>
                <w:right w:val="none" w:sz="0" w:space="0" w:color="auto"/>
              </w:divBdr>
            </w:div>
            <w:div w:id="8047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5722">
      <w:marLeft w:val="0"/>
      <w:marRight w:val="0"/>
      <w:marTop w:val="0"/>
      <w:marBottom w:val="0"/>
      <w:divBdr>
        <w:top w:val="none" w:sz="0" w:space="0" w:color="auto"/>
        <w:left w:val="none" w:sz="0" w:space="0" w:color="auto"/>
        <w:bottom w:val="none" w:sz="0" w:space="0" w:color="auto"/>
        <w:right w:val="none" w:sz="0" w:space="0" w:color="auto"/>
      </w:divBdr>
      <w:divsChild>
        <w:div w:id="804735725">
          <w:marLeft w:val="0"/>
          <w:marRight w:val="0"/>
          <w:marTop w:val="0"/>
          <w:marBottom w:val="0"/>
          <w:divBdr>
            <w:top w:val="none" w:sz="0" w:space="0" w:color="auto"/>
            <w:left w:val="none" w:sz="0" w:space="0" w:color="auto"/>
            <w:bottom w:val="none" w:sz="0" w:space="0" w:color="auto"/>
            <w:right w:val="none" w:sz="0" w:space="0" w:color="auto"/>
          </w:divBdr>
        </w:div>
      </w:divsChild>
    </w:div>
    <w:div w:id="804735726">
      <w:marLeft w:val="0"/>
      <w:marRight w:val="0"/>
      <w:marTop w:val="0"/>
      <w:marBottom w:val="0"/>
      <w:divBdr>
        <w:top w:val="none" w:sz="0" w:space="0" w:color="auto"/>
        <w:left w:val="none" w:sz="0" w:space="0" w:color="auto"/>
        <w:bottom w:val="none" w:sz="0" w:space="0" w:color="auto"/>
        <w:right w:val="none" w:sz="0" w:space="0" w:color="auto"/>
      </w:divBdr>
    </w:div>
    <w:div w:id="804735727">
      <w:marLeft w:val="0"/>
      <w:marRight w:val="0"/>
      <w:marTop w:val="0"/>
      <w:marBottom w:val="0"/>
      <w:divBdr>
        <w:top w:val="none" w:sz="0" w:space="0" w:color="auto"/>
        <w:left w:val="none" w:sz="0" w:space="0" w:color="auto"/>
        <w:bottom w:val="none" w:sz="0" w:space="0" w:color="auto"/>
        <w:right w:val="none" w:sz="0" w:space="0" w:color="auto"/>
      </w:divBdr>
      <w:divsChild>
        <w:div w:id="804735721">
          <w:marLeft w:val="0"/>
          <w:marRight w:val="0"/>
          <w:marTop w:val="0"/>
          <w:marBottom w:val="0"/>
          <w:divBdr>
            <w:top w:val="none" w:sz="0" w:space="0" w:color="auto"/>
            <w:left w:val="none" w:sz="0" w:space="0" w:color="auto"/>
            <w:bottom w:val="none" w:sz="0" w:space="0" w:color="auto"/>
            <w:right w:val="none" w:sz="0" w:space="0" w:color="auto"/>
          </w:divBdr>
        </w:div>
      </w:divsChild>
    </w:div>
    <w:div w:id="804735729">
      <w:marLeft w:val="0"/>
      <w:marRight w:val="0"/>
      <w:marTop w:val="0"/>
      <w:marBottom w:val="0"/>
      <w:divBdr>
        <w:top w:val="none" w:sz="0" w:space="0" w:color="auto"/>
        <w:left w:val="none" w:sz="0" w:space="0" w:color="auto"/>
        <w:bottom w:val="none" w:sz="0" w:space="0" w:color="auto"/>
        <w:right w:val="none" w:sz="0" w:space="0" w:color="auto"/>
      </w:divBdr>
    </w:div>
    <w:div w:id="804735730">
      <w:marLeft w:val="0"/>
      <w:marRight w:val="0"/>
      <w:marTop w:val="0"/>
      <w:marBottom w:val="0"/>
      <w:divBdr>
        <w:top w:val="none" w:sz="0" w:space="0" w:color="auto"/>
        <w:left w:val="none" w:sz="0" w:space="0" w:color="auto"/>
        <w:bottom w:val="none" w:sz="0" w:space="0" w:color="auto"/>
        <w:right w:val="none" w:sz="0" w:space="0" w:color="auto"/>
      </w:divBdr>
    </w:div>
    <w:div w:id="804735731">
      <w:marLeft w:val="0"/>
      <w:marRight w:val="0"/>
      <w:marTop w:val="0"/>
      <w:marBottom w:val="0"/>
      <w:divBdr>
        <w:top w:val="none" w:sz="0" w:space="0" w:color="auto"/>
        <w:left w:val="none" w:sz="0" w:space="0" w:color="auto"/>
        <w:bottom w:val="none" w:sz="0" w:space="0" w:color="auto"/>
        <w:right w:val="none" w:sz="0" w:space="0" w:color="auto"/>
      </w:divBdr>
    </w:div>
    <w:div w:id="804735732">
      <w:marLeft w:val="0"/>
      <w:marRight w:val="0"/>
      <w:marTop w:val="0"/>
      <w:marBottom w:val="0"/>
      <w:divBdr>
        <w:top w:val="none" w:sz="0" w:space="0" w:color="auto"/>
        <w:left w:val="none" w:sz="0" w:space="0" w:color="auto"/>
        <w:bottom w:val="none" w:sz="0" w:space="0" w:color="auto"/>
        <w:right w:val="none" w:sz="0" w:space="0" w:color="auto"/>
      </w:divBdr>
    </w:div>
    <w:div w:id="804735733">
      <w:marLeft w:val="0"/>
      <w:marRight w:val="0"/>
      <w:marTop w:val="0"/>
      <w:marBottom w:val="0"/>
      <w:divBdr>
        <w:top w:val="none" w:sz="0" w:space="0" w:color="auto"/>
        <w:left w:val="none" w:sz="0" w:space="0" w:color="auto"/>
        <w:bottom w:val="none" w:sz="0" w:space="0" w:color="auto"/>
        <w:right w:val="none" w:sz="0" w:space="0" w:color="auto"/>
      </w:divBdr>
    </w:div>
    <w:div w:id="948928456">
      <w:bodyDiv w:val="1"/>
      <w:marLeft w:val="0"/>
      <w:marRight w:val="0"/>
      <w:marTop w:val="0"/>
      <w:marBottom w:val="0"/>
      <w:divBdr>
        <w:top w:val="none" w:sz="0" w:space="0" w:color="auto"/>
        <w:left w:val="none" w:sz="0" w:space="0" w:color="auto"/>
        <w:bottom w:val="none" w:sz="0" w:space="0" w:color="auto"/>
        <w:right w:val="none" w:sz="0" w:space="0" w:color="auto"/>
      </w:divBdr>
    </w:div>
    <w:div w:id="1374378349">
      <w:bodyDiv w:val="1"/>
      <w:marLeft w:val="0"/>
      <w:marRight w:val="0"/>
      <w:marTop w:val="0"/>
      <w:marBottom w:val="0"/>
      <w:divBdr>
        <w:top w:val="none" w:sz="0" w:space="0" w:color="auto"/>
        <w:left w:val="none" w:sz="0" w:space="0" w:color="auto"/>
        <w:bottom w:val="none" w:sz="0" w:space="0" w:color="auto"/>
        <w:right w:val="none" w:sz="0" w:space="0" w:color="auto"/>
      </w:divBdr>
    </w:div>
    <w:div w:id="1739671056">
      <w:bodyDiv w:val="1"/>
      <w:marLeft w:val="0"/>
      <w:marRight w:val="0"/>
      <w:marTop w:val="0"/>
      <w:marBottom w:val="0"/>
      <w:divBdr>
        <w:top w:val="none" w:sz="0" w:space="0" w:color="auto"/>
        <w:left w:val="none" w:sz="0" w:space="0" w:color="auto"/>
        <w:bottom w:val="none" w:sz="0" w:space="0" w:color="auto"/>
        <w:right w:val="none" w:sz="0" w:space="0" w:color="auto"/>
      </w:divBdr>
    </w:div>
    <w:div w:id="198169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B117C-C142-47CA-AB6C-3F43953E4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2207</Words>
  <Characters>12584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Reviewing the costs and benefits of disaster risk management</vt:lpstr>
    </vt:vector>
  </TitlesOfParts>
  <Company/>
  <LinksUpToDate>false</LinksUpToDate>
  <CharactersWithSpaces>14762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Reviewing the costs and benefits of disaster risk management</dc:title>
  <dc:creator>MECHLER Reinhard</dc:creator>
  <cp:lastModifiedBy>rossini</cp:lastModifiedBy>
  <cp:revision>2</cp:revision>
  <cp:lastPrinted>2013-02-15T15:45:00Z</cp:lastPrinted>
  <dcterms:created xsi:type="dcterms:W3CDTF">2016-03-04T09:14:00Z</dcterms:created>
  <dcterms:modified xsi:type="dcterms:W3CDTF">2016-03-04T09:14:00Z</dcterms:modified>
</cp:coreProperties>
</file>