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F4D16" w14:textId="77777777" w:rsidR="00A0121B" w:rsidRDefault="00F4483B" w:rsidP="00C07804">
      <w:pPr>
        <w:rPr>
          <w:rFonts w:asciiTheme="majorHAnsi" w:hAnsiTheme="majorHAnsi"/>
          <w:b/>
          <w:color w:val="000000" w:themeColor="text1"/>
          <w:sz w:val="32"/>
          <w:szCs w:val="32"/>
          <w:lang w:val="en-GB"/>
        </w:rPr>
      </w:pPr>
      <w:bookmarkStart w:id="0" w:name="_GoBack"/>
      <w:bookmarkEnd w:id="0"/>
      <w:r w:rsidRPr="00C07804">
        <w:rPr>
          <w:rFonts w:asciiTheme="majorHAnsi" w:hAnsiTheme="majorHAnsi"/>
          <w:b/>
          <w:color w:val="000000" w:themeColor="text1"/>
          <w:sz w:val="32"/>
          <w:szCs w:val="32"/>
          <w:lang w:val="en-GB"/>
        </w:rPr>
        <w:t>SUPPLEMENTARY INFORMATION</w:t>
      </w:r>
    </w:p>
    <w:p w14:paraId="73FD0AAC" w14:textId="08E43D47" w:rsidR="00A0121B" w:rsidRDefault="00F4483B" w:rsidP="00EC1ADF">
      <w:pPr>
        <w:rPr>
          <w:rFonts w:asciiTheme="majorHAnsi" w:hAnsiTheme="majorHAnsi"/>
          <w:b/>
          <w:color w:val="000000" w:themeColor="text1"/>
          <w:sz w:val="32"/>
          <w:szCs w:val="32"/>
          <w:lang w:val="en-GB"/>
        </w:rPr>
      </w:pPr>
      <w:r w:rsidRPr="00C07804">
        <w:rPr>
          <w:rFonts w:asciiTheme="majorHAnsi" w:hAnsiTheme="majorHAnsi"/>
          <w:b/>
          <w:color w:val="000000" w:themeColor="text1"/>
          <w:sz w:val="32"/>
          <w:szCs w:val="32"/>
          <w:lang w:val="en-GB"/>
        </w:rPr>
        <w:br/>
      </w:r>
      <w:r w:rsidR="00EC1ADF">
        <w:rPr>
          <w:rFonts w:asciiTheme="majorHAnsi" w:hAnsiTheme="majorHAnsi"/>
          <w:b/>
          <w:color w:val="000000" w:themeColor="text1"/>
          <w:sz w:val="32"/>
          <w:szCs w:val="32"/>
          <w:lang w:val="en-GB"/>
        </w:rPr>
        <w:t>T</w:t>
      </w:r>
      <w:r w:rsidR="00EC1ADF" w:rsidRPr="00EC1ADF">
        <w:rPr>
          <w:rFonts w:asciiTheme="majorHAnsi" w:hAnsiTheme="majorHAnsi"/>
          <w:b/>
          <w:color w:val="000000" w:themeColor="text1"/>
          <w:sz w:val="32"/>
          <w:szCs w:val="32"/>
          <w:lang w:val="en-GB"/>
        </w:rPr>
        <w:t>he marker quantification of the shared socioeconomic pathway 2:</w:t>
      </w:r>
      <w:r w:rsidR="00EC1ADF">
        <w:rPr>
          <w:rFonts w:asciiTheme="majorHAnsi" w:hAnsiTheme="majorHAnsi"/>
          <w:b/>
          <w:color w:val="000000" w:themeColor="text1"/>
          <w:sz w:val="32"/>
          <w:szCs w:val="32"/>
          <w:lang w:val="en-GB"/>
        </w:rPr>
        <w:br/>
      </w:r>
      <w:r w:rsidR="00EC1ADF" w:rsidRPr="00EC1ADF">
        <w:rPr>
          <w:rFonts w:asciiTheme="majorHAnsi" w:hAnsiTheme="majorHAnsi"/>
          <w:b/>
          <w:color w:val="000000" w:themeColor="text1"/>
          <w:sz w:val="32"/>
          <w:szCs w:val="32"/>
          <w:lang w:val="en-GB"/>
        </w:rPr>
        <w:t>a middle-of-the-road scenario for the 21</w:t>
      </w:r>
      <w:r w:rsidR="00EC1ADF" w:rsidRPr="00EC1ADF">
        <w:rPr>
          <w:rFonts w:asciiTheme="majorHAnsi" w:hAnsiTheme="majorHAnsi"/>
          <w:b/>
          <w:color w:val="000000" w:themeColor="text1"/>
          <w:sz w:val="32"/>
          <w:szCs w:val="32"/>
          <w:vertAlign w:val="superscript"/>
          <w:lang w:val="en-GB"/>
        </w:rPr>
        <w:t>st</w:t>
      </w:r>
      <w:r w:rsidR="00EC1ADF">
        <w:rPr>
          <w:rFonts w:asciiTheme="majorHAnsi" w:hAnsiTheme="majorHAnsi"/>
          <w:b/>
          <w:color w:val="000000" w:themeColor="text1"/>
          <w:sz w:val="32"/>
          <w:szCs w:val="32"/>
          <w:lang w:val="en-GB"/>
        </w:rPr>
        <w:t xml:space="preserve"> </w:t>
      </w:r>
      <w:r w:rsidR="00EC1ADF" w:rsidRPr="00EC1ADF">
        <w:rPr>
          <w:rFonts w:asciiTheme="majorHAnsi" w:hAnsiTheme="majorHAnsi"/>
          <w:b/>
          <w:color w:val="000000" w:themeColor="text1"/>
          <w:sz w:val="32"/>
          <w:szCs w:val="32"/>
          <w:lang w:val="en-GB"/>
        </w:rPr>
        <w:t>century</w:t>
      </w:r>
      <w:r w:rsidRPr="00C07804">
        <w:rPr>
          <w:rFonts w:asciiTheme="majorHAnsi" w:hAnsiTheme="majorHAnsi"/>
          <w:b/>
          <w:color w:val="000000" w:themeColor="text1"/>
          <w:sz w:val="32"/>
          <w:szCs w:val="32"/>
          <w:lang w:val="en-GB"/>
        </w:rPr>
        <w:t xml:space="preserve"> </w:t>
      </w:r>
    </w:p>
    <w:p w14:paraId="5FD5CF19" w14:textId="23191916" w:rsidR="00C07804" w:rsidRDefault="00F4483B" w:rsidP="00EC1ADF">
      <w:pPr>
        <w:rPr>
          <w:sz w:val="24"/>
          <w:lang w:val="en-GB"/>
        </w:rPr>
      </w:pPr>
      <w:r w:rsidRPr="00C07804">
        <w:rPr>
          <w:rFonts w:asciiTheme="majorHAnsi" w:hAnsiTheme="majorHAnsi"/>
          <w:b/>
          <w:color w:val="000000" w:themeColor="text1"/>
          <w:sz w:val="32"/>
          <w:szCs w:val="32"/>
          <w:lang w:val="en-GB"/>
        </w:rPr>
        <w:br/>
      </w:r>
      <w:r w:rsidR="00FB4FCA">
        <w:rPr>
          <w:sz w:val="24"/>
          <w:lang w:val="en-GB"/>
        </w:rPr>
        <w:t xml:space="preserve">- in review for </w:t>
      </w:r>
      <w:r>
        <w:rPr>
          <w:sz w:val="24"/>
          <w:lang w:val="en-GB"/>
        </w:rPr>
        <w:t xml:space="preserve">Global Environmental Change </w:t>
      </w:r>
      <w:r w:rsidR="00EC1ADF">
        <w:rPr>
          <w:sz w:val="24"/>
          <w:lang w:val="en-GB"/>
        </w:rPr>
        <w:t>–</w:t>
      </w:r>
      <w:r>
        <w:rPr>
          <w:sz w:val="24"/>
          <w:lang w:val="en-GB"/>
        </w:rPr>
        <w:t xml:space="preserve"> </w:t>
      </w:r>
    </w:p>
    <w:p w14:paraId="5967356B" w14:textId="52A8FBEA" w:rsidR="00EC1ADF" w:rsidRDefault="00EC1ADF">
      <w:pPr>
        <w:spacing w:line="259" w:lineRule="auto"/>
        <w:rPr>
          <w:sz w:val="24"/>
          <w:lang w:val="en-GB"/>
        </w:rPr>
      </w:pPr>
      <w:r>
        <w:rPr>
          <w:sz w:val="24"/>
          <w:lang w:val="en-GB"/>
        </w:rPr>
        <w:br w:type="page"/>
      </w:r>
    </w:p>
    <w:sdt>
      <w:sdtPr>
        <w:rPr>
          <w:rFonts w:asciiTheme="minorHAnsi" w:eastAsiaTheme="minorHAnsi" w:hAnsiTheme="minorHAnsi" w:cstheme="minorBidi"/>
          <w:color w:val="auto"/>
          <w:sz w:val="22"/>
          <w:szCs w:val="22"/>
        </w:rPr>
        <w:id w:val="1594437780"/>
        <w:docPartObj>
          <w:docPartGallery w:val="Table of Contents"/>
          <w:docPartUnique/>
        </w:docPartObj>
      </w:sdtPr>
      <w:sdtEndPr>
        <w:rPr>
          <w:b/>
          <w:bCs/>
          <w:noProof/>
        </w:rPr>
      </w:sdtEndPr>
      <w:sdtContent>
        <w:p w14:paraId="2876D55D" w14:textId="77777777" w:rsidR="00C07804" w:rsidRDefault="00C07804">
          <w:pPr>
            <w:pStyle w:val="TOCHeading"/>
          </w:pPr>
          <w:r>
            <w:t>Contents</w:t>
          </w:r>
        </w:p>
        <w:p w14:paraId="312D6A7F" w14:textId="77777777" w:rsidR="00A55865" w:rsidRDefault="00C07804">
          <w:pPr>
            <w:pStyle w:val="TOC1"/>
            <w:tabs>
              <w:tab w:val="right" w:leader="dot" w:pos="9062"/>
            </w:tabs>
            <w:rPr>
              <w:rFonts w:eastAsiaTheme="minorEastAsia"/>
              <w:noProof/>
              <w:lang w:val="de-CH" w:eastAsia="de-CH"/>
            </w:rPr>
          </w:pPr>
          <w:r>
            <w:fldChar w:fldCharType="begin"/>
          </w:r>
          <w:r>
            <w:instrText xml:space="preserve"> TOC \o "1-3" \h \z \u </w:instrText>
          </w:r>
          <w:r>
            <w:fldChar w:fldCharType="separate"/>
          </w:r>
          <w:hyperlink w:anchor="_Toc449104520" w:history="1">
            <w:r w:rsidR="00A55865" w:rsidRPr="003B5E92">
              <w:rPr>
                <w:rStyle w:val="Hyperlink"/>
                <w:noProof/>
              </w:rPr>
              <w:t>Supplementary text</w:t>
            </w:r>
            <w:r w:rsidR="00A55865">
              <w:rPr>
                <w:noProof/>
                <w:webHidden/>
              </w:rPr>
              <w:tab/>
            </w:r>
            <w:r w:rsidR="00A55865">
              <w:rPr>
                <w:noProof/>
                <w:webHidden/>
              </w:rPr>
              <w:fldChar w:fldCharType="begin"/>
            </w:r>
            <w:r w:rsidR="00A55865">
              <w:rPr>
                <w:noProof/>
                <w:webHidden/>
              </w:rPr>
              <w:instrText xml:space="preserve"> PAGEREF _Toc449104520 \h </w:instrText>
            </w:r>
            <w:r w:rsidR="00A55865">
              <w:rPr>
                <w:noProof/>
                <w:webHidden/>
              </w:rPr>
            </w:r>
            <w:r w:rsidR="00A55865">
              <w:rPr>
                <w:noProof/>
                <w:webHidden/>
              </w:rPr>
              <w:fldChar w:fldCharType="separate"/>
            </w:r>
            <w:r w:rsidR="00A55865">
              <w:rPr>
                <w:noProof/>
                <w:webHidden/>
              </w:rPr>
              <w:t>3</w:t>
            </w:r>
            <w:r w:rsidR="00A55865">
              <w:rPr>
                <w:noProof/>
                <w:webHidden/>
              </w:rPr>
              <w:fldChar w:fldCharType="end"/>
            </w:r>
          </w:hyperlink>
        </w:p>
        <w:p w14:paraId="365B5BE2" w14:textId="77777777" w:rsidR="00A55865" w:rsidRDefault="00BE5929">
          <w:pPr>
            <w:pStyle w:val="TOC2"/>
            <w:tabs>
              <w:tab w:val="right" w:leader="dot" w:pos="9062"/>
            </w:tabs>
            <w:rPr>
              <w:rFonts w:eastAsiaTheme="minorEastAsia"/>
              <w:noProof/>
              <w:lang w:val="de-CH" w:eastAsia="de-CH"/>
            </w:rPr>
          </w:pPr>
          <w:hyperlink w:anchor="_Toc449104521" w:history="1">
            <w:r w:rsidR="00A55865" w:rsidRPr="003B5E92">
              <w:rPr>
                <w:rStyle w:val="Hyperlink"/>
                <w:noProof/>
              </w:rPr>
              <w:t>Supplementary text 1: literature context for SSP2</w:t>
            </w:r>
            <w:r w:rsidR="00A55865">
              <w:rPr>
                <w:noProof/>
                <w:webHidden/>
              </w:rPr>
              <w:tab/>
            </w:r>
            <w:r w:rsidR="00A55865">
              <w:rPr>
                <w:noProof/>
                <w:webHidden/>
              </w:rPr>
              <w:fldChar w:fldCharType="begin"/>
            </w:r>
            <w:r w:rsidR="00A55865">
              <w:rPr>
                <w:noProof/>
                <w:webHidden/>
              </w:rPr>
              <w:instrText xml:space="preserve"> PAGEREF _Toc449104521 \h </w:instrText>
            </w:r>
            <w:r w:rsidR="00A55865">
              <w:rPr>
                <w:noProof/>
                <w:webHidden/>
              </w:rPr>
            </w:r>
            <w:r w:rsidR="00A55865">
              <w:rPr>
                <w:noProof/>
                <w:webHidden/>
              </w:rPr>
              <w:fldChar w:fldCharType="separate"/>
            </w:r>
            <w:r w:rsidR="00A55865">
              <w:rPr>
                <w:noProof/>
                <w:webHidden/>
              </w:rPr>
              <w:t>3</w:t>
            </w:r>
            <w:r w:rsidR="00A55865">
              <w:rPr>
                <w:noProof/>
                <w:webHidden/>
              </w:rPr>
              <w:fldChar w:fldCharType="end"/>
            </w:r>
          </w:hyperlink>
        </w:p>
        <w:p w14:paraId="69E0CD75" w14:textId="77777777" w:rsidR="00A55865" w:rsidRDefault="00BE5929">
          <w:pPr>
            <w:pStyle w:val="TOC2"/>
            <w:tabs>
              <w:tab w:val="right" w:leader="dot" w:pos="9062"/>
            </w:tabs>
            <w:rPr>
              <w:rFonts w:eastAsiaTheme="minorEastAsia"/>
              <w:noProof/>
              <w:lang w:val="de-CH" w:eastAsia="de-CH"/>
            </w:rPr>
          </w:pPr>
          <w:hyperlink w:anchor="_Toc449104522" w:history="1">
            <w:r w:rsidR="00A55865" w:rsidRPr="003B5E92">
              <w:rPr>
                <w:rStyle w:val="Hyperlink"/>
                <w:noProof/>
              </w:rPr>
              <w:t>Supplementary text 2: future energy demand methodology</w:t>
            </w:r>
            <w:r w:rsidR="00A55865">
              <w:rPr>
                <w:noProof/>
                <w:webHidden/>
              </w:rPr>
              <w:tab/>
            </w:r>
            <w:r w:rsidR="00A55865">
              <w:rPr>
                <w:noProof/>
                <w:webHidden/>
              </w:rPr>
              <w:fldChar w:fldCharType="begin"/>
            </w:r>
            <w:r w:rsidR="00A55865">
              <w:rPr>
                <w:noProof/>
                <w:webHidden/>
              </w:rPr>
              <w:instrText xml:space="preserve"> PAGEREF _Toc449104522 \h </w:instrText>
            </w:r>
            <w:r w:rsidR="00A55865">
              <w:rPr>
                <w:noProof/>
                <w:webHidden/>
              </w:rPr>
            </w:r>
            <w:r w:rsidR="00A55865">
              <w:rPr>
                <w:noProof/>
                <w:webHidden/>
              </w:rPr>
              <w:fldChar w:fldCharType="separate"/>
            </w:r>
            <w:r w:rsidR="00A55865">
              <w:rPr>
                <w:noProof/>
                <w:webHidden/>
              </w:rPr>
              <w:t>3</w:t>
            </w:r>
            <w:r w:rsidR="00A55865">
              <w:rPr>
                <w:noProof/>
                <w:webHidden/>
              </w:rPr>
              <w:fldChar w:fldCharType="end"/>
            </w:r>
          </w:hyperlink>
        </w:p>
        <w:p w14:paraId="7036F1F8" w14:textId="77777777" w:rsidR="00A55865" w:rsidRDefault="00BE5929">
          <w:pPr>
            <w:pStyle w:val="TOC2"/>
            <w:tabs>
              <w:tab w:val="right" w:leader="dot" w:pos="9062"/>
            </w:tabs>
            <w:rPr>
              <w:rFonts w:eastAsiaTheme="minorEastAsia"/>
              <w:noProof/>
              <w:lang w:val="de-CH" w:eastAsia="de-CH"/>
            </w:rPr>
          </w:pPr>
          <w:hyperlink w:anchor="_Toc449104523" w:history="1">
            <w:r w:rsidR="00A55865" w:rsidRPr="003B5E92">
              <w:rPr>
                <w:rStyle w:val="Hyperlink"/>
                <w:noProof/>
              </w:rPr>
              <w:t>Supplementary text 3: regional fossil fuel resources</w:t>
            </w:r>
            <w:r w:rsidR="00A55865">
              <w:rPr>
                <w:noProof/>
                <w:webHidden/>
              </w:rPr>
              <w:tab/>
            </w:r>
            <w:r w:rsidR="00A55865">
              <w:rPr>
                <w:noProof/>
                <w:webHidden/>
              </w:rPr>
              <w:fldChar w:fldCharType="begin"/>
            </w:r>
            <w:r w:rsidR="00A55865">
              <w:rPr>
                <w:noProof/>
                <w:webHidden/>
              </w:rPr>
              <w:instrText xml:space="preserve"> PAGEREF _Toc449104523 \h </w:instrText>
            </w:r>
            <w:r w:rsidR="00A55865">
              <w:rPr>
                <w:noProof/>
                <w:webHidden/>
              </w:rPr>
            </w:r>
            <w:r w:rsidR="00A55865">
              <w:rPr>
                <w:noProof/>
                <w:webHidden/>
              </w:rPr>
              <w:fldChar w:fldCharType="separate"/>
            </w:r>
            <w:r w:rsidR="00A55865">
              <w:rPr>
                <w:noProof/>
                <w:webHidden/>
              </w:rPr>
              <w:t>4</w:t>
            </w:r>
            <w:r w:rsidR="00A55865">
              <w:rPr>
                <w:noProof/>
                <w:webHidden/>
              </w:rPr>
              <w:fldChar w:fldCharType="end"/>
            </w:r>
          </w:hyperlink>
        </w:p>
        <w:p w14:paraId="06EDA997" w14:textId="77777777" w:rsidR="00A55865" w:rsidRDefault="00BE5929">
          <w:pPr>
            <w:pStyle w:val="TOC2"/>
            <w:tabs>
              <w:tab w:val="right" w:leader="dot" w:pos="9062"/>
            </w:tabs>
            <w:rPr>
              <w:rFonts w:eastAsiaTheme="minorEastAsia"/>
              <w:noProof/>
              <w:lang w:val="de-CH" w:eastAsia="de-CH"/>
            </w:rPr>
          </w:pPr>
          <w:hyperlink w:anchor="_Toc449104524" w:history="1">
            <w:r w:rsidR="00A55865" w:rsidRPr="003B5E92">
              <w:rPr>
                <w:rStyle w:val="Hyperlink"/>
                <w:noProof/>
              </w:rPr>
              <w:t>Supplementary text 4: nuclear power assumptions in SSP1 and SSP3</w:t>
            </w:r>
            <w:r w:rsidR="00A55865">
              <w:rPr>
                <w:noProof/>
                <w:webHidden/>
              </w:rPr>
              <w:tab/>
            </w:r>
            <w:r w:rsidR="00A55865">
              <w:rPr>
                <w:noProof/>
                <w:webHidden/>
              </w:rPr>
              <w:fldChar w:fldCharType="begin"/>
            </w:r>
            <w:r w:rsidR="00A55865">
              <w:rPr>
                <w:noProof/>
                <w:webHidden/>
              </w:rPr>
              <w:instrText xml:space="preserve"> PAGEREF _Toc449104524 \h </w:instrText>
            </w:r>
            <w:r w:rsidR="00A55865">
              <w:rPr>
                <w:noProof/>
                <w:webHidden/>
              </w:rPr>
            </w:r>
            <w:r w:rsidR="00A55865">
              <w:rPr>
                <w:noProof/>
                <w:webHidden/>
              </w:rPr>
              <w:fldChar w:fldCharType="separate"/>
            </w:r>
            <w:r w:rsidR="00A55865">
              <w:rPr>
                <w:noProof/>
                <w:webHidden/>
              </w:rPr>
              <w:t>4</w:t>
            </w:r>
            <w:r w:rsidR="00A55865">
              <w:rPr>
                <w:noProof/>
                <w:webHidden/>
              </w:rPr>
              <w:fldChar w:fldCharType="end"/>
            </w:r>
          </w:hyperlink>
        </w:p>
        <w:p w14:paraId="668FA7F2" w14:textId="77777777" w:rsidR="00A55865" w:rsidRDefault="00BE5929">
          <w:pPr>
            <w:pStyle w:val="TOC2"/>
            <w:tabs>
              <w:tab w:val="right" w:leader="dot" w:pos="9062"/>
            </w:tabs>
            <w:rPr>
              <w:rFonts w:eastAsiaTheme="minorEastAsia"/>
              <w:noProof/>
              <w:lang w:val="de-CH" w:eastAsia="de-CH"/>
            </w:rPr>
          </w:pPr>
          <w:hyperlink w:anchor="_Toc449104525" w:history="1">
            <w:r w:rsidR="00A55865" w:rsidRPr="003B5E92">
              <w:rPr>
                <w:rStyle w:val="Hyperlink"/>
                <w:noProof/>
              </w:rPr>
              <w:t>Supplementary text 5: commercial biomass resources</w:t>
            </w:r>
            <w:r w:rsidR="00A55865">
              <w:rPr>
                <w:noProof/>
                <w:webHidden/>
              </w:rPr>
              <w:tab/>
            </w:r>
            <w:r w:rsidR="00A55865">
              <w:rPr>
                <w:noProof/>
                <w:webHidden/>
              </w:rPr>
              <w:fldChar w:fldCharType="begin"/>
            </w:r>
            <w:r w:rsidR="00A55865">
              <w:rPr>
                <w:noProof/>
                <w:webHidden/>
              </w:rPr>
              <w:instrText xml:space="preserve"> PAGEREF _Toc449104525 \h </w:instrText>
            </w:r>
            <w:r w:rsidR="00A55865">
              <w:rPr>
                <w:noProof/>
                <w:webHidden/>
              </w:rPr>
            </w:r>
            <w:r w:rsidR="00A55865">
              <w:rPr>
                <w:noProof/>
                <w:webHidden/>
              </w:rPr>
              <w:fldChar w:fldCharType="separate"/>
            </w:r>
            <w:r w:rsidR="00A55865">
              <w:rPr>
                <w:noProof/>
                <w:webHidden/>
              </w:rPr>
              <w:t>4</w:t>
            </w:r>
            <w:r w:rsidR="00A55865">
              <w:rPr>
                <w:noProof/>
                <w:webHidden/>
              </w:rPr>
              <w:fldChar w:fldCharType="end"/>
            </w:r>
          </w:hyperlink>
        </w:p>
        <w:p w14:paraId="302AE18E" w14:textId="77777777" w:rsidR="00A55865" w:rsidRDefault="00BE5929">
          <w:pPr>
            <w:pStyle w:val="TOC2"/>
            <w:tabs>
              <w:tab w:val="right" w:leader="dot" w:pos="9062"/>
            </w:tabs>
            <w:rPr>
              <w:rFonts w:eastAsiaTheme="minorEastAsia"/>
              <w:noProof/>
              <w:lang w:val="de-CH" w:eastAsia="de-CH"/>
            </w:rPr>
          </w:pPr>
          <w:hyperlink w:anchor="_Toc449104526" w:history="1">
            <w:r w:rsidR="00A55865" w:rsidRPr="003B5E92">
              <w:rPr>
                <w:rStyle w:val="Hyperlink"/>
                <w:noProof/>
              </w:rPr>
              <w:t>Supplementary text 6: food consumption, and losses &amp; wastes assumptions</w:t>
            </w:r>
            <w:r w:rsidR="00A55865">
              <w:rPr>
                <w:noProof/>
                <w:webHidden/>
              </w:rPr>
              <w:tab/>
            </w:r>
            <w:r w:rsidR="00A55865">
              <w:rPr>
                <w:noProof/>
                <w:webHidden/>
              </w:rPr>
              <w:fldChar w:fldCharType="begin"/>
            </w:r>
            <w:r w:rsidR="00A55865">
              <w:rPr>
                <w:noProof/>
                <w:webHidden/>
              </w:rPr>
              <w:instrText xml:space="preserve"> PAGEREF _Toc449104526 \h </w:instrText>
            </w:r>
            <w:r w:rsidR="00A55865">
              <w:rPr>
                <w:noProof/>
                <w:webHidden/>
              </w:rPr>
            </w:r>
            <w:r w:rsidR="00A55865">
              <w:rPr>
                <w:noProof/>
                <w:webHidden/>
              </w:rPr>
              <w:fldChar w:fldCharType="separate"/>
            </w:r>
            <w:r w:rsidR="00A55865">
              <w:rPr>
                <w:noProof/>
                <w:webHidden/>
              </w:rPr>
              <w:t>4</w:t>
            </w:r>
            <w:r w:rsidR="00A55865">
              <w:rPr>
                <w:noProof/>
                <w:webHidden/>
              </w:rPr>
              <w:fldChar w:fldCharType="end"/>
            </w:r>
          </w:hyperlink>
        </w:p>
        <w:p w14:paraId="781BDAFA" w14:textId="77777777" w:rsidR="00A55865" w:rsidRDefault="00BE5929">
          <w:pPr>
            <w:pStyle w:val="TOC2"/>
            <w:tabs>
              <w:tab w:val="right" w:leader="dot" w:pos="9062"/>
            </w:tabs>
            <w:rPr>
              <w:rFonts w:eastAsiaTheme="minorEastAsia"/>
              <w:noProof/>
              <w:lang w:val="de-CH" w:eastAsia="de-CH"/>
            </w:rPr>
          </w:pPr>
          <w:hyperlink w:anchor="_Toc449104527" w:history="1">
            <w:r w:rsidR="00A55865" w:rsidRPr="003B5E92">
              <w:rPr>
                <w:rStyle w:val="Hyperlink"/>
                <w:noProof/>
              </w:rPr>
              <w:t xml:space="preserve">Supplementary text 7: structural information on </w:t>
            </w:r>
            <w:r w:rsidR="00A55865" w:rsidRPr="003B5E92">
              <w:rPr>
                <w:rStyle w:val="Hyperlink"/>
                <w:i/>
                <w:noProof/>
              </w:rPr>
              <w:t xml:space="preserve">IIASA IAM </w:t>
            </w:r>
            <w:r w:rsidR="00A55865" w:rsidRPr="003B5E92">
              <w:rPr>
                <w:rStyle w:val="Hyperlink"/>
                <w:noProof/>
              </w:rPr>
              <w:t>framework</w:t>
            </w:r>
            <w:r w:rsidR="00A55865">
              <w:rPr>
                <w:noProof/>
                <w:webHidden/>
              </w:rPr>
              <w:tab/>
            </w:r>
            <w:r w:rsidR="00A55865">
              <w:rPr>
                <w:noProof/>
                <w:webHidden/>
              </w:rPr>
              <w:fldChar w:fldCharType="begin"/>
            </w:r>
            <w:r w:rsidR="00A55865">
              <w:rPr>
                <w:noProof/>
                <w:webHidden/>
              </w:rPr>
              <w:instrText xml:space="preserve"> PAGEREF _Toc449104527 \h </w:instrText>
            </w:r>
            <w:r w:rsidR="00A55865">
              <w:rPr>
                <w:noProof/>
                <w:webHidden/>
              </w:rPr>
            </w:r>
            <w:r w:rsidR="00A55865">
              <w:rPr>
                <w:noProof/>
                <w:webHidden/>
              </w:rPr>
              <w:fldChar w:fldCharType="separate"/>
            </w:r>
            <w:r w:rsidR="00A55865">
              <w:rPr>
                <w:noProof/>
                <w:webHidden/>
              </w:rPr>
              <w:t>5</w:t>
            </w:r>
            <w:r w:rsidR="00A55865">
              <w:rPr>
                <w:noProof/>
                <w:webHidden/>
              </w:rPr>
              <w:fldChar w:fldCharType="end"/>
            </w:r>
          </w:hyperlink>
        </w:p>
        <w:p w14:paraId="5FAC9338" w14:textId="77777777" w:rsidR="00A55865" w:rsidRDefault="00BE5929">
          <w:pPr>
            <w:pStyle w:val="TOC2"/>
            <w:tabs>
              <w:tab w:val="right" w:leader="dot" w:pos="9062"/>
            </w:tabs>
            <w:rPr>
              <w:rFonts w:eastAsiaTheme="minorEastAsia"/>
              <w:noProof/>
              <w:lang w:val="de-CH" w:eastAsia="de-CH"/>
            </w:rPr>
          </w:pPr>
          <w:hyperlink w:anchor="_Toc449104528" w:history="1">
            <w:r w:rsidR="00A55865" w:rsidRPr="003B5E92">
              <w:rPr>
                <w:rStyle w:val="Hyperlink"/>
                <w:noProof/>
              </w:rPr>
              <w:t>Supplementary text 8: livestock consumption background</w:t>
            </w:r>
            <w:r w:rsidR="00A55865">
              <w:rPr>
                <w:noProof/>
                <w:webHidden/>
              </w:rPr>
              <w:tab/>
            </w:r>
            <w:r w:rsidR="00A55865">
              <w:rPr>
                <w:noProof/>
                <w:webHidden/>
              </w:rPr>
              <w:fldChar w:fldCharType="begin"/>
            </w:r>
            <w:r w:rsidR="00A55865">
              <w:rPr>
                <w:noProof/>
                <w:webHidden/>
              </w:rPr>
              <w:instrText xml:space="preserve"> PAGEREF _Toc449104528 \h </w:instrText>
            </w:r>
            <w:r w:rsidR="00A55865">
              <w:rPr>
                <w:noProof/>
                <w:webHidden/>
              </w:rPr>
            </w:r>
            <w:r w:rsidR="00A55865">
              <w:rPr>
                <w:noProof/>
                <w:webHidden/>
              </w:rPr>
              <w:fldChar w:fldCharType="separate"/>
            </w:r>
            <w:r w:rsidR="00A55865">
              <w:rPr>
                <w:noProof/>
                <w:webHidden/>
              </w:rPr>
              <w:t>6</w:t>
            </w:r>
            <w:r w:rsidR="00A55865">
              <w:rPr>
                <w:noProof/>
                <w:webHidden/>
              </w:rPr>
              <w:fldChar w:fldCharType="end"/>
            </w:r>
          </w:hyperlink>
        </w:p>
        <w:p w14:paraId="7A98A27B" w14:textId="77777777" w:rsidR="00A55865" w:rsidRDefault="00BE5929">
          <w:pPr>
            <w:pStyle w:val="TOC2"/>
            <w:tabs>
              <w:tab w:val="right" w:leader="dot" w:pos="9062"/>
            </w:tabs>
            <w:rPr>
              <w:rFonts w:eastAsiaTheme="minorEastAsia"/>
              <w:noProof/>
              <w:lang w:val="de-CH" w:eastAsia="de-CH"/>
            </w:rPr>
          </w:pPr>
          <w:hyperlink w:anchor="_Toc449104529" w:history="1">
            <w:r w:rsidR="00A55865" w:rsidRPr="003B5E92">
              <w:rPr>
                <w:rStyle w:val="Hyperlink"/>
                <w:noProof/>
              </w:rPr>
              <w:t>Supplementary text 9: biomass sources</w:t>
            </w:r>
            <w:r w:rsidR="00A55865">
              <w:rPr>
                <w:noProof/>
                <w:webHidden/>
              </w:rPr>
              <w:tab/>
            </w:r>
            <w:r w:rsidR="00A55865">
              <w:rPr>
                <w:noProof/>
                <w:webHidden/>
              </w:rPr>
              <w:fldChar w:fldCharType="begin"/>
            </w:r>
            <w:r w:rsidR="00A55865">
              <w:rPr>
                <w:noProof/>
                <w:webHidden/>
              </w:rPr>
              <w:instrText xml:space="preserve"> PAGEREF _Toc449104529 \h </w:instrText>
            </w:r>
            <w:r w:rsidR="00A55865">
              <w:rPr>
                <w:noProof/>
                <w:webHidden/>
              </w:rPr>
            </w:r>
            <w:r w:rsidR="00A55865">
              <w:rPr>
                <w:noProof/>
                <w:webHidden/>
              </w:rPr>
              <w:fldChar w:fldCharType="separate"/>
            </w:r>
            <w:r w:rsidR="00A55865">
              <w:rPr>
                <w:noProof/>
                <w:webHidden/>
              </w:rPr>
              <w:t>6</w:t>
            </w:r>
            <w:r w:rsidR="00A55865">
              <w:rPr>
                <w:noProof/>
                <w:webHidden/>
              </w:rPr>
              <w:fldChar w:fldCharType="end"/>
            </w:r>
          </w:hyperlink>
        </w:p>
        <w:p w14:paraId="4C9E5267" w14:textId="77777777" w:rsidR="00A55865" w:rsidRDefault="00BE5929">
          <w:pPr>
            <w:pStyle w:val="TOC2"/>
            <w:tabs>
              <w:tab w:val="right" w:leader="dot" w:pos="9062"/>
            </w:tabs>
            <w:rPr>
              <w:rFonts w:eastAsiaTheme="minorEastAsia"/>
              <w:noProof/>
              <w:lang w:val="de-CH" w:eastAsia="de-CH"/>
            </w:rPr>
          </w:pPr>
          <w:hyperlink w:anchor="_Toc449104530" w:history="1">
            <w:r w:rsidR="00A55865" w:rsidRPr="003B5E92">
              <w:rPr>
                <w:rStyle w:val="Hyperlink"/>
                <w:noProof/>
              </w:rPr>
              <w:t>Supplementary text 10: livestock improvements</w:t>
            </w:r>
            <w:r w:rsidR="00A55865">
              <w:rPr>
                <w:noProof/>
                <w:webHidden/>
              </w:rPr>
              <w:tab/>
            </w:r>
            <w:r w:rsidR="00A55865">
              <w:rPr>
                <w:noProof/>
                <w:webHidden/>
              </w:rPr>
              <w:fldChar w:fldCharType="begin"/>
            </w:r>
            <w:r w:rsidR="00A55865">
              <w:rPr>
                <w:noProof/>
                <w:webHidden/>
              </w:rPr>
              <w:instrText xml:space="preserve"> PAGEREF _Toc449104530 \h </w:instrText>
            </w:r>
            <w:r w:rsidR="00A55865">
              <w:rPr>
                <w:noProof/>
                <w:webHidden/>
              </w:rPr>
            </w:r>
            <w:r w:rsidR="00A55865">
              <w:rPr>
                <w:noProof/>
                <w:webHidden/>
              </w:rPr>
              <w:fldChar w:fldCharType="separate"/>
            </w:r>
            <w:r w:rsidR="00A55865">
              <w:rPr>
                <w:noProof/>
                <w:webHidden/>
              </w:rPr>
              <w:t>6</w:t>
            </w:r>
            <w:r w:rsidR="00A55865">
              <w:rPr>
                <w:noProof/>
                <w:webHidden/>
              </w:rPr>
              <w:fldChar w:fldCharType="end"/>
            </w:r>
          </w:hyperlink>
        </w:p>
        <w:p w14:paraId="70CC0DDC" w14:textId="77777777" w:rsidR="00A55865" w:rsidRDefault="00BE5929">
          <w:pPr>
            <w:pStyle w:val="TOC2"/>
            <w:tabs>
              <w:tab w:val="right" w:leader="dot" w:pos="9062"/>
            </w:tabs>
            <w:rPr>
              <w:rFonts w:eastAsiaTheme="minorEastAsia"/>
              <w:noProof/>
              <w:lang w:val="de-CH" w:eastAsia="de-CH"/>
            </w:rPr>
          </w:pPr>
          <w:hyperlink w:anchor="_Toc449104531" w:history="1">
            <w:r w:rsidR="00A55865" w:rsidRPr="003B5E92">
              <w:rPr>
                <w:rStyle w:val="Hyperlink"/>
                <w:noProof/>
              </w:rPr>
              <w:t>Supplementary text 11: forests and plantations developments</w:t>
            </w:r>
            <w:r w:rsidR="00A55865">
              <w:rPr>
                <w:noProof/>
                <w:webHidden/>
              </w:rPr>
              <w:tab/>
            </w:r>
            <w:r w:rsidR="00A55865">
              <w:rPr>
                <w:noProof/>
                <w:webHidden/>
              </w:rPr>
              <w:fldChar w:fldCharType="begin"/>
            </w:r>
            <w:r w:rsidR="00A55865">
              <w:rPr>
                <w:noProof/>
                <w:webHidden/>
              </w:rPr>
              <w:instrText xml:space="preserve"> PAGEREF _Toc449104531 \h </w:instrText>
            </w:r>
            <w:r w:rsidR="00A55865">
              <w:rPr>
                <w:noProof/>
                <w:webHidden/>
              </w:rPr>
            </w:r>
            <w:r w:rsidR="00A55865">
              <w:rPr>
                <w:noProof/>
                <w:webHidden/>
              </w:rPr>
              <w:fldChar w:fldCharType="separate"/>
            </w:r>
            <w:r w:rsidR="00A55865">
              <w:rPr>
                <w:noProof/>
                <w:webHidden/>
              </w:rPr>
              <w:t>7</w:t>
            </w:r>
            <w:r w:rsidR="00A55865">
              <w:rPr>
                <w:noProof/>
                <w:webHidden/>
              </w:rPr>
              <w:fldChar w:fldCharType="end"/>
            </w:r>
          </w:hyperlink>
        </w:p>
        <w:p w14:paraId="5F3CA5F5" w14:textId="77777777" w:rsidR="00A55865" w:rsidRDefault="00BE5929">
          <w:pPr>
            <w:pStyle w:val="TOC1"/>
            <w:tabs>
              <w:tab w:val="right" w:leader="dot" w:pos="9062"/>
            </w:tabs>
            <w:rPr>
              <w:rFonts w:eastAsiaTheme="minorEastAsia"/>
              <w:noProof/>
              <w:lang w:val="de-CH" w:eastAsia="de-CH"/>
            </w:rPr>
          </w:pPr>
          <w:hyperlink w:anchor="_Toc449104532" w:history="1">
            <w:r w:rsidR="00A55865" w:rsidRPr="003B5E92">
              <w:rPr>
                <w:rStyle w:val="Hyperlink"/>
                <w:noProof/>
              </w:rPr>
              <w:t>Supplementary boxes</w:t>
            </w:r>
            <w:r w:rsidR="00A55865">
              <w:rPr>
                <w:noProof/>
                <w:webHidden/>
              </w:rPr>
              <w:tab/>
            </w:r>
            <w:r w:rsidR="00A55865">
              <w:rPr>
                <w:noProof/>
                <w:webHidden/>
              </w:rPr>
              <w:fldChar w:fldCharType="begin"/>
            </w:r>
            <w:r w:rsidR="00A55865">
              <w:rPr>
                <w:noProof/>
                <w:webHidden/>
              </w:rPr>
              <w:instrText xml:space="preserve"> PAGEREF _Toc449104532 \h </w:instrText>
            </w:r>
            <w:r w:rsidR="00A55865">
              <w:rPr>
                <w:noProof/>
                <w:webHidden/>
              </w:rPr>
            </w:r>
            <w:r w:rsidR="00A55865">
              <w:rPr>
                <w:noProof/>
                <w:webHidden/>
              </w:rPr>
              <w:fldChar w:fldCharType="separate"/>
            </w:r>
            <w:r w:rsidR="00A55865">
              <w:rPr>
                <w:noProof/>
                <w:webHidden/>
              </w:rPr>
              <w:t>8</w:t>
            </w:r>
            <w:r w:rsidR="00A55865">
              <w:rPr>
                <w:noProof/>
                <w:webHidden/>
              </w:rPr>
              <w:fldChar w:fldCharType="end"/>
            </w:r>
          </w:hyperlink>
        </w:p>
        <w:p w14:paraId="34B79DB8" w14:textId="77777777" w:rsidR="00A55865" w:rsidRDefault="00BE5929">
          <w:pPr>
            <w:pStyle w:val="TOC2"/>
            <w:tabs>
              <w:tab w:val="right" w:leader="dot" w:pos="9062"/>
            </w:tabs>
            <w:rPr>
              <w:rFonts w:eastAsiaTheme="minorEastAsia"/>
              <w:noProof/>
              <w:lang w:val="de-CH" w:eastAsia="de-CH"/>
            </w:rPr>
          </w:pPr>
          <w:hyperlink w:anchor="_Toc449104533" w:history="1">
            <w:r w:rsidR="00A55865" w:rsidRPr="003B5E92">
              <w:rPr>
                <w:rStyle w:val="Hyperlink"/>
                <w:noProof/>
              </w:rPr>
              <w:t>Supplementary box 1: SSP1 Narrative</w:t>
            </w:r>
            <w:r w:rsidR="00A55865">
              <w:rPr>
                <w:noProof/>
                <w:webHidden/>
              </w:rPr>
              <w:tab/>
            </w:r>
            <w:r w:rsidR="00A55865">
              <w:rPr>
                <w:noProof/>
                <w:webHidden/>
              </w:rPr>
              <w:fldChar w:fldCharType="begin"/>
            </w:r>
            <w:r w:rsidR="00A55865">
              <w:rPr>
                <w:noProof/>
                <w:webHidden/>
              </w:rPr>
              <w:instrText xml:space="preserve"> PAGEREF _Toc449104533 \h </w:instrText>
            </w:r>
            <w:r w:rsidR="00A55865">
              <w:rPr>
                <w:noProof/>
                <w:webHidden/>
              </w:rPr>
            </w:r>
            <w:r w:rsidR="00A55865">
              <w:rPr>
                <w:noProof/>
                <w:webHidden/>
              </w:rPr>
              <w:fldChar w:fldCharType="separate"/>
            </w:r>
            <w:r w:rsidR="00A55865">
              <w:rPr>
                <w:noProof/>
                <w:webHidden/>
              </w:rPr>
              <w:t>8</w:t>
            </w:r>
            <w:r w:rsidR="00A55865">
              <w:rPr>
                <w:noProof/>
                <w:webHidden/>
              </w:rPr>
              <w:fldChar w:fldCharType="end"/>
            </w:r>
          </w:hyperlink>
        </w:p>
        <w:p w14:paraId="032A5D09" w14:textId="77777777" w:rsidR="00A55865" w:rsidRDefault="00BE5929">
          <w:pPr>
            <w:pStyle w:val="TOC2"/>
            <w:tabs>
              <w:tab w:val="right" w:leader="dot" w:pos="9062"/>
            </w:tabs>
            <w:rPr>
              <w:rFonts w:eastAsiaTheme="minorEastAsia"/>
              <w:noProof/>
              <w:lang w:val="de-CH" w:eastAsia="de-CH"/>
            </w:rPr>
          </w:pPr>
          <w:hyperlink w:anchor="_Toc449104534" w:history="1">
            <w:r w:rsidR="00A55865" w:rsidRPr="003B5E92">
              <w:rPr>
                <w:rStyle w:val="Hyperlink"/>
                <w:noProof/>
              </w:rPr>
              <w:t>Supplementary box 2: SSP3 Narrative</w:t>
            </w:r>
            <w:r w:rsidR="00A55865">
              <w:rPr>
                <w:noProof/>
                <w:webHidden/>
              </w:rPr>
              <w:tab/>
            </w:r>
            <w:r w:rsidR="00A55865">
              <w:rPr>
                <w:noProof/>
                <w:webHidden/>
              </w:rPr>
              <w:fldChar w:fldCharType="begin"/>
            </w:r>
            <w:r w:rsidR="00A55865">
              <w:rPr>
                <w:noProof/>
                <w:webHidden/>
              </w:rPr>
              <w:instrText xml:space="preserve"> PAGEREF _Toc449104534 \h </w:instrText>
            </w:r>
            <w:r w:rsidR="00A55865">
              <w:rPr>
                <w:noProof/>
                <w:webHidden/>
              </w:rPr>
            </w:r>
            <w:r w:rsidR="00A55865">
              <w:rPr>
                <w:noProof/>
                <w:webHidden/>
              </w:rPr>
              <w:fldChar w:fldCharType="separate"/>
            </w:r>
            <w:r w:rsidR="00A55865">
              <w:rPr>
                <w:noProof/>
                <w:webHidden/>
              </w:rPr>
              <w:t>9</w:t>
            </w:r>
            <w:r w:rsidR="00A55865">
              <w:rPr>
                <w:noProof/>
                <w:webHidden/>
              </w:rPr>
              <w:fldChar w:fldCharType="end"/>
            </w:r>
          </w:hyperlink>
        </w:p>
        <w:p w14:paraId="0B3FD6CC" w14:textId="77777777" w:rsidR="00A55865" w:rsidRDefault="00BE5929">
          <w:pPr>
            <w:pStyle w:val="TOC1"/>
            <w:tabs>
              <w:tab w:val="right" w:leader="dot" w:pos="9062"/>
            </w:tabs>
            <w:rPr>
              <w:rFonts w:eastAsiaTheme="minorEastAsia"/>
              <w:noProof/>
              <w:lang w:val="de-CH" w:eastAsia="de-CH"/>
            </w:rPr>
          </w:pPr>
          <w:hyperlink w:anchor="_Toc449104535" w:history="1">
            <w:r w:rsidR="00A55865" w:rsidRPr="003B5E92">
              <w:rPr>
                <w:rStyle w:val="Hyperlink"/>
                <w:noProof/>
              </w:rPr>
              <w:t>Supplementary tables</w:t>
            </w:r>
            <w:r w:rsidR="00A55865">
              <w:rPr>
                <w:noProof/>
                <w:webHidden/>
              </w:rPr>
              <w:tab/>
            </w:r>
            <w:r w:rsidR="00A55865">
              <w:rPr>
                <w:noProof/>
                <w:webHidden/>
              </w:rPr>
              <w:fldChar w:fldCharType="begin"/>
            </w:r>
            <w:r w:rsidR="00A55865">
              <w:rPr>
                <w:noProof/>
                <w:webHidden/>
              </w:rPr>
              <w:instrText xml:space="preserve"> PAGEREF _Toc449104535 \h </w:instrText>
            </w:r>
            <w:r w:rsidR="00A55865">
              <w:rPr>
                <w:noProof/>
                <w:webHidden/>
              </w:rPr>
            </w:r>
            <w:r w:rsidR="00A55865">
              <w:rPr>
                <w:noProof/>
                <w:webHidden/>
              </w:rPr>
              <w:fldChar w:fldCharType="separate"/>
            </w:r>
            <w:r w:rsidR="00A55865">
              <w:rPr>
                <w:noProof/>
                <w:webHidden/>
              </w:rPr>
              <w:t>10</w:t>
            </w:r>
            <w:r w:rsidR="00A55865">
              <w:rPr>
                <w:noProof/>
                <w:webHidden/>
              </w:rPr>
              <w:fldChar w:fldCharType="end"/>
            </w:r>
          </w:hyperlink>
        </w:p>
        <w:p w14:paraId="2B201040" w14:textId="77777777" w:rsidR="00A55865" w:rsidRDefault="00BE5929">
          <w:pPr>
            <w:pStyle w:val="TOC2"/>
            <w:tabs>
              <w:tab w:val="right" w:leader="dot" w:pos="9062"/>
            </w:tabs>
            <w:rPr>
              <w:rFonts w:eastAsiaTheme="minorEastAsia"/>
              <w:noProof/>
              <w:lang w:val="de-CH" w:eastAsia="de-CH"/>
            </w:rPr>
          </w:pPr>
          <w:hyperlink w:anchor="_Toc449104536" w:history="1">
            <w:r w:rsidR="00A55865" w:rsidRPr="003B5E92">
              <w:rPr>
                <w:rStyle w:val="Hyperlink"/>
                <w:noProof/>
              </w:rPr>
              <w:t>Convergence parameters</w:t>
            </w:r>
            <w:r w:rsidR="00A55865">
              <w:rPr>
                <w:noProof/>
                <w:webHidden/>
              </w:rPr>
              <w:tab/>
            </w:r>
            <w:r w:rsidR="00A55865">
              <w:rPr>
                <w:noProof/>
                <w:webHidden/>
              </w:rPr>
              <w:fldChar w:fldCharType="begin"/>
            </w:r>
            <w:r w:rsidR="00A55865">
              <w:rPr>
                <w:noProof/>
                <w:webHidden/>
              </w:rPr>
              <w:instrText xml:space="preserve"> PAGEREF _Toc449104536 \h </w:instrText>
            </w:r>
            <w:r w:rsidR="00A55865">
              <w:rPr>
                <w:noProof/>
                <w:webHidden/>
              </w:rPr>
            </w:r>
            <w:r w:rsidR="00A55865">
              <w:rPr>
                <w:noProof/>
                <w:webHidden/>
              </w:rPr>
              <w:fldChar w:fldCharType="separate"/>
            </w:r>
            <w:r w:rsidR="00A55865">
              <w:rPr>
                <w:noProof/>
                <w:webHidden/>
              </w:rPr>
              <w:t>10</w:t>
            </w:r>
            <w:r w:rsidR="00A55865">
              <w:rPr>
                <w:noProof/>
                <w:webHidden/>
              </w:rPr>
              <w:fldChar w:fldCharType="end"/>
            </w:r>
          </w:hyperlink>
        </w:p>
        <w:p w14:paraId="081C444E" w14:textId="77777777" w:rsidR="00A55865" w:rsidRDefault="00BE5929">
          <w:pPr>
            <w:pStyle w:val="TOC2"/>
            <w:tabs>
              <w:tab w:val="right" w:leader="dot" w:pos="9062"/>
            </w:tabs>
            <w:rPr>
              <w:rFonts w:eastAsiaTheme="minorEastAsia"/>
              <w:noProof/>
              <w:lang w:val="de-CH" w:eastAsia="de-CH"/>
            </w:rPr>
          </w:pPr>
          <w:hyperlink w:anchor="_Toc449104537" w:history="1">
            <w:r w:rsidR="00A55865" w:rsidRPr="003B5E92">
              <w:rPr>
                <w:rStyle w:val="Hyperlink"/>
                <w:noProof/>
              </w:rPr>
              <w:t>Fossil resources</w:t>
            </w:r>
            <w:r w:rsidR="00A55865">
              <w:rPr>
                <w:noProof/>
                <w:webHidden/>
              </w:rPr>
              <w:tab/>
            </w:r>
            <w:r w:rsidR="00A55865">
              <w:rPr>
                <w:noProof/>
                <w:webHidden/>
              </w:rPr>
              <w:fldChar w:fldCharType="begin"/>
            </w:r>
            <w:r w:rsidR="00A55865">
              <w:rPr>
                <w:noProof/>
                <w:webHidden/>
              </w:rPr>
              <w:instrText xml:space="preserve"> PAGEREF _Toc449104537 \h </w:instrText>
            </w:r>
            <w:r w:rsidR="00A55865">
              <w:rPr>
                <w:noProof/>
                <w:webHidden/>
              </w:rPr>
            </w:r>
            <w:r w:rsidR="00A55865">
              <w:rPr>
                <w:noProof/>
                <w:webHidden/>
              </w:rPr>
              <w:fldChar w:fldCharType="separate"/>
            </w:r>
            <w:r w:rsidR="00A55865">
              <w:rPr>
                <w:noProof/>
                <w:webHidden/>
              </w:rPr>
              <w:t>13</w:t>
            </w:r>
            <w:r w:rsidR="00A55865">
              <w:rPr>
                <w:noProof/>
                <w:webHidden/>
              </w:rPr>
              <w:fldChar w:fldCharType="end"/>
            </w:r>
          </w:hyperlink>
        </w:p>
        <w:p w14:paraId="3F751F7E" w14:textId="77777777" w:rsidR="00A55865" w:rsidRDefault="00BE5929">
          <w:pPr>
            <w:pStyle w:val="TOC2"/>
            <w:tabs>
              <w:tab w:val="right" w:leader="dot" w:pos="9062"/>
            </w:tabs>
            <w:rPr>
              <w:rFonts w:eastAsiaTheme="minorEastAsia"/>
              <w:noProof/>
              <w:lang w:val="de-CH" w:eastAsia="de-CH"/>
            </w:rPr>
          </w:pPr>
          <w:hyperlink w:anchor="_Toc449104538" w:history="1">
            <w:r w:rsidR="00A55865" w:rsidRPr="003B5E92">
              <w:rPr>
                <w:rStyle w:val="Hyperlink"/>
                <w:noProof/>
                <w:lang w:val="en-GB"/>
              </w:rPr>
              <w:t>Energy demands in MESSAGE</w:t>
            </w:r>
            <w:r w:rsidR="00A55865">
              <w:rPr>
                <w:noProof/>
                <w:webHidden/>
              </w:rPr>
              <w:tab/>
            </w:r>
            <w:r w:rsidR="00A55865">
              <w:rPr>
                <w:noProof/>
                <w:webHidden/>
              </w:rPr>
              <w:fldChar w:fldCharType="begin"/>
            </w:r>
            <w:r w:rsidR="00A55865">
              <w:rPr>
                <w:noProof/>
                <w:webHidden/>
              </w:rPr>
              <w:instrText xml:space="preserve"> PAGEREF _Toc449104538 \h </w:instrText>
            </w:r>
            <w:r w:rsidR="00A55865">
              <w:rPr>
                <w:noProof/>
                <w:webHidden/>
              </w:rPr>
            </w:r>
            <w:r w:rsidR="00A55865">
              <w:rPr>
                <w:noProof/>
                <w:webHidden/>
              </w:rPr>
              <w:fldChar w:fldCharType="separate"/>
            </w:r>
            <w:r w:rsidR="00A55865">
              <w:rPr>
                <w:noProof/>
                <w:webHidden/>
              </w:rPr>
              <w:t>13</w:t>
            </w:r>
            <w:r w:rsidR="00A55865">
              <w:rPr>
                <w:noProof/>
                <w:webHidden/>
              </w:rPr>
              <w:fldChar w:fldCharType="end"/>
            </w:r>
          </w:hyperlink>
        </w:p>
        <w:p w14:paraId="0B45FAFB" w14:textId="77777777" w:rsidR="00A55865" w:rsidRDefault="00BE5929">
          <w:pPr>
            <w:pStyle w:val="TOC2"/>
            <w:tabs>
              <w:tab w:val="right" w:leader="dot" w:pos="9062"/>
            </w:tabs>
            <w:rPr>
              <w:rFonts w:eastAsiaTheme="minorEastAsia"/>
              <w:noProof/>
              <w:lang w:val="de-CH" w:eastAsia="de-CH"/>
            </w:rPr>
          </w:pPr>
          <w:hyperlink w:anchor="_Toc449104539" w:history="1">
            <w:r w:rsidR="00A55865" w:rsidRPr="003B5E92">
              <w:rPr>
                <w:rStyle w:val="Hyperlink"/>
                <w:noProof/>
                <w:lang w:val="en-GB"/>
              </w:rPr>
              <w:t>Regional definitions in MESSAGE</w:t>
            </w:r>
            <w:r w:rsidR="00A55865">
              <w:rPr>
                <w:noProof/>
                <w:webHidden/>
              </w:rPr>
              <w:tab/>
            </w:r>
            <w:r w:rsidR="00A55865">
              <w:rPr>
                <w:noProof/>
                <w:webHidden/>
              </w:rPr>
              <w:fldChar w:fldCharType="begin"/>
            </w:r>
            <w:r w:rsidR="00A55865">
              <w:rPr>
                <w:noProof/>
                <w:webHidden/>
              </w:rPr>
              <w:instrText xml:space="preserve"> PAGEREF _Toc449104539 \h </w:instrText>
            </w:r>
            <w:r w:rsidR="00A55865">
              <w:rPr>
                <w:noProof/>
                <w:webHidden/>
              </w:rPr>
            </w:r>
            <w:r w:rsidR="00A55865">
              <w:rPr>
                <w:noProof/>
                <w:webHidden/>
              </w:rPr>
              <w:fldChar w:fldCharType="separate"/>
            </w:r>
            <w:r w:rsidR="00A55865">
              <w:rPr>
                <w:noProof/>
                <w:webHidden/>
              </w:rPr>
              <w:t>14</w:t>
            </w:r>
            <w:r w:rsidR="00A55865">
              <w:rPr>
                <w:noProof/>
                <w:webHidden/>
              </w:rPr>
              <w:fldChar w:fldCharType="end"/>
            </w:r>
          </w:hyperlink>
        </w:p>
        <w:p w14:paraId="16BA3505" w14:textId="77777777" w:rsidR="00A55865" w:rsidRDefault="00BE5929">
          <w:pPr>
            <w:pStyle w:val="TOC2"/>
            <w:tabs>
              <w:tab w:val="right" w:leader="dot" w:pos="9062"/>
            </w:tabs>
            <w:rPr>
              <w:rFonts w:eastAsiaTheme="minorEastAsia"/>
              <w:noProof/>
              <w:lang w:val="de-CH" w:eastAsia="de-CH"/>
            </w:rPr>
          </w:pPr>
          <w:hyperlink w:anchor="_Toc449104540" w:history="1">
            <w:r w:rsidR="00A55865" w:rsidRPr="003B5E92">
              <w:rPr>
                <w:rStyle w:val="Hyperlink"/>
                <w:noProof/>
                <w:lang w:val="en-GB"/>
              </w:rPr>
              <w:t>SPA overview</w:t>
            </w:r>
            <w:r w:rsidR="00A55865">
              <w:rPr>
                <w:noProof/>
                <w:webHidden/>
              </w:rPr>
              <w:tab/>
            </w:r>
            <w:r w:rsidR="00A55865">
              <w:rPr>
                <w:noProof/>
                <w:webHidden/>
              </w:rPr>
              <w:fldChar w:fldCharType="begin"/>
            </w:r>
            <w:r w:rsidR="00A55865">
              <w:rPr>
                <w:noProof/>
                <w:webHidden/>
              </w:rPr>
              <w:instrText xml:space="preserve"> PAGEREF _Toc449104540 \h </w:instrText>
            </w:r>
            <w:r w:rsidR="00A55865">
              <w:rPr>
                <w:noProof/>
                <w:webHidden/>
              </w:rPr>
            </w:r>
            <w:r w:rsidR="00A55865">
              <w:rPr>
                <w:noProof/>
                <w:webHidden/>
              </w:rPr>
              <w:fldChar w:fldCharType="separate"/>
            </w:r>
            <w:r w:rsidR="00A55865">
              <w:rPr>
                <w:noProof/>
                <w:webHidden/>
              </w:rPr>
              <w:t>14</w:t>
            </w:r>
            <w:r w:rsidR="00A55865">
              <w:rPr>
                <w:noProof/>
                <w:webHidden/>
              </w:rPr>
              <w:fldChar w:fldCharType="end"/>
            </w:r>
          </w:hyperlink>
        </w:p>
        <w:p w14:paraId="0090BF63" w14:textId="77777777" w:rsidR="00A55865" w:rsidRDefault="00BE5929">
          <w:pPr>
            <w:pStyle w:val="TOC1"/>
            <w:tabs>
              <w:tab w:val="right" w:leader="dot" w:pos="9062"/>
            </w:tabs>
            <w:rPr>
              <w:rFonts w:eastAsiaTheme="minorEastAsia"/>
              <w:noProof/>
              <w:lang w:val="de-CH" w:eastAsia="de-CH"/>
            </w:rPr>
          </w:pPr>
          <w:hyperlink w:anchor="_Toc449104541" w:history="1">
            <w:r w:rsidR="00A55865" w:rsidRPr="003B5E92">
              <w:rPr>
                <w:rStyle w:val="Hyperlink"/>
                <w:noProof/>
              </w:rPr>
              <w:t>Supplementary figures</w:t>
            </w:r>
            <w:r w:rsidR="00A55865">
              <w:rPr>
                <w:noProof/>
                <w:webHidden/>
              </w:rPr>
              <w:tab/>
            </w:r>
            <w:r w:rsidR="00A55865">
              <w:rPr>
                <w:noProof/>
                <w:webHidden/>
              </w:rPr>
              <w:fldChar w:fldCharType="begin"/>
            </w:r>
            <w:r w:rsidR="00A55865">
              <w:rPr>
                <w:noProof/>
                <w:webHidden/>
              </w:rPr>
              <w:instrText xml:space="preserve"> PAGEREF _Toc449104541 \h </w:instrText>
            </w:r>
            <w:r w:rsidR="00A55865">
              <w:rPr>
                <w:noProof/>
                <w:webHidden/>
              </w:rPr>
            </w:r>
            <w:r w:rsidR="00A55865">
              <w:rPr>
                <w:noProof/>
                <w:webHidden/>
              </w:rPr>
              <w:fldChar w:fldCharType="separate"/>
            </w:r>
            <w:r w:rsidR="00A55865">
              <w:rPr>
                <w:noProof/>
                <w:webHidden/>
              </w:rPr>
              <w:t>15</w:t>
            </w:r>
            <w:r w:rsidR="00A55865">
              <w:rPr>
                <w:noProof/>
                <w:webHidden/>
              </w:rPr>
              <w:fldChar w:fldCharType="end"/>
            </w:r>
          </w:hyperlink>
        </w:p>
        <w:p w14:paraId="4C0ADFC7" w14:textId="77777777" w:rsidR="00A55865" w:rsidRDefault="00BE5929">
          <w:pPr>
            <w:pStyle w:val="TOC2"/>
            <w:tabs>
              <w:tab w:val="right" w:leader="dot" w:pos="9062"/>
            </w:tabs>
            <w:rPr>
              <w:rFonts w:eastAsiaTheme="minorEastAsia"/>
              <w:noProof/>
              <w:lang w:val="de-CH" w:eastAsia="de-CH"/>
            </w:rPr>
          </w:pPr>
          <w:hyperlink w:anchor="_Toc449104542" w:history="1">
            <w:r w:rsidR="00A55865" w:rsidRPr="003B5E92">
              <w:rPr>
                <w:rStyle w:val="Hyperlink"/>
                <w:noProof/>
                <w:lang w:val="en-GB"/>
              </w:rPr>
              <w:t>Technology cost evolution</w:t>
            </w:r>
            <w:r w:rsidR="00A55865">
              <w:rPr>
                <w:noProof/>
                <w:webHidden/>
              </w:rPr>
              <w:tab/>
            </w:r>
            <w:r w:rsidR="00A55865">
              <w:rPr>
                <w:noProof/>
                <w:webHidden/>
              </w:rPr>
              <w:fldChar w:fldCharType="begin"/>
            </w:r>
            <w:r w:rsidR="00A55865">
              <w:rPr>
                <w:noProof/>
                <w:webHidden/>
              </w:rPr>
              <w:instrText xml:space="preserve"> PAGEREF _Toc449104542 \h </w:instrText>
            </w:r>
            <w:r w:rsidR="00A55865">
              <w:rPr>
                <w:noProof/>
                <w:webHidden/>
              </w:rPr>
            </w:r>
            <w:r w:rsidR="00A55865">
              <w:rPr>
                <w:noProof/>
                <w:webHidden/>
              </w:rPr>
              <w:fldChar w:fldCharType="separate"/>
            </w:r>
            <w:r w:rsidR="00A55865">
              <w:rPr>
                <w:noProof/>
                <w:webHidden/>
              </w:rPr>
              <w:t>15</w:t>
            </w:r>
            <w:r w:rsidR="00A55865">
              <w:rPr>
                <w:noProof/>
                <w:webHidden/>
              </w:rPr>
              <w:fldChar w:fldCharType="end"/>
            </w:r>
          </w:hyperlink>
        </w:p>
        <w:p w14:paraId="5837B294" w14:textId="77777777" w:rsidR="00A55865" w:rsidRDefault="00BE5929">
          <w:pPr>
            <w:pStyle w:val="TOC2"/>
            <w:tabs>
              <w:tab w:val="right" w:leader="dot" w:pos="9062"/>
            </w:tabs>
            <w:rPr>
              <w:rFonts w:eastAsiaTheme="minorEastAsia"/>
              <w:noProof/>
              <w:lang w:val="de-CH" w:eastAsia="de-CH"/>
            </w:rPr>
          </w:pPr>
          <w:hyperlink w:anchor="_Toc449104543" w:history="1">
            <w:r w:rsidR="00A55865" w:rsidRPr="003B5E92">
              <w:rPr>
                <w:rStyle w:val="Hyperlink"/>
                <w:noProof/>
              </w:rPr>
              <w:t>Dietary Composition across SSPs</w:t>
            </w:r>
            <w:r w:rsidR="00A55865">
              <w:rPr>
                <w:noProof/>
                <w:webHidden/>
              </w:rPr>
              <w:tab/>
            </w:r>
            <w:r w:rsidR="00A55865">
              <w:rPr>
                <w:noProof/>
                <w:webHidden/>
              </w:rPr>
              <w:fldChar w:fldCharType="begin"/>
            </w:r>
            <w:r w:rsidR="00A55865">
              <w:rPr>
                <w:noProof/>
                <w:webHidden/>
              </w:rPr>
              <w:instrText xml:space="preserve"> PAGEREF _Toc449104543 \h </w:instrText>
            </w:r>
            <w:r w:rsidR="00A55865">
              <w:rPr>
                <w:noProof/>
                <w:webHidden/>
              </w:rPr>
            </w:r>
            <w:r w:rsidR="00A55865">
              <w:rPr>
                <w:noProof/>
                <w:webHidden/>
              </w:rPr>
              <w:fldChar w:fldCharType="separate"/>
            </w:r>
            <w:r w:rsidR="00A55865">
              <w:rPr>
                <w:noProof/>
                <w:webHidden/>
              </w:rPr>
              <w:t>18</w:t>
            </w:r>
            <w:r w:rsidR="00A55865">
              <w:rPr>
                <w:noProof/>
                <w:webHidden/>
              </w:rPr>
              <w:fldChar w:fldCharType="end"/>
            </w:r>
          </w:hyperlink>
        </w:p>
        <w:p w14:paraId="6BCAC289" w14:textId="77777777" w:rsidR="00A55865" w:rsidRDefault="00BE5929">
          <w:pPr>
            <w:pStyle w:val="TOC2"/>
            <w:tabs>
              <w:tab w:val="right" w:leader="dot" w:pos="9062"/>
            </w:tabs>
            <w:rPr>
              <w:rFonts w:eastAsiaTheme="minorEastAsia"/>
              <w:noProof/>
              <w:lang w:val="de-CH" w:eastAsia="de-CH"/>
            </w:rPr>
          </w:pPr>
          <w:hyperlink w:anchor="_Toc449104544" w:history="1">
            <w:r w:rsidR="00A55865" w:rsidRPr="003B5E92">
              <w:rPr>
                <w:rStyle w:val="Hyperlink"/>
                <w:noProof/>
              </w:rPr>
              <w:t>Land-use resources</w:t>
            </w:r>
            <w:r w:rsidR="00A55865">
              <w:rPr>
                <w:noProof/>
                <w:webHidden/>
              </w:rPr>
              <w:tab/>
            </w:r>
            <w:r w:rsidR="00A55865">
              <w:rPr>
                <w:noProof/>
                <w:webHidden/>
              </w:rPr>
              <w:fldChar w:fldCharType="begin"/>
            </w:r>
            <w:r w:rsidR="00A55865">
              <w:rPr>
                <w:noProof/>
                <w:webHidden/>
              </w:rPr>
              <w:instrText xml:space="preserve"> PAGEREF _Toc449104544 \h </w:instrText>
            </w:r>
            <w:r w:rsidR="00A55865">
              <w:rPr>
                <w:noProof/>
                <w:webHidden/>
              </w:rPr>
            </w:r>
            <w:r w:rsidR="00A55865">
              <w:rPr>
                <w:noProof/>
                <w:webHidden/>
              </w:rPr>
              <w:fldChar w:fldCharType="separate"/>
            </w:r>
            <w:r w:rsidR="00A55865">
              <w:rPr>
                <w:noProof/>
                <w:webHidden/>
              </w:rPr>
              <w:t>19</w:t>
            </w:r>
            <w:r w:rsidR="00A55865">
              <w:rPr>
                <w:noProof/>
                <w:webHidden/>
              </w:rPr>
              <w:fldChar w:fldCharType="end"/>
            </w:r>
          </w:hyperlink>
        </w:p>
        <w:p w14:paraId="5C95FBC0" w14:textId="77777777" w:rsidR="00A55865" w:rsidRDefault="00BE5929">
          <w:pPr>
            <w:pStyle w:val="TOC2"/>
            <w:tabs>
              <w:tab w:val="right" w:leader="dot" w:pos="9062"/>
            </w:tabs>
            <w:rPr>
              <w:rFonts w:eastAsiaTheme="minorEastAsia"/>
              <w:noProof/>
              <w:lang w:val="de-CH" w:eastAsia="de-CH"/>
            </w:rPr>
          </w:pPr>
          <w:hyperlink w:anchor="_Toc449104545" w:history="1">
            <w:r w:rsidR="00A55865" w:rsidRPr="003B5E92">
              <w:rPr>
                <w:rStyle w:val="Hyperlink"/>
                <w:noProof/>
                <w:lang w:val="en-GB"/>
              </w:rPr>
              <w:t>MESSAGE-GLOBIOM integration</w:t>
            </w:r>
            <w:r w:rsidR="00A55865">
              <w:rPr>
                <w:noProof/>
                <w:webHidden/>
              </w:rPr>
              <w:tab/>
            </w:r>
            <w:r w:rsidR="00A55865">
              <w:rPr>
                <w:noProof/>
                <w:webHidden/>
              </w:rPr>
              <w:fldChar w:fldCharType="begin"/>
            </w:r>
            <w:r w:rsidR="00A55865">
              <w:rPr>
                <w:noProof/>
                <w:webHidden/>
              </w:rPr>
              <w:instrText xml:space="preserve"> PAGEREF _Toc449104545 \h </w:instrText>
            </w:r>
            <w:r w:rsidR="00A55865">
              <w:rPr>
                <w:noProof/>
                <w:webHidden/>
              </w:rPr>
            </w:r>
            <w:r w:rsidR="00A55865">
              <w:rPr>
                <w:noProof/>
                <w:webHidden/>
              </w:rPr>
              <w:fldChar w:fldCharType="separate"/>
            </w:r>
            <w:r w:rsidR="00A55865">
              <w:rPr>
                <w:noProof/>
                <w:webHidden/>
              </w:rPr>
              <w:t>20</w:t>
            </w:r>
            <w:r w:rsidR="00A55865">
              <w:rPr>
                <w:noProof/>
                <w:webHidden/>
              </w:rPr>
              <w:fldChar w:fldCharType="end"/>
            </w:r>
          </w:hyperlink>
        </w:p>
        <w:p w14:paraId="00E7E9DE" w14:textId="77777777" w:rsidR="00A55865" w:rsidRDefault="00BE5929">
          <w:pPr>
            <w:pStyle w:val="TOC2"/>
            <w:tabs>
              <w:tab w:val="right" w:leader="dot" w:pos="9062"/>
            </w:tabs>
            <w:rPr>
              <w:rFonts w:eastAsiaTheme="minorEastAsia"/>
              <w:noProof/>
              <w:lang w:val="de-CH" w:eastAsia="de-CH"/>
            </w:rPr>
          </w:pPr>
          <w:hyperlink w:anchor="_Toc449104546" w:history="1">
            <w:r w:rsidR="00A55865" w:rsidRPr="003B5E92">
              <w:rPr>
                <w:rStyle w:val="Hyperlink"/>
                <w:noProof/>
                <w:lang w:val="en-GB"/>
              </w:rPr>
              <w:t>Energy carriers evolution</w:t>
            </w:r>
            <w:r w:rsidR="00A55865">
              <w:rPr>
                <w:noProof/>
                <w:webHidden/>
              </w:rPr>
              <w:tab/>
            </w:r>
            <w:r w:rsidR="00A55865">
              <w:rPr>
                <w:noProof/>
                <w:webHidden/>
              </w:rPr>
              <w:fldChar w:fldCharType="begin"/>
            </w:r>
            <w:r w:rsidR="00A55865">
              <w:rPr>
                <w:noProof/>
                <w:webHidden/>
              </w:rPr>
              <w:instrText xml:space="preserve"> PAGEREF _Toc449104546 \h </w:instrText>
            </w:r>
            <w:r w:rsidR="00A55865">
              <w:rPr>
                <w:noProof/>
                <w:webHidden/>
              </w:rPr>
            </w:r>
            <w:r w:rsidR="00A55865">
              <w:rPr>
                <w:noProof/>
                <w:webHidden/>
              </w:rPr>
              <w:fldChar w:fldCharType="separate"/>
            </w:r>
            <w:r w:rsidR="00A55865">
              <w:rPr>
                <w:noProof/>
                <w:webHidden/>
              </w:rPr>
              <w:t>22</w:t>
            </w:r>
            <w:r w:rsidR="00A55865">
              <w:rPr>
                <w:noProof/>
                <w:webHidden/>
              </w:rPr>
              <w:fldChar w:fldCharType="end"/>
            </w:r>
          </w:hyperlink>
        </w:p>
        <w:p w14:paraId="5C039974" w14:textId="77777777" w:rsidR="00A55865" w:rsidRDefault="00BE5929">
          <w:pPr>
            <w:pStyle w:val="TOC2"/>
            <w:tabs>
              <w:tab w:val="right" w:leader="dot" w:pos="9062"/>
            </w:tabs>
            <w:rPr>
              <w:rFonts w:eastAsiaTheme="minorEastAsia"/>
              <w:noProof/>
              <w:lang w:val="de-CH" w:eastAsia="de-CH"/>
            </w:rPr>
          </w:pPr>
          <w:hyperlink w:anchor="_Toc449104547" w:history="1">
            <w:r w:rsidR="00A55865" w:rsidRPr="003B5E92">
              <w:rPr>
                <w:rStyle w:val="Hyperlink"/>
                <w:noProof/>
                <w:lang w:val="en-GB"/>
              </w:rPr>
              <w:t>Sectorial final energy evolutions</w:t>
            </w:r>
            <w:r w:rsidR="00A55865">
              <w:rPr>
                <w:noProof/>
                <w:webHidden/>
              </w:rPr>
              <w:tab/>
            </w:r>
            <w:r w:rsidR="00A55865">
              <w:rPr>
                <w:noProof/>
                <w:webHidden/>
              </w:rPr>
              <w:fldChar w:fldCharType="begin"/>
            </w:r>
            <w:r w:rsidR="00A55865">
              <w:rPr>
                <w:noProof/>
                <w:webHidden/>
              </w:rPr>
              <w:instrText xml:space="preserve"> PAGEREF _Toc449104547 \h </w:instrText>
            </w:r>
            <w:r w:rsidR="00A55865">
              <w:rPr>
                <w:noProof/>
                <w:webHidden/>
              </w:rPr>
            </w:r>
            <w:r w:rsidR="00A55865">
              <w:rPr>
                <w:noProof/>
                <w:webHidden/>
              </w:rPr>
              <w:fldChar w:fldCharType="separate"/>
            </w:r>
            <w:r w:rsidR="00A55865">
              <w:rPr>
                <w:noProof/>
                <w:webHidden/>
              </w:rPr>
              <w:t>24</w:t>
            </w:r>
            <w:r w:rsidR="00A55865">
              <w:rPr>
                <w:noProof/>
                <w:webHidden/>
              </w:rPr>
              <w:fldChar w:fldCharType="end"/>
            </w:r>
          </w:hyperlink>
        </w:p>
        <w:p w14:paraId="1122CCA3" w14:textId="77777777" w:rsidR="00A55865" w:rsidRDefault="00BE5929">
          <w:pPr>
            <w:pStyle w:val="TOC2"/>
            <w:tabs>
              <w:tab w:val="right" w:leader="dot" w:pos="9062"/>
            </w:tabs>
            <w:rPr>
              <w:rFonts w:eastAsiaTheme="minorEastAsia"/>
              <w:noProof/>
              <w:lang w:val="de-CH" w:eastAsia="de-CH"/>
            </w:rPr>
          </w:pPr>
          <w:hyperlink w:anchor="_Toc449104548" w:history="1">
            <w:r w:rsidR="00A55865" w:rsidRPr="003B5E92">
              <w:rPr>
                <w:rStyle w:val="Hyperlink"/>
                <w:noProof/>
                <w:lang w:val="en-GB"/>
              </w:rPr>
              <w:t>Primary energy evolution in SSP1 and SSP3 baselines</w:t>
            </w:r>
            <w:r w:rsidR="00A55865">
              <w:rPr>
                <w:noProof/>
                <w:webHidden/>
              </w:rPr>
              <w:tab/>
            </w:r>
            <w:r w:rsidR="00A55865">
              <w:rPr>
                <w:noProof/>
                <w:webHidden/>
              </w:rPr>
              <w:fldChar w:fldCharType="begin"/>
            </w:r>
            <w:r w:rsidR="00A55865">
              <w:rPr>
                <w:noProof/>
                <w:webHidden/>
              </w:rPr>
              <w:instrText xml:space="preserve"> PAGEREF _Toc449104548 \h </w:instrText>
            </w:r>
            <w:r w:rsidR="00A55865">
              <w:rPr>
                <w:noProof/>
                <w:webHidden/>
              </w:rPr>
            </w:r>
            <w:r w:rsidR="00A55865">
              <w:rPr>
                <w:noProof/>
                <w:webHidden/>
              </w:rPr>
              <w:fldChar w:fldCharType="separate"/>
            </w:r>
            <w:r w:rsidR="00A55865">
              <w:rPr>
                <w:noProof/>
                <w:webHidden/>
              </w:rPr>
              <w:t>27</w:t>
            </w:r>
            <w:r w:rsidR="00A55865">
              <w:rPr>
                <w:noProof/>
                <w:webHidden/>
              </w:rPr>
              <w:fldChar w:fldCharType="end"/>
            </w:r>
          </w:hyperlink>
        </w:p>
        <w:p w14:paraId="7F1151D1" w14:textId="77777777" w:rsidR="00A55865" w:rsidRDefault="00BE5929">
          <w:pPr>
            <w:pStyle w:val="TOC2"/>
            <w:tabs>
              <w:tab w:val="right" w:leader="dot" w:pos="9062"/>
            </w:tabs>
            <w:rPr>
              <w:rFonts w:eastAsiaTheme="minorEastAsia"/>
              <w:noProof/>
              <w:lang w:val="de-CH" w:eastAsia="de-CH"/>
            </w:rPr>
          </w:pPr>
          <w:hyperlink w:anchor="_Toc449104549" w:history="1">
            <w:r w:rsidR="00A55865" w:rsidRPr="003B5E92">
              <w:rPr>
                <w:rStyle w:val="Hyperlink"/>
                <w:noProof/>
                <w:lang w:val="en-GB"/>
              </w:rPr>
              <w:t>Primary energy evolution in SSP2 mitigation cases</w:t>
            </w:r>
            <w:r w:rsidR="00A55865">
              <w:rPr>
                <w:noProof/>
                <w:webHidden/>
              </w:rPr>
              <w:tab/>
            </w:r>
            <w:r w:rsidR="00A55865">
              <w:rPr>
                <w:noProof/>
                <w:webHidden/>
              </w:rPr>
              <w:fldChar w:fldCharType="begin"/>
            </w:r>
            <w:r w:rsidR="00A55865">
              <w:rPr>
                <w:noProof/>
                <w:webHidden/>
              </w:rPr>
              <w:instrText xml:space="preserve"> PAGEREF _Toc449104549 \h </w:instrText>
            </w:r>
            <w:r w:rsidR="00A55865">
              <w:rPr>
                <w:noProof/>
                <w:webHidden/>
              </w:rPr>
            </w:r>
            <w:r w:rsidR="00A55865">
              <w:rPr>
                <w:noProof/>
                <w:webHidden/>
              </w:rPr>
              <w:fldChar w:fldCharType="separate"/>
            </w:r>
            <w:r w:rsidR="00A55865">
              <w:rPr>
                <w:noProof/>
                <w:webHidden/>
              </w:rPr>
              <w:t>29</w:t>
            </w:r>
            <w:r w:rsidR="00A55865">
              <w:rPr>
                <w:noProof/>
                <w:webHidden/>
              </w:rPr>
              <w:fldChar w:fldCharType="end"/>
            </w:r>
          </w:hyperlink>
        </w:p>
        <w:p w14:paraId="567CBF80" w14:textId="77777777" w:rsidR="00A55865" w:rsidRDefault="00BE5929">
          <w:pPr>
            <w:pStyle w:val="TOC2"/>
            <w:tabs>
              <w:tab w:val="right" w:leader="dot" w:pos="9062"/>
            </w:tabs>
            <w:rPr>
              <w:rFonts w:eastAsiaTheme="minorEastAsia"/>
              <w:noProof/>
              <w:lang w:val="de-CH" w:eastAsia="de-CH"/>
            </w:rPr>
          </w:pPr>
          <w:hyperlink w:anchor="_Toc449104550" w:history="1">
            <w:r w:rsidR="00A55865" w:rsidRPr="003B5E92">
              <w:rPr>
                <w:rStyle w:val="Hyperlink"/>
                <w:rFonts w:cs="Times New Roman"/>
                <w:noProof/>
                <w:lang w:val="en-GB"/>
              </w:rPr>
              <w:t>CO</w:t>
            </w:r>
            <w:r w:rsidR="00A55865" w:rsidRPr="003B5E92">
              <w:rPr>
                <w:rStyle w:val="Hyperlink"/>
                <w:rFonts w:cs="Times New Roman"/>
                <w:noProof/>
                <w:vertAlign w:val="subscript"/>
                <w:lang w:val="en-GB"/>
              </w:rPr>
              <w:t>2</w:t>
            </w:r>
            <w:r w:rsidR="00A55865" w:rsidRPr="003B5E92">
              <w:rPr>
                <w:rStyle w:val="Hyperlink"/>
                <w:noProof/>
                <w:lang w:val="en-GB"/>
              </w:rPr>
              <w:t xml:space="preserve"> mitigation</w:t>
            </w:r>
            <w:r w:rsidR="00A55865">
              <w:rPr>
                <w:noProof/>
                <w:webHidden/>
              </w:rPr>
              <w:tab/>
            </w:r>
            <w:r w:rsidR="00A55865">
              <w:rPr>
                <w:noProof/>
                <w:webHidden/>
              </w:rPr>
              <w:fldChar w:fldCharType="begin"/>
            </w:r>
            <w:r w:rsidR="00A55865">
              <w:rPr>
                <w:noProof/>
                <w:webHidden/>
              </w:rPr>
              <w:instrText xml:space="preserve"> PAGEREF _Toc449104550 \h </w:instrText>
            </w:r>
            <w:r w:rsidR="00A55865">
              <w:rPr>
                <w:noProof/>
                <w:webHidden/>
              </w:rPr>
            </w:r>
            <w:r w:rsidR="00A55865">
              <w:rPr>
                <w:noProof/>
                <w:webHidden/>
              </w:rPr>
              <w:fldChar w:fldCharType="separate"/>
            </w:r>
            <w:r w:rsidR="00A55865">
              <w:rPr>
                <w:noProof/>
                <w:webHidden/>
              </w:rPr>
              <w:t>30</w:t>
            </w:r>
            <w:r w:rsidR="00A55865">
              <w:rPr>
                <w:noProof/>
                <w:webHidden/>
              </w:rPr>
              <w:fldChar w:fldCharType="end"/>
            </w:r>
          </w:hyperlink>
        </w:p>
        <w:p w14:paraId="0ACB8604" w14:textId="77777777" w:rsidR="00A55865" w:rsidRDefault="00BE5929">
          <w:pPr>
            <w:pStyle w:val="TOC2"/>
            <w:tabs>
              <w:tab w:val="right" w:leader="dot" w:pos="9062"/>
            </w:tabs>
            <w:rPr>
              <w:rFonts w:eastAsiaTheme="minorEastAsia"/>
              <w:noProof/>
              <w:lang w:val="de-CH" w:eastAsia="de-CH"/>
            </w:rPr>
          </w:pPr>
          <w:hyperlink w:anchor="_Toc449104551" w:history="1">
            <w:r w:rsidR="00A55865" w:rsidRPr="003B5E92">
              <w:rPr>
                <w:rStyle w:val="Hyperlink"/>
                <w:rFonts w:cs="Times New Roman"/>
                <w:noProof/>
                <w:lang w:val="en-GB"/>
              </w:rPr>
              <w:t>Carbon price SSP-RCP matrix</w:t>
            </w:r>
            <w:r w:rsidR="00A55865">
              <w:rPr>
                <w:noProof/>
                <w:webHidden/>
              </w:rPr>
              <w:tab/>
            </w:r>
            <w:r w:rsidR="00A55865">
              <w:rPr>
                <w:noProof/>
                <w:webHidden/>
              </w:rPr>
              <w:fldChar w:fldCharType="begin"/>
            </w:r>
            <w:r w:rsidR="00A55865">
              <w:rPr>
                <w:noProof/>
                <w:webHidden/>
              </w:rPr>
              <w:instrText xml:space="preserve"> PAGEREF _Toc449104551 \h </w:instrText>
            </w:r>
            <w:r w:rsidR="00A55865">
              <w:rPr>
                <w:noProof/>
                <w:webHidden/>
              </w:rPr>
            </w:r>
            <w:r w:rsidR="00A55865">
              <w:rPr>
                <w:noProof/>
                <w:webHidden/>
              </w:rPr>
              <w:fldChar w:fldCharType="separate"/>
            </w:r>
            <w:r w:rsidR="00A55865">
              <w:rPr>
                <w:noProof/>
                <w:webHidden/>
              </w:rPr>
              <w:t>34</w:t>
            </w:r>
            <w:r w:rsidR="00A55865">
              <w:rPr>
                <w:noProof/>
                <w:webHidden/>
              </w:rPr>
              <w:fldChar w:fldCharType="end"/>
            </w:r>
          </w:hyperlink>
        </w:p>
        <w:p w14:paraId="3CE10C3D" w14:textId="77777777" w:rsidR="00A55865" w:rsidRDefault="00BE5929">
          <w:pPr>
            <w:pStyle w:val="TOC1"/>
            <w:tabs>
              <w:tab w:val="right" w:leader="dot" w:pos="9062"/>
            </w:tabs>
            <w:rPr>
              <w:rFonts w:eastAsiaTheme="minorEastAsia"/>
              <w:noProof/>
              <w:lang w:val="de-CH" w:eastAsia="de-CH"/>
            </w:rPr>
          </w:pPr>
          <w:hyperlink w:anchor="_Toc449104552" w:history="1">
            <w:r w:rsidR="00A55865" w:rsidRPr="003B5E92">
              <w:rPr>
                <w:rStyle w:val="Hyperlink"/>
                <w:noProof/>
                <w:lang w:val="en-GB"/>
              </w:rPr>
              <w:t>Supplementary References</w:t>
            </w:r>
            <w:r w:rsidR="00A55865">
              <w:rPr>
                <w:noProof/>
                <w:webHidden/>
              </w:rPr>
              <w:tab/>
            </w:r>
            <w:r w:rsidR="00A55865">
              <w:rPr>
                <w:noProof/>
                <w:webHidden/>
              </w:rPr>
              <w:fldChar w:fldCharType="begin"/>
            </w:r>
            <w:r w:rsidR="00A55865">
              <w:rPr>
                <w:noProof/>
                <w:webHidden/>
              </w:rPr>
              <w:instrText xml:space="preserve"> PAGEREF _Toc449104552 \h </w:instrText>
            </w:r>
            <w:r w:rsidR="00A55865">
              <w:rPr>
                <w:noProof/>
                <w:webHidden/>
              </w:rPr>
            </w:r>
            <w:r w:rsidR="00A55865">
              <w:rPr>
                <w:noProof/>
                <w:webHidden/>
              </w:rPr>
              <w:fldChar w:fldCharType="separate"/>
            </w:r>
            <w:r w:rsidR="00A55865">
              <w:rPr>
                <w:noProof/>
                <w:webHidden/>
              </w:rPr>
              <w:t>35</w:t>
            </w:r>
            <w:r w:rsidR="00A55865">
              <w:rPr>
                <w:noProof/>
                <w:webHidden/>
              </w:rPr>
              <w:fldChar w:fldCharType="end"/>
            </w:r>
          </w:hyperlink>
        </w:p>
        <w:p w14:paraId="38EECE96" w14:textId="77777777" w:rsidR="00C07804" w:rsidRDefault="00C07804">
          <w:r>
            <w:rPr>
              <w:b/>
              <w:bCs/>
              <w:noProof/>
            </w:rPr>
            <w:fldChar w:fldCharType="end"/>
          </w:r>
        </w:p>
      </w:sdtContent>
    </w:sdt>
    <w:p w14:paraId="3C7823BD" w14:textId="77777777" w:rsidR="00B949DC" w:rsidRDefault="00C07804">
      <w:pPr>
        <w:spacing w:line="259" w:lineRule="auto"/>
      </w:pPr>
      <w:r>
        <w:br w:type="page"/>
      </w:r>
    </w:p>
    <w:p w14:paraId="058FBC8D" w14:textId="1953445D" w:rsidR="000A078F" w:rsidRDefault="000A078F" w:rsidP="00DC1BF5">
      <w:pPr>
        <w:pStyle w:val="Heading1"/>
        <w:spacing w:line="360" w:lineRule="auto"/>
      </w:pPr>
      <w:bookmarkStart w:id="1" w:name="_Toc449104520"/>
      <w:r>
        <w:lastRenderedPageBreak/>
        <w:t>Supplementary text</w:t>
      </w:r>
      <w:bookmarkEnd w:id="1"/>
    </w:p>
    <w:p w14:paraId="31D1BED0" w14:textId="4A56240E" w:rsidR="005D0EFD" w:rsidRPr="000A078F" w:rsidRDefault="005D0EFD" w:rsidP="005D0EFD">
      <w:pPr>
        <w:pStyle w:val="Heading2"/>
        <w:spacing w:line="360" w:lineRule="auto"/>
      </w:pPr>
      <w:bookmarkStart w:id="2" w:name="_Toc449104521"/>
      <w:r>
        <w:t>Supplementary text 1: literature context for SSP2</w:t>
      </w:r>
      <w:bookmarkEnd w:id="2"/>
    </w:p>
    <w:p w14:paraId="4CBBD13B" w14:textId="5CB4964D" w:rsidR="00796178" w:rsidRPr="00796178" w:rsidRDefault="00796178" w:rsidP="002F05DB">
      <w:pPr>
        <w:spacing w:line="360" w:lineRule="auto"/>
        <w:jc w:val="both"/>
      </w:pPr>
      <w:r w:rsidRPr="00796178">
        <w:t xml:space="preserve">The SSP2 follows the tradition of earlier dynamics-as-usual or middle-of-the-road scenarios, such as the SRES B2 </w:t>
      </w:r>
      <w:r w:rsidR="005D0EFD">
        <w:fldChar w:fldCharType="begin"/>
      </w:r>
      <w:r w:rsidR="005D0EFD">
        <w:instrText xml:space="preserve"> ADDIN EN.CITE &lt;EndNote&gt;&lt;Cite&gt;&lt;Author&gt;Riahi&lt;/Author&gt;&lt;Year&gt;2000&lt;/Year&gt;&lt;RecNum&gt;4412&lt;/RecNum&gt;&lt;DisplayText&gt;(Riahi and Roehrl, 2000)&lt;/DisplayText&gt;&lt;record&gt;&lt;rec-number&gt;4412&lt;/rec-number&gt;&lt;foreign-keys&gt;&lt;key app="EN" db-id="e2vzee9zparzwaexw9qxadxmr00vr5rte9p0" timestamp="1321031011"&gt;4412&lt;/key&gt;&lt;/foreign-keys&gt;&lt;ref-type name="Journal Article"&gt;17&lt;/ref-type&gt;&lt;contributors&gt;&lt;authors&gt;&lt;author&gt;Riahi, K.&lt;/author&gt;&lt;author&gt;Roehrl, R. A.&lt;/author&gt;&lt;/authors&gt;&lt;/contributors&gt;&lt;auth-address&gt;Riahi, K&amp;#xD;Int Inst Appl Syst Anal, Schlosspl 1, A-2361 Laxenburg, Austria&amp;#xD;Int Inst Appl Syst Anal, Schlosspl 1, A-2361 Laxenburg, Austria&amp;#xD;Int Inst Appl Syst Anal, A-2361 Laxenburg, Austria&lt;/auth-address&gt;&lt;titles&gt;&lt;title&gt;Greenhouse gas emissions in a dynamics-as-usual scenario of economic and energy development&lt;/title&gt;&lt;secondary-title&gt;Technological Forecasting and Social Change&lt;/secondary-title&gt;&lt;alt-title&gt;Technol Forecast Soc&lt;/alt-title&gt;&lt;/titles&gt;&lt;periodical&gt;&lt;full-title&gt;Technological Forecasting and Social Change&lt;/full-title&gt;&lt;/periodical&gt;&lt;pages&gt;175-205&lt;/pages&gt;&lt;volume&gt;63&lt;/volume&gt;&lt;number&gt;2-3&lt;/number&gt;&lt;keywords&gt;&lt;keyword&gt;carbon&lt;/keyword&gt;&lt;/keywords&gt;&lt;dates&gt;&lt;year&gt;2000&lt;/year&gt;&lt;pub-dates&gt;&lt;date&gt;Feb-Mar&lt;/date&gt;&lt;/pub-dates&gt;&lt;/dates&gt;&lt;isbn&gt;0040-1625&lt;/isbn&gt;&lt;accession-num&gt;ISI:000087432600004&lt;/accession-num&gt;&lt;urls&gt;&lt;related-urls&gt;&lt;url&gt;&amp;lt;Go to ISI&amp;gt;://000087432600004&lt;/url&gt;&lt;/related-urls&gt;&lt;/urls&gt;&lt;electronic-resource-num&gt;10.1016/s0040-1625(99)00112-2&lt;/electronic-resource-num&gt;&lt;language&gt;English&lt;/language&gt;&lt;/record&gt;&lt;/Cite&gt;&lt;/EndNote&gt;</w:instrText>
      </w:r>
      <w:r w:rsidR="005D0EFD">
        <w:fldChar w:fldCharType="separate"/>
      </w:r>
      <w:r w:rsidR="005D0EFD">
        <w:rPr>
          <w:noProof/>
        </w:rPr>
        <w:t>(Riahi and Roehrl, 2000)</w:t>
      </w:r>
      <w:r w:rsidR="005D0EFD">
        <w:fldChar w:fldCharType="end"/>
      </w:r>
      <w:r w:rsidRPr="00796178">
        <w:t xml:space="preserve"> or the IS92a scenario </w:t>
      </w:r>
      <w:r w:rsidR="005D0EFD">
        <w:fldChar w:fldCharType="begin"/>
      </w:r>
      <w:r w:rsidR="005D0EFD">
        <w:instrText xml:space="preserve"> ADDIN EN.CITE &lt;EndNote&gt;&lt;Cite&gt;&lt;Author&gt;Pepper&lt;/Author&gt;&lt;Year&gt;1992&lt;/Year&gt;&lt;RecNum&gt;5510&lt;/RecNum&gt;&lt;DisplayText&gt;(Pepper&lt;style face="italic"&gt; et al.&lt;/style&gt;, 1992)&lt;/DisplayText&gt;&lt;record&gt;&lt;rec-number&gt;5510&lt;/rec-number&gt;&lt;foreign-keys&gt;&lt;key app="EN" db-id="e2vzee9zparzwaexw9qxadxmr00vr5rte9p0" timestamp="1460037749"&gt;5510&lt;/key&gt;&lt;/foreign-keys&gt;&lt;ref-type name="Book Section"&gt;5&lt;/ref-type&gt;&lt;contributors&gt;&lt;authors&gt;&lt;author&gt;Pepper, W&lt;/author&gt;&lt;author&gt;Leggett, J&lt;/author&gt;&lt;author&gt;Swart, R&lt;/author&gt;&lt;author&gt;Wasson, J&lt;/author&gt;&lt;author&gt;Edmonds, J&lt;/author&gt;&lt;author&gt;Mintzer, I&lt;/author&gt;&lt;/authors&gt;&lt;secondary-authors&gt;&lt;author&gt;Houghton, JT&lt;/author&gt;&lt;author&gt;Callandar, BA&lt;/author&gt;&lt;author&gt;Varney, SK&lt;/author&gt;&lt;/secondary-authors&gt;&lt;/contributors&gt;&lt;titles&gt;&lt;title&gt;Emissions scenarios for the IPCC. An update: Assumptions, methodology, and results: Support Document for Chapter A3&lt;/title&gt;&lt;secondary-title&gt;Climate Change 1992: Supplementary Report to the IPCC Scientific Assessment&lt;/secondary-title&gt;&lt;/titles&gt;&lt;dates&gt;&lt;year&gt;1992&lt;/year&gt;&lt;/dates&gt;&lt;pub-location&gt;Cambridge, UK&lt;/pub-location&gt;&lt;publisher&gt;Cambridge University Press&lt;/publisher&gt;&lt;urls&gt;&lt;/urls&gt;&lt;/record&gt;&lt;/Cite&gt;&lt;/EndNote&gt;</w:instrText>
      </w:r>
      <w:r w:rsidR="005D0EFD">
        <w:fldChar w:fldCharType="separate"/>
      </w:r>
      <w:r w:rsidR="005D0EFD">
        <w:rPr>
          <w:noProof/>
        </w:rPr>
        <w:t>(Pepper</w:t>
      </w:r>
      <w:r w:rsidR="005D0EFD" w:rsidRPr="005D0EFD">
        <w:rPr>
          <w:i/>
          <w:noProof/>
        </w:rPr>
        <w:t xml:space="preserve"> et al.</w:t>
      </w:r>
      <w:r w:rsidR="005D0EFD">
        <w:rPr>
          <w:noProof/>
        </w:rPr>
        <w:t>, 1992)</w:t>
      </w:r>
      <w:r w:rsidR="005D0EFD">
        <w:fldChar w:fldCharType="end"/>
      </w:r>
      <w:r w:rsidRPr="00796178">
        <w:t>. Dynamics-as-usual (or business-as-usual) scenarios often share intermediate assumptions about basic drivers of global change, such as intermediate assumptions for demographic and population change as well as economic growth. They are generally useful for exploring the response of the system assuming central trends for the determinants of greenhouse gas emissions. For example, the SRES B2 and the IS92a scenario both resulted in GHG emissions trends close to the median of the literature. Also SSP2 features intermediate levels of GHG emissions, however, an important distinction from the earlier scenarios is that SSP2 has been designed primarily to lie in the center with respect to socio-economic challenges for mitigation and adaptation. The intermediate GHG emissions in SSP2 are thus an outcome or finding from the scenario analysis rather than an input to the scenario design. For a mapping of the SSPs to different other archetypical scenarios from the past see also van Vuuren and Carter</w:t>
      </w:r>
      <w:r w:rsidR="005D0EFD">
        <w:t xml:space="preserve"> </w:t>
      </w:r>
      <w:r w:rsidR="005D0EFD">
        <w:fldChar w:fldCharType="begin"/>
      </w:r>
      <w:r w:rsidR="005D0EFD">
        <w:instrText xml:space="preserve"> ADDIN EN.CITE &lt;EndNote&gt;&lt;Cite ExcludeAuth="1"&gt;&lt;Author&gt;Vuuren&lt;/Author&gt;&lt;Year&gt;2013&lt;/Year&gt;&lt;RecNum&gt;5509&lt;/RecNum&gt;&lt;DisplayText&gt;(2013)&lt;/DisplayText&gt;&lt;record&gt;&lt;rec-number&gt;5509&lt;/rec-number&gt;&lt;foreign-keys&gt;&lt;key app="EN" db-id="e2vzee9zparzwaexw9qxadxmr00vr5rte9p0" timestamp="1460037386"&gt;5509&lt;/key&gt;&lt;/foreign-keys&gt;&lt;ref-type name="Journal Article"&gt;17&lt;/ref-type&gt;&lt;contributors&gt;&lt;authors&gt;&lt;author&gt;Vuuren, Detlef P.&lt;/author&gt;&lt;author&gt;Carter, Timothy R.&lt;/author&gt;&lt;/authors&gt;&lt;/contributors&gt;&lt;titles&gt;&lt;title&gt;Climate and socio-economic scenarios for climate change research and assessment: reconciling the new with the old&lt;/title&gt;&lt;secondary-title&gt;Climatic Change&lt;/secondary-title&gt;&lt;/titles&gt;&lt;periodical&gt;&lt;full-title&gt;Climatic Change&lt;/full-title&gt;&lt;/periodical&gt;&lt;pages&gt;415-429&lt;/pages&gt;&lt;volume&gt;122&lt;/volume&gt;&lt;number&gt;3&lt;/number&gt;&lt;dates&gt;&lt;year&gt;2013&lt;/year&gt;&lt;/dates&gt;&lt;isbn&gt;1573-1480&lt;/isbn&gt;&lt;label&gt;Vuuren2013&lt;/label&gt;&lt;work-type&gt;journal article&lt;/work-type&gt;&lt;urls&gt;&lt;related-urls&gt;&lt;url&gt;http://dx.doi.org/10.1007/s10584-013-0974-2&lt;/url&gt;&lt;/related-urls&gt;&lt;/urls&gt;&lt;electronic-resource-num&gt;10.1007/s10584-013-0974-2&lt;/electronic-resource-num&gt;&lt;/record&gt;&lt;/Cite&gt;&lt;/EndNote&gt;</w:instrText>
      </w:r>
      <w:r w:rsidR="005D0EFD">
        <w:fldChar w:fldCharType="separate"/>
      </w:r>
      <w:r w:rsidR="005D0EFD">
        <w:rPr>
          <w:noProof/>
        </w:rPr>
        <w:t>(2013)</w:t>
      </w:r>
      <w:r w:rsidR="005D0EFD">
        <w:fldChar w:fldCharType="end"/>
      </w:r>
      <w:r w:rsidRPr="00796178">
        <w:t>.</w:t>
      </w:r>
    </w:p>
    <w:p w14:paraId="27FC06EA" w14:textId="12624660" w:rsidR="000A078F" w:rsidRPr="000A078F" w:rsidRDefault="000A078F" w:rsidP="00DC1BF5">
      <w:pPr>
        <w:pStyle w:val="Heading2"/>
        <w:spacing w:line="360" w:lineRule="auto"/>
      </w:pPr>
      <w:bookmarkStart w:id="3" w:name="_Toc449104522"/>
      <w:r>
        <w:t xml:space="preserve">Supplementary text </w:t>
      </w:r>
      <w:r w:rsidR="005D0EFD">
        <w:t>2</w:t>
      </w:r>
      <w:r w:rsidR="003240F0">
        <w:t>: future energy demand methodology</w:t>
      </w:r>
      <w:bookmarkEnd w:id="3"/>
    </w:p>
    <w:p w14:paraId="376F88D1" w14:textId="73F559F7" w:rsidR="000A078F" w:rsidRDefault="00D5724F" w:rsidP="00DC1BF5">
      <w:pPr>
        <w:spacing w:line="360" w:lineRule="auto"/>
        <w:jc w:val="both"/>
        <w:rPr>
          <w:lang w:val="en-GB"/>
        </w:rPr>
      </w:pPr>
      <w:r>
        <w:rPr>
          <w:lang w:val="en-GB"/>
        </w:rPr>
        <w:t>Baseline f</w:t>
      </w:r>
      <w:r w:rsidR="00B65182">
        <w:rPr>
          <w:lang w:val="en-GB"/>
        </w:rPr>
        <w:t xml:space="preserve">uture energy demands </w:t>
      </w:r>
      <w:r>
        <w:rPr>
          <w:lang w:val="en-GB"/>
        </w:rPr>
        <w:t xml:space="preserve">for the SSPs </w:t>
      </w:r>
      <w:r w:rsidR="00B65182">
        <w:rPr>
          <w:lang w:val="en-GB"/>
        </w:rPr>
        <w:t xml:space="preserve">are derived from the population </w:t>
      </w:r>
      <w:r w:rsidR="0020479B" w:rsidRPr="004A642A">
        <w:rPr>
          <w:lang w:val="en-GB"/>
        </w:rPr>
        <w:fldChar w:fldCharType="begin"/>
      </w:r>
      <w:r w:rsidR="0020479B">
        <w:rPr>
          <w:lang w:val="en-GB"/>
        </w:rPr>
        <w:instrText xml:space="preserve"> ADDIN EN.CITE &lt;EndNote&gt;&lt;Cite&gt;&lt;Author&gt;Kc&lt;/Author&gt;&lt;RecNum&gt;5371&lt;/RecNum&gt;&lt;DisplayText&gt;(KC and Lutz, 2015)&lt;/DisplayText&gt;&lt;record&gt;&lt;rec-number&gt;5371&lt;/rec-number&gt;&lt;foreign-keys&gt;&lt;key app="EN" db-id="e2vzee9zparzwaexw9qxadxmr00vr5rte9p0" timestamp="1447940379"&gt;5371&lt;/key&gt;&lt;/foreign-keys&gt;&lt;ref-type name="Journal Article"&gt;17&lt;/ref-type&gt;&lt;contributors&gt;&lt;authors&gt;&lt;author&gt;KC, Samir&lt;/author&gt;&lt;author&gt;Lutz, Wolfgang&lt;/author&gt;&lt;/authors&gt;&lt;/contributors&gt;&lt;titles&gt;&lt;title&gt;The human core of the shared socioeconomic pathways: Population scenarios by age, sex and level of education for all countries to 2100&lt;/title&gt;&lt;secondary-title&gt;Global Environmental Change&lt;/secondary-title&gt;&lt;/titles&gt;&lt;periodical&gt;&lt;full-title&gt;Global Environmental Change&lt;/full-title&gt;&lt;/periodical&gt;&lt;keywords&gt;&lt;keyword&gt;World population&lt;/keyword&gt;&lt;keyword&gt;Education&lt;/keyword&gt;&lt;keyword&gt;Age structure&lt;/keyword&gt;&lt;keyword&gt;Scenarios&lt;/keyword&gt;&lt;keyword&gt;Country level&lt;/keyword&gt;&lt;keyword&gt;Shared socioeconomic pathways&lt;/keyword&gt;&lt;/keywords&gt;&lt;dates&gt;&lt;year&gt;2015&lt;/year&gt;&lt;/dates&gt;&lt;isbn&gt;0959-3780&lt;/isbn&gt;&lt;urls&gt;&lt;related-urls&gt;&lt;url&gt;http://www.sciencedirect.com/science/article/pii/S0959378014001095&lt;/url&gt;&lt;/related-urls&gt;&lt;/urls&gt;&lt;electronic-resource-num&gt;http://dx.doi.org/10.1016/j.gloenvcha.2014.06.004&lt;/electronic-resource-num&gt;&lt;/record&gt;&lt;/Cite&gt;&lt;/EndNote&gt;</w:instrText>
      </w:r>
      <w:r w:rsidR="0020479B" w:rsidRPr="004A642A">
        <w:rPr>
          <w:lang w:val="en-GB"/>
        </w:rPr>
        <w:fldChar w:fldCharType="separate"/>
      </w:r>
      <w:r w:rsidR="0020479B">
        <w:rPr>
          <w:noProof/>
          <w:lang w:val="en-GB"/>
        </w:rPr>
        <w:t>(KC and Lutz, 2015)</w:t>
      </w:r>
      <w:r w:rsidR="0020479B" w:rsidRPr="004A642A">
        <w:rPr>
          <w:lang w:val="en-GB"/>
        </w:rPr>
        <w:fldChar w:fldCharType="end"/>
      </w:r>
      <w:r w:rsidR="0020479B">
        <w:rPr>
          <w:lang w:val="en-GB"/>
        </w:rPr>
        <w:t xml:space="preserve"> </w:t>
      </w:r>
      <w:r w:rsidR="00B65182">
        <w:rPr>
          <w:lang w:val="en-GB"/>
        </w:rPr>
        <w:t>and GDP projections</w:t>
      </w:r>
      <w:r w:rsidR="0020479B">
        <w:rPr>
          <w:lang w:val="en-GB"/>
        </w:rPr>
        <w:t xml:space="preserve"> </w:t>
      </w:r>
      <w:r w:rsidR="0020479B" w:rsidRPr="004A642A">
        <w:rPr>
          <w:lang w:val="en-GB"/>
        </w:rPr>
        <w:fldChar w:fldCharType="begin"/>
      </w:r>
      <w:r w:rsidR="0020479B" w:rsidRPr="004A642A">
        <w:rPr>
          <w:lang w:val="en-GB"/>
        </w:rPr>
        <w:instrText xml:space="preserve"> ADDIN EN.CITE &lt;EndNote&gt;&lt;Cite&gt;&lt;Author&gt;Dellink&lt;/Author&gt;&lt;RecNum&gt;5372&lt;/RecNum&gt;&lt;DisplayText&gt;(Dellink&lt;style face="italic"&gt; et al.&lt;/style&gt;, 2015)&lt;/DisplayText&gt;&lt;record&gt;&lt;rec-number&gt;5372&lt;/rec-number&gt;&lt;foreign-keys&gt;&lt;key app="EN" db-id="e2vzee9zparzwaexw9qxadxmr00vr5rte9p0" timestamp="1447940513"&gt;5372&lt;/key&gt;&lt;/foreign-keys&gt;&lt;ref-type name="Journal Article"&gt;17&lt;/ref-type&gt;&lt;contributors&gt;&lt;authors&gt;&lt;author&gt;Dellink, Rob&lt;/author&gt;&lt;author&gt;Chateau, Jean&lt;/author&gt;&lt;author&gt;Lanzi, Elisa&lt;/author&gt;&lt;author&gt;Magné, Bertrand&lt;/author&gt;&lt;/authors&gt;&lt;/contributors&gt;&lt;titles&gt;&lt;title&gt;Long-term economic growth projections in the Shared Socioeconomic Pathways&lt;/title&gt;&lt;secondary-title&gt;Global Environmental Change&lt;/secondary-title&gt;&lt;/titles&gt;&lt;periodical&gt;&lt;full-title&gt;Global Environmental Change&lt;/full-title&gt;&lt;/periodical&gt;&lt;keywords&gt;&lt;keyword&gt;Baselines&lt;/keyword&gt;&lt;keyword&gt;Economic growth&lt;/keyword&gt;&lt;keyword&gt;Convergence&lt;/keyword&gt;&lt;keyword&gt;Climate change&lt;/keyword&gt;&lt;/keywords&gt;&lt;dates&gt;&lt;year&gt;2015&lt;/year&gt;&lt;/dates&gt;&lt;isbn&gt;0959-3780&lt;/isbn&gt;&lt;urls&gt;&lt;related-urls&gt;&lt;url&gt;http://www.sciencedirect.com/science/article/pii/S0959378015000837&lt;/url&gt;&lt;/related-urls&gt;&lt;/urls&gt;&lt;electronic-resource-num&gt;http://dx.doi.org/10.1016/j.gloenvcha.2015.06.004&lt;/electronic-resource-num&gt;&lt;/record&gt;&lt;/Cite&gt;&lt;/EndNote&gt;</w:instrText>
      </w:r>
      <w:r w:rsidR="0020479B" w:rsidRPr="004A642A">
        <w:rPr>
          <w:lang w:val="en-GB"/>
        </w:rPr>
        <w:fldChar w:fldCharType="separate"/>
      </w:r>
      <w:r w:rsidR="0020479B" w:rsidRPr="004A642A">
        <w:rPr>
          <w:noProof/>
          <w:lang w:val="en-GB"/>
        </w:rPr>
        <w:t>(Dellink</w:t>
      </w:r>
      <w:r w:rsidR="0020479B" w:rsidRPr="004A642A">
        <w:rPr>
          <w:i/>
          <w:noProof/>
          <w:lang w:val="en-GB"/>
        </w:rPr>
        <w:t xml:space="preserve"> et al.</w:t>
      </w:r>
      <w:r w:rsidR="0020479B" w:rsidRPr="004A642A">
        <w:rPr>
          <w:noProof/>
          <w:lang w:val="en-GB"/>
        </w:rPr>
        <w:t>, 2015)</w:t>
      </w:r>
      <w:r w:rsidR="0020479B" w:rsidRPr="004A642A">
        <w:rPr>
          <w:lang w:val="en-GB"/>
        </w:rPr>
        <w:fldChar w:fldCharType="end"/>
      </w:r>
      <w:r w:rsidR="00B65182">
        <w:rPr>
          <w:lang w:val="en-GB"/>
        </w:rPr>
        <w:t xml:space="preserve"> as well as historical data regarding population </w:t>
      </w:r>
      <w:r w:rsidR="00B65182">
        <w:rPr>
          <w:lang w:val="en-GB"/>
        </w:rPr>
        <w:fldChar w:fldCharType="begin"/>
      </w:r>
      <w:r w:rsidR="00B65182">
        <w:rPr>
          <w:lang w:val="en-GB"/>
        </w:rPr>
        <w:instrText xml:space="preserve"> ADDIN EN.CITE &lt;EndNote&gt;&lt;Cite&gt;&lt;Author&gt;UN&lt;/Author&gt;&lt;Year&gt;2010&lt;/Year&gt;&lt;RecNum&gt;4641&lt;/RecNum&gt;&lt;DisplayText&gt;(UN, 2010)&lt;/DisplayText&gt;&lt;record&gt;&lt;rec-number&gt;4641&lt;/rec-number&gt;&lt;foreign-keys&gt;&lt;key app="EN" db-id="e2vzee9zparzwaexw9qxadxmr00vr5rte9p0" timestamp="1349717321"&gt;4641&lt;/key&gt;&lt;/foreign-keys&gt;&lt;ref-type name="Web Page"&gt;12&lt;/ref-type&gt;&lt;contributors&gt;&lt;authors&gt;&lt;author&gt;UN&lt;/author&gt;&lt;/authors&gt;&lt;/contributors&gt;&lt;titles&gt;&lt;title&gt;World Population Prospects: The 2010 Revision&lt;/title&gt;&lt;/titles&gt;&lt;dates&gt;&lt;year&gt;2010&lt;/year&gt;&lt;/dates&gt;&lt;pub-location&gt;New York&lt;/pub-location&gt;&lt;publisher&gt;United Nations, Department of Economic and Social Affairs, Population Division&lt;/publisher&gt;&lt;urls&gt;&lt;related-urls&gt;&lt;url&gt;http://esa.un.org/unpd/wpp/&lt;/url&gt;&lt;/related-urls&gt;&lt;/urls&gt;&lt;/record&gt;&lt;/Cite&gt;&lt;/EndNote&gt;</w:instrText>
      </w:r>
      <w:r w:rsidR="00B65182">
        <w:rPr>
          <w:lang w:val="en-GB"/>
        </w:rPr>
        <w:fldChar w:fldCharType="separate"/>
      </w:r>
      <w:r w:rsidR="00B65182">
        <w:rPr>
          <w:noProof/>
          <w:lang w:val="en-GB"/>
        </w:rPr>
        <w:t>(UN, 2010)</w:t>
      </w:r>
      <w:r w:rsidR="00B65182">
        <w:rPr>
          <w:lang w:val="en-GB"/>
        </w:rPr>
        <w:fldChar w:fldCharType="end"/>
      </w:r>
      <w:r w:rsidR="00B65182">
        <w:rPr>
          <w:lang w:val="en-GB"/>
        </w:rPr>
        <w:t xml:space="preserve">, GDP in purchasing power parity </w:t>
      </w:r>
      <w:r w:rsidR="00B65182">
        <w:rPr>
          <w:lang w:val="en-GB"/>
        </w:rPr>
        <w:fldChar w:fldCharType="begin"/>
      </w:r>
      <w:r w:rsidR="00B65182">
        <w:rPr>
          <w:lang w:val="en-GB"/>
        </w:rPr>
        <w:instrText xml:space="preserve"> ADDIN EN.CITE &lt;EndNote&gt;&lt;Cite&gt;&lt;Author&gt;World Bank&lt;/Author&gt;&lt;Year&gt;2012&lt;/Year&gt;&lt;RecNum&gt;5435&lt;/RecNum&gt;&lt;DisplayText&gt;(World Bank, 2012)&lt;/DisplayText&gt;&lt;record&gt;&lt;rec-number&gt;5435&lt;/rec-number&gt;&lt;foreign-keys&gt;&lt;key app="EN" db-id="e2vzee9zparzwaexw9qxadxmr00vr5rte9p0" timestamp="1449322196"&gt;5435&lt;/key&gt;&lt;/foreign-keys&gt;&lt;ref-type name="Web Page"&gt;12&lt;/ref-type&gt;&lt;contributors&gt;&lt;authors&gt;&lt;author&gt;World Bank,&lt;/author&gt;&lt;/authors&gt;&lt;/contributors&gt;&lt;titles&gt;&lt;title&gt;World Development Indicators&lt;/title&gt;&lt;/titles&gt;&lt;dates&gt;&lt;year&gt;2012&lt;/year&gt;&lt;/dates&gt;&lt;urls&gt;&lt;related-urls&gt;&lt;url&gt;http://data.worldbank.org/data-catalog/world-development-indicators&lt;/url&gt;&lt;/related-urls&gt;&lt;/urls&gt;&lt;/record&gt;&lt;/Cite&gt;&lt;/EndNote&gt;</w:instrText>
      </w:r>
      <w:r w:rsidR="00B65182">
        <w:rPr>
          <w:lang w:val="en-GB"/>
        </w:rPr>
        <w:fldChar w:fldCharType="separate"/>
      </w:r>
      <w:r w:rsidR="00B65182">
        <w:rPr>
          <w:noProof/>
          <w:lang w:val="en-GB"/>
        </w:rPr>
        <w:t>(World Bank, 2012)</w:t>
      </w:r>
      <w:r w:rsidR="00B65182">
        <w:rPr>
          <w:lang w:val="en-GB"/>
        </w:rPr>
        <w:fldChar w:fldCharType="end"/>
      </w:r>
      <w:r w:rsidR="00B65182">
        <w:rPr>
          <w:lang w:val="en-GB"/>
        </w:rPr>
        <w:t>, and final energy</w:t>
      </w:r>
      <w:r w:rsidR="00000317">
        <w:rPr>
          <w:lang w:val="en-GB"/>
        </w:rPr>
        <w:t xml:space="preserve"> </w:t>
      </w:r>
      <w:r w:rsidR="00000317">
        <w:rPr>
          <w:lang w:val="en-GB"/>
        </w:rPr>
        <w:fldChar w:fldCharType="begin"/>
      </w:r>
      <w:r w:rsidR="00000317">
        <w:rPr>
          <w:lang w:val="en-GB"/>
        </w:rPr>
        <w:instrText xml:space="preserve"> ADDIN EN.CITE &lt;EndNote&gt;&lt;Cite&gt;&lt;Author&gt;IEA&lt;/Author&gt;&lt;Year&gt;2012&lt;/Year&gt;&lt;RecNum&gt;5439&lt;/RecNum&gt;&lt;DisplayText&gt;(IEA, 2012)&lt;/DisplayText&gt;&lt;record&gt;&lt;rec-number&gt;5439&lt;/rec-number&gt;&lt;foreign-keys&gt;&lt;key app="EN" db-id="e2vzee9zparzwaexw9qxadxmr00vr5rte9p0" timestamp="1450116410"&gt;5439&lt;/key&gt;&lt;/foreign-keys&gt;&lt;ref-type name="Dataset"&gt;59&lt;/ref-type&gt;&lt;contributors&gt;&lt;authors&gt;&lt;author&gt;IEA&lt;/author&gt;&lt;/authors&gt;&lt;secondary-authors&gt;&lt;author&gt;International Energy Agency&lt;/author&gt;&lt;/secondary-authors&gt;&lt;/contributors&gt;&lt;titles&gt;&lt;title&gt;World energy balances&lt;/title&gt;&lt;secondary-title&gt;IEA World Energy Statistics and Balances (database)&lt;/secondary-title&gt;&lt;/titles&gt;&lt;dates&gt;&lt;year&gt;2012&lt;/year&gt;&lt;/dates&gt;&lt;pub-location&gt;Paris, France&lt;/pub-location&gt;&lt;urls&gt;&lt;/urls&gt;&lt;electronic-resource-num&gt;10.1787/data-00512-en&lt;/electronic-resource-num&gt;&lt;access-date&gt;29 November 2012&lt;/access-date&gt;&lt;/record&gt;&lt;/Cite&gt;&lt;/EndNote&gt;</w:instrText>
      </w:r>
      <w:r w:rsidR="00000317">
        <w:rPr>
          <w:lang w:val="en-GB"/>
        </w:rPr>
        <w:fldChar w:fldCharType="separate"/>
      </w:r>
      <w:r w:rsidR="00000317">
        <w:rPr>
          <w:noProof/>
          <w:lang w:val="en-GB"/>
        </w:rPr>
        <w:t>(IEA, 2012)</w:t>
      </w:r>
      <w:r w:rsidR="00000317">
        <w:rPr>
          <w:lang w:val="en-GB"/>
        </w:rPr>
        <w:fldChar w:fldCharType="end"/>
      </w:r>
      <w:r w:rsidR="00B65182">
        <w:rPr>
          <w:lang w:val="en-GB"/>
        </w:rPr>
        <w:t>. They take into account</w:t>
      </w:r>
      <w:r w:rsidR="000A078F" w:rsidRPr="00481586">
        <w:rPr>
          <w:lang w:val="en-GB"/>
        </w:rPr>
        <w:t xml:space="preserve"> historical developments of final energy intensity, sector</w:t>
      </w:r>
      <w:r w:rsidR="000A078F">
        <w:rPr>
          <w:lang w:val="en-GB"/>
        </w:rPr>
        <w:t>i</w:t>
      </w:r>
      <w:r w:rsidR="000A078F" w:rsidRPr="00481586">
        <w:rPr>
          <w:lang w:val="en-GB"/>
        </w:rPr>
        <w:t>al final energy shares for the industrial, buildings and transport sectors as well as non-energy use (mostly as feedstock in petrochemical industry) and electrification rates in industry and buildings for the period 1971 to 2010. We perform quantile regressions on c</w:t>
      </w:r>
      <w:r w:rsidR="000A078F">
        <w:rPr>
          <w:lang w:val="en-GB"/>
        </w:rPr>
        <w:t>ombined cross-sectional and time series data at the country level for final energy intensity, sectorial shares and electrification rates against GDP (PPP)</w:t>
      </w:r>
      <w:r w:rsidR="000A078F" w:rsidRPr="004A642A">
        <w:rPr>
          <w:lang w:val="en-GB"/>
        </w:rPr>
        <w:t xml:space="preserve"> </w:t>
      </w:r>
      <w:r w:rsidR="000A078F">
        <w:rPr>
          <w:lang w:val="en-GB"/>
        </w:rPr>
        <w:t>per capita. For final energy intensity we utilize a linear functional form in log-log space, for the sectorial shares we follow development patterns as identified by</w:t>
      </w:r>
      <w:r w:rsidR="00DA47E8">
        <w:rPr>
          <w:lang w:val="en-GB"/>
        </w:rPr>
        <w:t xml:space="preserve"> Schaefer </w:t>
      </w:r>
      <w:r w:rsidR="00DA47E8">
        <w:rPr>
          <w:lang w:val="en-GB"/>
        </w:rPr>
        <w:fldChar w:fldCharType="begin"/>
      </w:r>
      <w:r w:rsidR="00DA47E8">
        <w:rPr>
          <w:lang w:val="en-GB"/>
        </w:rPr>
        <w:instrText xml:space="preserve"> ADDIN EN.CITE &lt;EndNote&gt;&lt;Cite&gt;&lt;Author&gt;Schäfer&lt;/Author&gt;&lt;Year&gt;2005&lt;/Year&gt;&lt;RecNum&gt;5436&lt;/RecNum&gt;&lt;DisplayText&gt;(Schäfer, 2005)&lt;/DisplayText&gt;&lt;record&gt;&lt;rec-number&gt;5436&lt;/rec-number&gt;&lt;foreign-keys&gt;&lt;key app="EN" db-id="e2vzee9zparzwaexw9qxadxmr00vr5rte9p0" timestamp="1449328782"&gt;5436&lt;/key&gt;&lt;/foreign-keys&gt;&lt;ref-type name="Journal Article"&gt;17&lt;/ref-type&gt;&lt;contributors&gt;&lt;authors&gt;&lt;author&gt;Schäfer, Andreas&lt;/author&gt;&lt;/authors&gt;&lt;/contributors&gt;&lt;titles&gt;&lt;title&gt;Structural change in energy use&lt;/title&gt;&lt;secondary-title&gt;Energy Policy&lt;/secondary-title&gt;&lt;/titles&gt;&lt;periodical&gt;&lt;full-title&gt;Energy Policy&lt;/full-title&gt;&lt;abbr-1&gt;Energy Policy&lt;/abbr-1&gt;&lt;/periodical&gt;&lt;pages&gt;429-437&lt;/pages&gt;&lt;volume&gt;33&lt;/volume&gt;&lt;number&gt;4&lt;/number&gt;&lt;keywords&gt;&lt;keyword&gt;Structural change&lt;/keyword&gt;&lt;keyword&gt;Decomposition&lt;/keyword&gt;&lt;keyword&gt;Long-term trends&lt;/keyword&gt;&lt;/keywords&gt;&lt;dates&gt;&lt;year&gt;2005&lt;/year&gt;&lt;pub-dates&gt;&lt;date&gt;3//&lt;/date&gt;&lt;/pub-dates&gt;&lt;/dates&gt;&lt;isbn&gt;0301-4215&lt;/isbn&gt;&lt;urls&gt;&lt;related-urls&gt;&lt;url&gt;http://www.sciencedirect.com/science/article/pii/S0301421503002799&lt;/url&gt;&lt;/related-urls&gt;&lt;/urls&gt;&lt;electronic-resource-num&gt;http://dx.doi.org/10.1016/j.enpol.2003.09.002&lt;/electronic-resource-num&gt;&lt;/record&gt;&lt;/Cite&gt;&lt;/EndNote&gt;</w:instrText>
      </w:r>
      <w:r w:rsidR="00DA47E8">
        <w:rPr>
          <w:lang w:val="en-GB"/>
        </w:rPr>
        <w:fldChar w:fldCharType="separate"/>
      </w:r>
      <w:r w:rsidR="00DA47E8">
        <w:rPr>
          <w:noProof/>
          <w:lang w:val="en-GB"/>
        </w:rPr>
        <w:t>(Schäfer, 2005)</w:t>
      </w:r>
      <w:r w:rsidR="00DA47E8">
        <w:rPr>
          <w:lang w:val="en-GB"/>
        </w:rPr>
        <w:fldChar w:fldCharType="end"/>
      </w:r>
      <w:r w:rsidR="000A078F">
        <w:rPr>
          <w:lang w:val="en-GB"/>
        </w:rPr>
        <w:t xml:space="preserve"> (e.g., a humpback shape for industry, growing share of transportation), and for electrification rates a logistic (S-shaped) functional form.</w:t>
      </w:r>
      <w:r w:rsidR="006B0FAF">
        <w:rPr>
          <w:lang w:val="en-GB"/>
        </w:rPr>
        <w:t xml:space="preserve"> </w:t>
      </w:r>
      <w:r w:rsidR="00330359" w:rsidRPr="002F05DB">
        <w:rPr>
          <w:lang w:val="en-GB"/>
        </w:rPr>
        <w:t>Across the SSPs, we then assume that regions converge to a certain quantile at a particular income p</w:t>
      </w:r>
      <w:r w:rsidR="00330359">
        <w:rPr>
          <w:lang w:val="en-GB"/>
        </w:rPr>
        <w:t xml:space="preserve">er capita level in the future. </w:t>
      </w:r>
      <w:r w:rsidR="00330359" w:rsidRPr="002F05DB">
        <w:rPr>
          <w:lang w:val="en-GB"/>
        </w:rPr>
        <w:t>For example, while final energy intensity converges quickly to the lowest quantile (0.001) in SSP1, it converges more slowly to a larger quantile (0.5 to 0.7 depending on the region) in SSP3.</w:t>
      </w:r>
      <w:r w:rsidR="00330359" w:rsidRPr="00330359">
        <w:rPr>
          <w:lang w:val="en-GB"/>
        </w:rPr>
        <w:t xml:space="preserve"> Convergence quantiles and incomes are provided for each SSP and region in Table S</w:t>
      </w:r>
      <w:r w:rsidR="00326828">
        <w:rPr>
          <w:lang w:val="en-GB"/>
        </w:rPr>
        <w:t>1</w:t>
      </w:r>
      <w:r w:rsidR="00330359" w:rsidRPr="00330359">
        <w:rPr>
          <w:lang w:val="en-GB"/>
        </w:rPr>
        <w:t>.</w:t>
      </w:r>
    </w:p>
    <w:p w14:paraId="3B514C94" w14:textId="440E01F2" w:rsidR="00B85FE9" w:rsidRDefault="00B85FE9" w:rsidP="00DC1BF5">
      <w:pPr>
        <w:pStyle w:val="Heading2"/>
        <w:spacing w:line="360" w:lineRule="auto"/>
        <w:rPr>
          <w:lang w:val="en-GB"/>
        </w:rPr>
      </w:pPr>
      <w:bookmarkStart w:id="4" w:name="_Toc449104523"/>
      <w:r>
        <w:lastRenderedPageBreak/>
        <w:t xml:space="preserve">Supplementary text </w:t>
      </w:r>
      <w:r w:rsidR="005D0EFD">
        <w:t>3</w:t>
      </w:r>
      <w:r>
        <w:t>: regional fossil fuel resources</w:t>
      </w:r>
      <w:bookmarkEnd w:id="4"/>
    </w:p>
    <w:p w14:paraId="2DFF6EFB" w14:textId="4BA6F4D8" w:rsidR="00B85FE9" w:rsidRDefault="00B85FE9" w:rsidP="00DC1BF5">
      <w:pPr>
        <w:spacing w:line="360" w:lineRule="auto"/>
        <w:jc w:val="both"/>
        <w:rPr>
          <w:lang w:val="en-GB"/>
        </w:rPr>
      </w:pPr>
      <w:r>
        <w:rPr>
          <w:lang w:val="en-GB"/>
        </w:rPr>
        <w:t>At the regional level, particularly c</w:t>
      </w:r>
      <w:r w:rsidRPr="001928C9">
        <w:rPr>
          <w:lang w:val="en-GB"/>
        </w:rPr>
        <w:t>onventional oil and gas are unevenly distributed</w:t>
      </w:r>
      <w:r>
        <w:rPr>
          <w:lang w:val="en-GB"/>
        </w:rPr>
        <w:t>. A</w:t>
      </w:r>
      <w:r w:rsidRPr="001928C9">
        <w:rPr>
          <w:lang w:val="en-GB"/>
        </w:rPr>
        <w:t xml:space="preserve"> </w:t>
      </w:r>
      <w:r>
        <w:rPr>
          <w:lang w:val="en-GB"/>
        </w:rPr>
        <w:t>small number of</w:t>
      </w:r>
      <w:r w:rsidRPr="001928C9">
        <w:rPr>
          <w:lang w:val="en-GB"/>
        </w:rPr>
        <w:t xml:space="preserve"> regions dominat</w:t>
      </w:r>
      <w:r>
        <w:rPr>
          <w:lang w:val="en-GB"/>
        </w:rPr>
        <w:t>es</w:t>
      </w:r>
      <w:r w:rsidRPr="001928C9">
        <w:rPr>
          <w:lang w:val="en-GB"/>
        </w:rPr>
        <w:t xml:space="preserve"> </w:t>
      </w:r>
      <w:r>
        <w:rPr>
          <w:lang w:val="en-GB"/>
        </w:rPr>
        <w:t xml:space="preserve">large shares of </w:t>
      </w:r>
      <w:r w:rsidRPr="001928C9">
        <w:rPr>
          <w:lang w:val="en-GB"/>
        </w:rPr>
        <w:t xml:space="preserve">the reserves. </w:t>
      </w:r>
      <w:r>
        <w:rPr>
          <w:lang w:val="en-GB"/>
        </w:rPr>
        <w:t>Some 50%</w:t>
      </w:r>
      <w:r w:rsidRPr="001928C9">
        <w:rPr>
          <w:lang w:val="en-GB"/>
        </w:rPr>
        <w:t xml:space="preserve"> of the reserves of conventional oil is found in </w:t>
      </w:r>
      <w:r>
        <w:rPr>
          <w:lang w:val="en-GB"/>
        </w:rPr>
        <w:t xml:space="preserve">the </w:t>
      </w:r>
      <w:r w:rsidRPr="001928C9">
        <w:rPr>
          <w:lang w:val="en-GB"/>
        </w:rPr>
        <w:t xml:space="preserve">Middle East and North Africa, </w:t>
      </w:r>
      <w:r>
        <w:rPr>
          <w:lang w:val="en-GB"/>
        </w:rPr>
        <w:t>while almost 40% of conventional gas is</w:t>
      </w:r>
      <w:r w:rsidRPr="001928C9">
        <w:rPr>
          <w:lang w:val="en-GB"/>
        </w:rPr>
        <w:t xml:space="preserve"> found in </w:t>
      </w:r>
      <w:r>
        <w:rPr>
          <w:lang w:val="en-GB"/>
        </w:rPr>
        <w:t xml:space="preserve">Russia and other former </w:t>
      </w:r>
      <w:r w:rsidRPr="001928C9">
        <w:rPr>
          <w:lang w:val="en-GB"/>
        </w:rPr>
        <w:t>Soviet Union</w:t>
      </w:r>
      <w:r>
        <w:rPr>
          <w:lang w:val="en-GB"/>
        </w:rPr>
        <w:t xml:space="preserve"> states</w:t>
      </w:r>
      <w:r w:rsidRPr="001928C9">
        <w:rPr>
          <w:lang w:val="en-GB"/>
        </w:rPr>
        <w:t xml:space="preserve">. </w:t>
      </w:r>
      <w:r>
        <w:rPr>
          <w:lang w:val="en-GB"/>
        </w:rPr>
        <w:t>The situation is somewhat different</w:t>
      </w:r>
      <w:r w:rsidRPr="001928C9">
        <w:rPr>
          <w:lang w:val="en-GB"/>
        </w:rPr>
        <w:t xml:space="preserve"> </w:t>
      </w:r>
      <w:r>
        <w:rPr>
          <w:lang w:val="en-GB"/>
        </w:rPr>
        <w:t>for</w:t>
      </w:r>
      <w:r w:rsidRPr="001928C9">
        <w:rPr>
          <w:lang w:val="en-GB"/>
        </w:rPr>
        <w:t xml:space="preserve"> unconventional oil </w:t>
      </w:r>
      <w:r>
        <w:rPr>
          <w:lang w:val="en-GB"/>
        </w:rPr>
        <w:t xml:space="preserve">of which North </w:t>
      </w:r>
      <w:r w:rsidRPr="001928C9">
        <w:rPr>
          <w:lang w:val="en-GB"/>
        </w:rPr>
        <w:t xml:space="preserve">and Latin America </w:t>
      </w:r>
      <w:r>
        <w:rPr>
          <w:lang w:val="en-GB"/>
        </w:rPr>
        <w:t>potentially possess significantly higher global shares.</w:t>
      </w:r>
      <w:r w:rsidRPr="001928C9">
        <w:rPr>
          <w:lang w:val="en-GB"/>
        </w:rPr>
        <w:t xml:space="preserve"> </w:t>
      </w:r>
      <w:r>
        <w:rPr>
          <w:lang w:val="en-GB"/>
        </w:rPr>
        <w:t>U</w:t>
      </w:r>
      <w:r w:rsidRPr="001928C9">
        <w:rPr>
          <w:lang w:val="en-GB"/>
        </w:rPr>
        <w:t xml:space="preserve">nconventional gas </w:t>
      </w:r>
      <w:r>
        <w:rPr>
          <w:lang w:val="en-GB"/>
        </w:rPr>
        <w:t xml:space="preserve">in turn </w:t>
      </w:r>
      <w:r w:rsidRPr="001928C9">
        <w:rPr>
          <w:lang w:val="en-GB"/>
        </w:rPr>
        <w:t>is distributed quite well throughout the world, with North America holding most</w:t>
      </w:r>
      <w:r>
        <w:rPr>
          <w:lang w:val="en-GB"/>
        </w:rPr>
        <w:t xml:space="preserve"> (roughly 25% of global </w:t>
      </w:r>
      <w:r w:rsidRPr="001928C9">
        <w:rPr>
          <w:lang w:val="en-GB"/>
        </w:rPr>
        <w:t>res</w:t>
      </w:r>
      <w:r>
        <w:rPr>
          <w:lang w:val="en-GB"/>
        </w:rPr>
        <w:t>ources)</w:t>
      </w:r>
      <w:r w:rsidRPr="001928C9">
        <w:rPr>
          <w:lang w:val="en-GB"/>
        </w:rPr>
        <w:t>.</w:t>
      </w:r>
      <w:r>
        <w:rPr>
          <w:lang w:val="en-GB"/>
        </w:rPr>
        <w:t xml:space="preserve"> The distribution of c</w:t>
      </w:r>
      <w:r w:rsidRPr="001928C9">
        <w:rPr>
          <w:lang w:val="en-GB"/>
        </w:rPr>
        <w:t>oal</w:t>
      </w:r>
      <w:r>
        <w:rPr>
          <w:lang w:val="en-GB"/>
        </w:rPr>
        <w:t xml:space="preserve"> reserves shows the highest</w:t>
      </w:r>
      <w:r w:rsidRPr="001928C9">
        <w:rPr>
          <w:lang w:val="en-GB"/>
        </w:rPr>
        <w:t xml:space="preserve"> geographical diversity</w:t>
      </w:r>
      <w:r>
        <w:rPr>
          <w:lang w:val="en-GB"/>
        </w:rPr>
        <w:t xml:space="preserve"> which in the more fragmented SSP3 world contributes to increased overall reliance on this resource</w:t>
      </w:r>
      <w:r w:rsidRPr="001928C9">
        <w:rPr>
          <w:lang w:val="en-GB"/>
        </w:rPr>
        <w:t>.</w:t>
      </w:r>
    </w:p>
    <w:p w14:paraId="6EB1BDD2" w14:textId="7AB6F8A2" w:rsidR="007C5AF5" w:rsidRDefault="007C5AF5" w:rsidP="007C5AF5">
      <w:pPr>
        <w:pStyle w:val="Heading2"/>
        <w:spacing w:line="360" w:lineRule="auto"/>
        <w:rPr>
          <w:lang w:val="en-GB"/>
        </w:rPr>
      </w:pPr>
      <w:bookmarkStart w:id="5" w:name="_Toc449104524"/>
      <w:r>
        <w:t xml:space="preserve">Supplementary text 4: </w:t>
      </w:r>
      <w:r w:rsidR="00912CD3">
        <w:t>nuclear power assumptions in SSP1 and SSP3</w:t>
      </w:r>
      <w:bookmarkEnd w:id="5"/>
    </w:p>
    <w:p w14:paraId="4E77353C" w14:textId="0E3BF611" w:rsidR="005E799F" w:rsidRDefault="005E799F" w:rsidP="005E799F">
      <w:pPr>
        <w:spacing w:line="360" w:lineRule="auto"/>
        <w:jc w:val="both"/>
        <w:rPr>
          <w:lang w:val="en-GB"/>
        </w:rPr>
      </w:pPr>
      <w:r>
        <w:t>C</w:t>
      </w:r>
      <w:r w:rsidRPr="0093352D">
        <w:t xml:space="preserve">osts are assumed to decrease by 15% over the </w:t>
      </w:r>
      <w:r>
        <w:t>2010 to 2100</w:t>
      </w:r>
      <w:r w:rsidRPr="0093352D">
        <w:t xml:space="preserve"> time frame in SSP1</w:t>
      </w:r>
      <w:r>
        <w:t xml:space="preserve"> (compared to 30% in SSP2)</w:t>
      </w:r>
      <w:r w:rsidRPr="0093352D">
        <w:t>, lower than other non-CCS conversion technologies. SSP3</w:t>
      </w:r>
      <w:r>
        <w:t>, on the other hand,</w:t>
      </w:r>
      <w:r w:rsidRPr="0093352D">
        <w:t xml:space="preserve"> </w:t>
      </w:r>
      <w:r>
        <w:t>emphasizes</w:t>
      </w:r>
      <w:r w:rsidRPr="0093352D">
        <w:t xml:space="preserve"> the development of conventional</w:t>
      </w:r>
      <w:r>
        <w:t>, especially coal-based,</w:t>
      </w:r>
      <w:r w:rsidRPr="0093352D">
        <w:t xml:space="preserve"> fossil fuel conversion technologies. This means </w:t>
      </w:r>
      <w:r>
        <w:t xml:space="preserve">we assume that it is unlikely for </w:t>
      </w:r>
      <w:r w:rsidRPr="0093352D">
        <w:t xml:space="preserve">countries who are leading nuclear developments today, yet have access to large fossil resources, to further pursue the development and deployment of nuclear technologies. </w:t>
      </w:r>
      <w:r>
        <w:t xml:space="preserve">Since most developing countries would need to import nuclear technologies in order to introduce </w:t>
      </w:r>
      <w:r>
        <w:fldChar w:fldCharType="begin"/>
      </w:r>
      <w:r>
        <w:instrText xml:space="preserve"> ADDIN EN.CITE &lt;EndNote&gt;&lt;Cite&gt;&lt;Author&gt;Jewell&lt;/Author&gt;&lt;Year&gt;2011&lt;/Year&gt;&lt;RecNum&gt;5515&lt;/RecNum&gt;&lt;DisplayText&gt;(Jewell, 2011)&lt;/DisplayText&gt;&lt;record&gt;&lt;rec-number&gt;5515&lt;/rec-number&gt;&lt;foreign-keys&gt;&lt;key app="EN" db-id="e2vzee9zparzwaexw9qxadxmr00vr5rte9p0" timestamp="1461304240"&gt;5515&lt;/key&gt;&lt;/foreign-keys&gt;&lt;ref-type name="Journal Article"&gt;17&lt;/ref-type&gt;&lt;contributors&gt;&lt;authors&gt;&lt;author&gt;Jewell, Jessica&lt;/author&gt;&lt;/authors&gt;&lt;/contributors&gt;&lt;titles&gt;&lt;title&gt;Ready for nuclear energy?: An assessment of capacities and motivations for launching new national nuclear power programs&lt;/title&gt;&lt;secondary-title&gt;Energy Policy&lt;/secondary-title&gt;&lt;/titles&gt;&lt;periodical&gt;&lt;full-title&gt;Energy Policy&lt;/full-title&gt;&lt;abbr-1&gt;Energy Policy&lt;/abbr-1&gt;&lt;/periodical&gt;&lt;pages&gt;1041-1055&lt;/pages&gt;&lt;volume&gt;39&lt;/volume&gt;&lt;number&gt;3&lt;/number&gt;&lt;dates&gt;&lt;year&gt;2011&lt;/year&gt;&lt;/dates&gt;&lt;urls&gt;&lt;related-urls&gt;&lt;url&gt;https://ideas.repec.org/a/eee/enepol/v39y2011i3p1041-1055.html&lt;/url&gt;&lt;/related-urls&gt;&lt;/urls&gt;&lt;/record&gt;&lt;/Cite&gt;&lt;/EndNote&gt;</w:instrText>
      </w:r>
      <w:r>
        <w:fldChar w:fldCharType="separate"/>
      </w:r>
      <w:r>
        <w:rPr>
          <w:noProof/>
        </w:rPr>
        <w:t>(Jewell, 2011)</w:t>
      </w:r>
      <w:r>
        <w:fldChar w:fldCharType="end"/>
      </w:r>
      <w:r>
        <w:t xml:space="preserve"> or expand it, we assume that it is unlikely that nuclear power would grow In a world with low international cooperation. </w:t>
      </w:r>
      <w:r w:rsidRPr="0093352D">
        <w:t xml:space="preserve">As a </w:t>
      </w:r>
      <w:r>
        <w:t>result</w:t>
      </w:r>
      <w:r w:rsidRPr="0093352D">
        <w:t xml:space="preserve">, developing countries with </w:t>
      </w:r>
      <w:r>
        <w:t xml:space="preserve">projected growth </w:t>
      </w:r>
      <w:r w:rsidRPr="0093352D">
        <w:t xml:space="preserve">in energy demand, </w:t>
      </w:r>
      <w:r>
        <w:t>and</w:t>
      </w:r>
      <w:r w:rsidRPr="0093352D">
        <w:t xml:space="preserve"> limited </w:t>
      </w:r>
      <w:r>
        <w:t>domestic</w:t>
      </w:r>
      <w:r w:rsidRPr="0093352D">
        <w:t xml:space="preserve"> fossil resources </w:t>
      </w:r>
      <w:r>
        <w:t>would</w:t>
      </w:r>
      <w:r w:rsidRPr="0093352D">
        <w:t xml:space="preserve"> have to resort to importing </w:t>
      </w:r>
      <w:r>
        <w:t>coal and gas</w:t>
      </w:r>
      <w:r w:rsidRPr="0093352D">
        <w:t>.</w:t>
      </w:r>
    </w:p>
    <w:p w14:paraId="22DA7CCA" w14:textId="1BBE2FFF" w:rsidR="00494B92" w:rsidRDefault="00494B92" w:rsidP="00DC1BF5">
      <w:pPr>
        <w:pStyle w:val="Heading2"/>
        <w:spacing w:line="360" w:lineRule="auto"/>
        <w:rPr>
          <w:lang w:val="en-GB"/>
        </w:rPr>
      </w:pPr>
      <w:bookmarkStart w:id="6" w:name="_Toc449104525"/>
      <w:r>
        <w:t xml:space="preserve">Supplementary text </w:t>
      </w:r>
      <w:r w:rsidR="00912CD3">
        <w:t>5</w:t>
      </w:r>
      <w:r>
        <w:t xml:space="preserve">: </w:t>
      </w:r>
      <w:r w:rsidR="000C3C65">
        <w:t xml:space="preserve">commercial </w:t>
      </w:r>
      <w:r>
        <w:t>biomass resources</w:t>
      </w:r>
      <w:bookmarkEnd w:id="6"/>
    </w:p>
    <w:p w14:paraId="158830A0" w14:textId="64CD0B09" w:rsidR="00494B92" w:rsidRDefault="00494B92" w:rsidP="00DC1BF5">
      <w:pPr>
        <w:spacing w:line="360" w:lineRule="auto"/>
        <w:jc w:val="both"/>
        <w:rPr>
          <w:lang w:val="en-GB"/>
        </w:rPr>
      </w:pPr>
      <w:r w:rsidRPr="00D675DF">
        <w:rPr>
          <w:lang w:val="en-GB"/>
        </w:rPr>
        <w:t>Global commercial bioenergy resources considered are forest biomass, forest industry residues and short rot</w:t>
      </w:r>
      <w:r>
        <w:rPr>
          <w:lang w:val="en-GB"/>
        </w:rPr>
        <w:t>ation tree plantations biomass. B</w:t>
      </w:r>
      <w:r w:rsidRPr="00D675DF">
        <w:rPr>
          <w:lang w:val="en-GB"/>
        </w:rPr>
        <w:t xml:space="preserve">iophysical and economic parameters of these feedstock </w:t>
      </w:r>
      <w:r>
        <w:rPr>
          <w:lang w:val="en-GB"/>
        </w:rPr>
        <w:t xml:space="preserve">for the base year (2000) </w:t>
      </w:r>
      <w:r w:rsidRPr="00D675DF">
        <w:rPr>
          <w:lang w:val="en-GB"/>
        </w:rPr>
        <w:t xml:space="preserve">are derived as described in Havlík </w:t>
      </w:r>
      <w:r w:rsidRPr="00D675DF">
        <w:rPr>
          <w:i/>
          <w:lang w:val="en-GB"/>
        </w:rPr>
        <w:t>et al</w:t>
      </w:r>
      <w:r>
        <w:rPr>
          <w:i/>
          <w:lang w:val="en-GB"/>
        </w:rPr>
        <w:t>.</w:t>
      </w:r>
      <w:r w:rsidRPr="00D675DF">
        <w:rPr>
          <w:lang w:val="en-GB"/>
        </w:rPr>
        <w:t xml:space="preserve"> </w:t>
      </w:r>
      <w:r w:rsidRPr="00D675DF">
        <w:rPr>
          <w:lang w:val="en-GB"/>
        </w:rPr>
        <w:fldChar w:fldCharType="begin"/>
      </w:r>
      <w:r w:rsidRPr="00D675DF">
        <w:rPr>
          <w:lang w:val="en-GB"/>
        </w:rPr>
        <w:instrText xml:space="preserve"> ADDIN EN.CITE &lt;EndNote&gt;&lt;Cite ExcludeAuth="1"&gt;&lt;Author&gt;Havlík&lt;/Author&gt;&lt;Year&gt;2011&lt;/Year&gt;&lt;RecNum&gt;5379&lt;/RecNum&gt;&lt;DisplayText&gt;(2011)&lt;/DisplayText&gt;&lt;record&gt;&lt;rec-number&gt;5379&lt;/rec-number&gt;&lt;foreign-keys&gt;&lt;key app="EN" db-id="e2vzee9zparzwaexw9qxadxmr00vr5rte9p0" timestamp="1448029795"&gt;5379&lt;/key&gt;&lt;/foreign-keys&gt;&lt;ref-type name="Journal Article"&gt;17&lt;/ref-type&gt;&lt;contributors&gt;&lt;authors&gt;&lt;author&gt;Havlík, Petr&lt;/author&gt;&lt;author&gt;Schneider, Uwe A.&lt;/author&gt;&lt;author&gt;Schmid, Erwin&lt;/author&gt;&lt;author&gt;Böttcher, Hannes&lt;/author&gt;&lt;author&gt;Fritz, Steffen&lt;/author&gt;&lt;author&gt;Skalský, Rastislav&lt;/author&gt;&lt;author&gt;Aoki, Kentaro&lt;/author&gt;&lt;author&gt;Cara, Stéphane De&lt;/author&gt;&lt;author&gt;Kindermann, Georg&lt;/author&gt;&lt;author&gt;Kraxner, Florian&lt;/author&gt;&lt;author&gt;Leduc, Sylvain&lt;/author&gt;&lt;author&gt;McCallum, Ian&lt;/author&gt;&lt;author&gt;Mosnier, Aline&lt;/author&gt;&lt;author&gt;Sauer, Timm&lt;/author&gt;&lt;author&gt;Obersteiner, Michael&lt;/author&gt;&lt;/authors&gt;&lt;/contributors&gt;&lt;titles&gt;&lt;title&gt;Global land-use implications of first and second generation biofuel targets&lt;/title&gt;&lt;secondary-title&gt;Energy Policy&lt;/secondary-title&gt;&lt;/titles&gt;&lt;periodical&gt;&lt;full-title&gt;Energy Policy&lt;/full-title&gt;&lt;abbr-1&gt;Energy Policy&lt;/abbr-1&gt;&lt;/periodical&gt;&lt;pages&gt;5690-5702&lt;/pages&gt;&lt;volume&gt;39&lt;/volume&gt;&lt;number&gt;10&lt;/number&gt;&lt;keywords&gt;&lt;keyword&gt;Biofuels&lt;/keyword&gt;&lt;keyword&gt;Land use change&lt;/keyword&gt;&lt;keyword&gt;Modelling&lt;/keyword&gt;&lt;/keywords&gt;&lt;dates&gt;&lt;year&gt;2011&lt;/year&gt;&lt;pub-dates&gt;&lt;date&gt;10//&lt;/date&gt;&lt;/pub-dates&gt;&lt;/dates&gt;&lt;isbn&gt;0301-4215&lt;/isbn&gt;&lt;urls&gt;&lt;related-urls&gt;&lt;url&gt;http://www.sciencedirect.com/science/article/pii/S030142151000193X&lt;/url&gt;&lt;/related-urls&gt;&lt;/urls&gt;&lt;electronic-resource-num&gt;http://dx.doi.org/10.1016/j.enpol.2010.03.030&lt;/electronic-resource-num&gt;&lt;/record&gt;&lt;/Cite&gt;&lt;/EndNote&gt;</w:instrText>
      </w:r>
      <w:r w:rsidRPr="00D675DF">
        <w:rPr>
          <w:lang w:val="en-GB"/>
        </w:rPr>
        <w:fldChar w:fldCharType="separate"/>
      </w:r>
      <w:r w:rsidRPr="00D675DF">
        <w:rPr>
          <w:noProof/>
          <w:lang w:val="en-GB"/>
        </w:rPr>
        <w:t>(2011)</w:t>
      </w:r>
      <w:r w:rsidRPr="00D675DF">
        <w:rPr>
          <w:lang w:val="en-GB"/>
        </w:rPr>
        <w:fldChar w:fldCharType="end"/>
      </w:r>
      <w:r w:rsidRPr="00D675DF">
        <w:rPr>
          <w:lang w:val="en-GB"/>
        </w:rPr>
        <w:t>. The potential availability over time is calculated in GLOBIOM in terms of quantities of commercial biomass available at certain prices. For the highest considered price of USD 13 per GJ of primary energy, the available biomass in SSP2 is estimated at 250 EJ by 2100.</w:t>
      </w:r>
      <w:r w:rsidR="005A6D1C">
        <w:rPr>
          <w:lang w:val="en-GB"/>
        </w:rPr>
        <w:t xml:space="preserve"> </w:t>
      </w:r>
    </w:p>
    <w:p w14:paraId="292D496A" w14:textId="744F525C" w:rsidR="005A6D1C" w:rsidRDefault="005A6D1C" w:rsidP="00DC1BF5">
      <w:pPr>
        <w:spacing w:line="360" w:lineRule="auto"/>
        <w:jc w:val="both"/>
        <w:rPr>
          <w:lang w:val="en-GB"/>
        </w:rPr>
      </w:pPr>
      <w:r w:rsidRPr="005A6D1C">
        <w:rPr>
          <w:lang w:val="en-GB"/>
        </w:rPr>
        <w:t xml:space="preserve">GLOBIOM endogenously computes bilateral trade flows within </w:t>
      </w:r>
      <w:r>
        <w:rPr>
          <w:lang w:val="en-GB"/>
        </w:rPr>
        <w:t>its</w:t>
      </w:r>
      <w:r w:rsidRPr="005A6D1C">
        <w:rPr>
          <w:lang w:val="en-GB"/>
        </w:rPr>
        <w:t xml:space="preserve"> spatial equilibrium approach</w:t>
      </w:r>
      <w:r>
        <w:rPr>
          <w:lang w:val="en-GB"/>
        </w:rPr>
        <w:t>,</w:t>
      </w:r>
      <w:r w:rsidRPr="005A6D1C">
        <w:rPr>
          <w:lang w:val="en-GB"/>
        </w:rPr>
        <w:t xml:space="preserve"> based on the principal of total trading cost minimization. Net trade for the base year (2000) is computed from </w:t>
      </w:r>
      <w:r>
        <w:rPr>
          <w:lang w:val="en-GB"/>
        </w:rPr>
        <w:t xml:space="preserve">the </w:t>
      </w:r>
      <w:r w:rsidRPr="005A6D1C">
        <w:rPr>
          <w:lang w:val="en-GB"/>
        </w:rPr>
        <w:t xml:space="preserve">FAO food commodity balance. We use </w:t>
      </w:r>
      <w:r>
        <w:rPr>
          <w:lang w:val="en-GB"/>
        </w:rPr>
        <w:t xml:space="preserve">the </w:t>
      </w:r>
      <w:r w:rsidRPr="005A6D1C">
        <w:rPr>
          <w:lang w:val="en-GB"/>
        </w:rPr>
        <w:t>BACI database to compute average bilateral trade flows for 2000 in quantity based on international HS6 product nomenclature</w:t>
      </w:r>
      <w:r>
        <w:rPr>
          <w:lang w:val="en-GB"/>
        </w:rPr>
        <w:t xml:space="preserve"> </w:t>
      </w:r>
      <w:r>
        <w:rPr>
          <w:lang w:val="en-GB"/>
        </w:rPr>
        <w:fldChar w:fldCharType="begin"/>
      </w:r>
      <w:r>
        <w:rPr>
          <w:lang w:val="en-GB"/>
        </w:rPr>
        <w:instrText xml:space="preserve"> ADDIN EN.CITE &lt;EndNote&gt;&lt;Cite&gt;&lt;Author&gt;Gaulier&lt;/Author&gt;&lt;Year&gt;2008&lt;/Year&gt;&lt;RecNum&gt;5516&lt;/RecNum&gt;&lt;DisplayText&gt;(Gaulier and Zignago, 2008)&lt;/DisplayText&gt;&lt;record&gt;&lt;rec-number&gt;5516&lt;/rec-number&gt;&lt;foreign-keys&gt;&lt;key app="EN" db-id="e2vzee9zparzwaexw9qxadxmr00vr5rte9p0" timestamp="1461558392"&gt;5516&lt;/key&gt;&lt;/foreign-keys&gt;&lt;ref-type name="Web Page"&gt;12&lt;/ref-type&gt;&lt;contributors&gt;&lt;authors&gt;&lt;author&gt;G. Gaulier&lt;/author&gt;&lt;author&gt;S. Zignago&lt;/author&gt;&lt;/authors&gt;&lt;/contributors&gt;&lt;titles&gt;&lt;title&gt;BACI: A World Database of International Trade at the Product-level (The 1995-2004 Version). MPRA Paper.&lt;/title&gt;&lt;/titles&gt;&lt;number&gt;November 20, 2013&lt;/number&gt;&lt;dates&gt;&lt;year&gt;2008&lt;/year&gt;&lt;/dates&gt;&lt;urls&gt;&lt;related-urls&gt;&lt;url&gt;http://mpra.ub.uni-muenchen.de/31894/&lt;/url&gt;&lt;/related-urls&gt;&lt;/urls&gt;&lt;/record&gt;&lt;/Cite&gt;&lt;/EndNote&gt;</w:instrText>
      </w:r>
      <w:r>
        <w:rPr>
          <w:lang w:val="en-GB"/>
        </w:rPr>
        <w:fldChar w:fldCharType="separate"/>
      </w:r>
      <w:r>
        <w:rPr>
          <w:noProof/>
          <w:lang w:val="en-GB"/>
        </w:rPr>
        <w:t>(Gaulier and Zignago, 2008)</w:t>
      </w:r>
      <w:r>
        <w:rPr>
          <w:lang w:val="en-GB"/>
        </w:rPr>
        <w:fldChar w:fldCharType="end"/>
      </w:r>
      <w:r w:rsidRPr="005A6D1C">
        <w:rPr>
          <w:lang w:val="en-GB"/>
        </w:rPr>
        <w:t>. Tariffs are included in the model based on the Mac</w:t>
      </w:r>
      <w:r>
        <w:rPr>
          <w:lang w:val="en-GB"/>
        </w:rPr>
        <w:t xml:space="preserve">Map database for the year 2001 </w:t>
      </w:r>
      <w:r>
        <w:rPr>
          <w:lang w:val="en-GB"/>
        </w:rPr>
        <w:fldChar w:fldCharType="begin"/>
      </w:r>
      <w:r>
        <w:rPr>
          <w:lang w:val="en-GB"/>
        </w:rPr>
        <w:instrText xml:space="preserve"> ADDIN EN.CITE &lt;EndNote&gt;&lt;Cite&gt;&lt;Author&gt;Bouët&lt;/Author&gt;&lt;Year&gt;2008&lt;/Year&gt;&lt;RecNum&gt;5517&lt;/RecNum&gt;&lt;DisplayText&gt;(Bouët&lt;style face="italic"&gt; et al.&lt;/style&gt;, 2008)&lt;/DisplayText&gt;&lt;record&gt;&lt;rec-number&gt;5517&lt;/rec-number&gt;&lt;foreign-keys&gt;&lt;key app="EN" db-id="e2vzee9zparzwaexw9qxadxmr00vr5rte9p0" timestamp="1461558494"&gt;5517&lt;/key&gt;&lt;/foreign-keys&gt;&lt;ref-type name="Journal Article"&gt;17&lt;/ref-type&gt;&lt;contributors&gt;&lt;authors&gt;&lt;author&gt;Bouët, Antoine&lt;/author&gt;&lt;author&gt;Decreux, Yvan&lt;/author&gt;&lt;author&gt;Fontagné, Lionel&lt;/author&gt;&lt;author&gt;Jean, Sébastien&lt;/author&gt;&lt;author&gt;Laborde, David&lt;/author&gt;&lt;/authors&gt;&lt;/contributors&gt;&lt;titles&gt;&lt;title&gt;Assessing Applied Protection across the World*&lt;/title&gt;&lt;secondary-title&gt;Review of International Economics&lt;/secondary-title&gt;&lt;/titles&gt;&lt;periodical&gt;&lt;full-title&gt;Review of International Economics&lt;/full-title&gt;&lt;/periodical&gt;&lt;pages&gt;850-863&lt;/pages&gt;&lt;volume&gt;16&lt;/volume&gt;&lt;number&gt;5&lt;/number&gt;&lt;dates&gt;&lt;year&gt;2008&lt;/year&gt;&lt;/dates&gt;&lt;publisher&gt;Blackwell Publishing Ltd&lt;/publisher&gt;&lt;isbn&gt;1467-9396&lt;/isbn&gt;&lt;urls&gt;&lt;related-urls&gt;&lt;url&gt;http://dx.doi.org/10.1111/j.1467-9396.2008.00753.x&lt;/url&gt;&lt;/related-urls&gt;&lt;/urls&gt;&lt;electronic-resource-num&gt;10.1111/j.1467-9396.2008.00753.x&lt;/electronic-resource-num&gt;&lt;/record&gt;&lt;/Cite&gt;&lt;/EndNote&gt;</w:instrText>
      </w:r>
      <w:r>
        <w:rPr>
          <w:lang w:val="en-GB"/>
        </w:rPr>
        <w:fldChar w:fldCharType="separate"/>
      </w:r>
      <w:r>
        <w:rPr>
          <w:noProof/>
          <w:lang w:val="en-GB"/>
        </w:rPr>
        <w:t>(Bouët</w:t>
      </w:r>
      <w:r w:rsidRPr="005A6D1C">
        <w:rPr>
          <w:i/>
          <w:noProof/>
          <w:lang w:val="en-GB"/>
        </w:rPr>
        <w:t xml:space="preserve"> et al.</w:t>
      </w:r>
      <w:r>
        <w:rPr>
          <w:noProof/>
          <w:lang w:val="en-GB"/>
        </w:rPr>
        <w:t>, 2008)</w:t>
      </w:r>
      <w:r>
        <w:rPr>
          <w:lang w:val="en-GB"/>
        </w:rPr>
        <w:fldChar w:fldCharType="end"/>
      </w:r>
      <w:r w:rsidRPr="005A6D1C">
        <w:rPr>
          <w:lang w:val="en-GB"/>
        </w:rPr>
        <w:t>. Transportation costs are informed by Hummels’ econometric estimates</w:t>
      </w:r>
      <w:r>
        <w:rPr>
          <w:lang w:val="en-GB"/>
        </w:rPr>
        <w:t xml:space="preserve"> </w:t>
      </w:r>
      <w:r>
        <w:rPr>
          <w:lang w:val="en-GB"/>
        </w:rPr>
        <w:lastRenderedPageBreak/>
        <w:fldChar w:fldCharType="begin"/>
      </w:r>
      <w:r>
        <w:rPr>
          <w:lang w:val="en-GB"/>
        </w:rPr>
        <w:instrText xml:space="preserve"> ADDIN EN.CITE &lt;EndNote&gt;&lt;Cite ExcludeAuth="1"&gt;&lt;Author&gt;Hummels&lt;/Author&gt;&lt;Year&gt;2001&lt;/Year&gt;&lt;RecNum&gt;5518&lt;/RecNum&gt;&lt;DisplayText&gt;(2001)&lt;/DisplayText&gt;&lt;record&gt;&lt;rec-number&gt;5518&lt;/rec-number&gt;&lt;foreign-keys&gt;&lt;key app="EN" db-id="e2vzee9zparzwaexw9qxadxmr00vr5rte9p0" timestamp="1461558594"&gt;5518&lt;/key&gt;&lt;/foreign-keys&gt;&lt;ref-type name="Web Page"&gt;12&lt;/ref-type&gt;&lt;contributors&gt;&lt;authors&gt;&lt;author&gt;D. Hummels&lt;/author&gt;&lt;/authors&gt;&lt;/contributors&gt;&lt;titles&gt;&lt;title&gt;Toward a Geography of Trade Costs (Working Papers)&lt;/title&gt;&lt;/titles&gt;&lt;dates&gt;&lt;year&gt;2001&lt;/year&gt;&lt;/dates&gt;&lt;publisher&gt;Department of Economics, Purdue University, US&lt;/publisher&gt;&lt;urls&gt;&lt;related-urls&gt;&lt;url&gt;http://ideas.repec.org/p/gta/workpp/1162.html&lt;/url&gt;&lt;/related-urls&gt;&lt;/urls&gt;&lt;/record&gt;&lt;/Cite&gt;&lt;/EndNote&gt;</w:instrText>
      </w:r>
      <w:r>
        <w:rPr>
          <w:lang w:val="en-GB"/>
        </w:rPr>
        <w:fldChar w:fldCharType="separate"/>
      </w:r>
      <w:r>
        <w:rPr>
          <w:noProof/>
          <w:lang w:val="en-GB"/>
        </w:rPr>
        <w:t>(2001)</w:t>
      </w:r>
      <w:r>
        <w:rPr>
          <w:lang w:val="en-GB"/>
        </w:rPr>
        <w:fldChar w:fldCharType="end"/>
      </w:r>
      <w:r w:rsidRPr="005A6D1C">
        <w:rPr>
          <w:lang w:val="en-GB"/>
        </w:rPr>
        <w:t>. Distance data between each capital is taken from CEPII. To implement trade costs in GLOBIOM, we convert all ad-valorem trade costs (percentage of the import price) in fixed amounts paid per physical unit. Non-linear trade cost functions are used to better mimic the stylized fact of some inertia in trade patterns and indirectly represent the temporary capacity constraints in the transport sector.</w:t>
      </w:r>
    </w:p>
    <w:p w14:paraId="088BFA31" w14:textId="74EF7AFD" w:rsidR="00E75514" w:rsidRDefault="00E75514" w:rsidP="00DC1BF5">
      <w:pPr>
        <w:pStyle w:val="Heading2"/>
        <w:spacing w:line="360" w:lineRule="auto"/>
        <w:rPr>
          <w:lang w:val="en-GB"/>
        </w:rPr>
      </w:pPr>
      <w:bookmarkStart w:id="7" w:name="_Toc449104526"/>
      <w:r>
        <w:t xml:space="preserve">Supplementary text </w:t>
      </w:r>
      <w:r w:rsidR="00912CD3">
        <w:t>6</w:t>
      </w:r>
      <w:r w:rsidR="003240F0">
        <w:t xml:space="preserve">: </w:t>
      </w:r>
      <w:r w:rsidR="009C6B1B">
        <w:t>food consumption, and losses &amp; wastes</w:t>
      </w:r>
      <w:r w:rsidR="003240F0">
        <w:t xml:space="preserve"> assumptions</w:t>
      </w:r>
      <w:bookmarkEnd w:id="7"/>
    </w:p>
    <w:p w14:paraId="787A4430" w14:textId="60CDD06F" w:rsidR="00063765" w:rsidRDefault="00063765" w:rsidP="00DC1BF5">
      <w:pPr>
        <w:spacing w:line="360" w:lineRule="auto"/>
        <w:jc w:val="both"/>
        <w:rPr>
          <w:lang w:val="en-GB"/>
        </w:rPr>
      </w:pPr>
      <w:r>
        <w:rPr>
          <w:lang w:val="en-GB"/>
        </w:rPr>
        <w:t xml:space="preserve">The environmental impact of food consumption is low, medium and high in SSP1, SSP2, and SSP3, respectively. </w:t>
      </w:r>
      <w:r w:rsidRPr="000D61F8">
        <w:rPr>
          <w:lang w:val="en-GB"/>
        </w:rPr>
        <w:t xml:space="preserve">Developments in future consumption preferences are captured </w:t>
      </w:r>
      <w:r>
        <w:rPr>
          <w:lang w:val="en-GB"/>
        </w:rPr>
        <w:t>by</w:t>
      </w:r>
      <w:r w:rsidRPr="000D61F8">
        <w:rPr>
          <w:lang w:val="en-GB"/>
        </w:rPr>
        <w:t xml:space="preserve"> income elasticity values</w:t>
      </w:r>
      <w:r>
        <w:rPr>
          <w:lang w:val="en-GB"/>
        </w:rPr>
        <w:t xml:space="preserve"> </w:t>
      </w:r>
      <w:r>
        <w:rPr>
          <w:lang w:val="en-GB"/>
        </w:rPr>
        <w:fldChar w:fldCharType="begin"/>
      </w:r>
      <w:r>
        <w:rPr>
          <w:lang w:val="en-GB"/>
        </w:rPr>
        <w:instrText xml:space="preserve"> ADDIN EN.CITE &lt;EndNote&gt;&lt;Cite&gt;&lt;Author&gt;Valin&lt;/Author&gt;&lt;Year&gt;2014&lt;/Year&gt;&lt;RecNum&gt;5432&lt;/RecNum&gt;&lt;DisplayText&gt;(Valin&lt;style face="italic"&gt; et al.&lt;/style&gt;, 2014)&lt;/DisplayText&gt;&lt;record&gt;&lt;rec-number&gt;5432&lt;/rec-number&gt;&lt;foreign-keys&gt;&lt;key app="EN" db-id="e2vzee9zparzwaexw9qxadxmr00vr5rte9p0" timestamp="1449310053"&gt;5432&lt;/key&gt;&lt;/foreign-keys&gt;&lt;ref-type name="Journal Article"&gt;17&lt;/ref-type&gt;&lt;contributors&gt;&lt;authors&gt;&lt;author&gt;Valin, Hugo&lt;/author&gt;&lt;author&gt;Sands, Ronald D.&lt;/author&gt;&lt;author&gt;van der Mensbrugghe, Dominique&lt;/author&gt;&lt;author&gt;Nelson, Gerald C.&lt;/author&gt;&lt;author&gt;Ahammad, Helal&lt;/author&gt;&lt;author&gt;Blanc, Elodie&lt;/author&gt;&lt;author&gt;Bodirsky, Benjamin&lt;/author&gt;&lt;author&gt;Fujimori, Shinichiro&lt;/author&gt;&lt;author&gt;Hasegawa, Tomoko&lt;/author&gt;&lt;author&gt;Havlik, Petr&lt;/author&gt;&lt;author&gt;Heyhoe, Edwina&lt;/author&gt;&lt;author&gt;Kyle, Page&lt;/author&gt;&lt;author&gt;Mason d&amp;apos;Croz, Daniel&lt;/author&gt;&lt;author&gt;Paltsev, Sergey&lt;/author&gt;&lt;author&gt;Rolinski, Susanne&lt;/author&gt;&lt;author&gt;Tabeau, Andrzej&lt;/author&gt;&lt;author&gt;van Meijl, Hans&lt;/author&gt;&lt;author&gt;von Lampe, Martin&lt;/author&gt;&lt;author&gt;Willenbockel, Dirk&lt;/author&gt;&lt;/authors&gt;&lt;/contributors&gt;&lt;titles&gt;&lt;title&gt;The future of food demand: understanding differences in global economic models&lt;/title&gt;&lt;secondary-title&gt;Agricultural Economics&lt;/secondary-title&gt;&lt;/titles&gt;&lt;periodical&gt;&lt;full-title&gt;Agricultural Economics&lt;/full-title&gt;&lt;/periodical&gt;&lt;pages&gt;51-67&lt;/pages&gt;&lt;volume&gt;45&lt;/volume&gt;&lt;number&gt;1&lt;/number&gt;&lt;dates&gt;&lt;year&gt;2014&lt;/year&gt;&lt;/dates&gt;&lt;urls&gt;&lt;related-urls&gt;&lt;url&gt; http://dx.doi.org/10.1111/agec.12089&lt;/url&gt;&lt;/related-urls&gt;&lt;/urls&gt;&lt;electronic-resource-num&gt;10.1111/agec.12089&lt;/electronic-resource-num&gt;&lt;/record&gt;&lt;/Cite&gt;&lt;/EndNote&gt;</w:instrText>
      </w:r>
      <w:r>
        <w:rPr>
          <w:lang w:val="en-GB"/>
        </w:rPr>
        <w:fldChar w:fldCharType="separate"/>
      </w:r>
      <w:r>
        <w:rPr>
          <w:noProof/>
          <w:lang w:val="en-GB"/>
        </w:rPr>
        <w:t>(Valin</w:t>
      </w:r>
      <w:r w:rsidRPr="00A4305A">
        <w:rPr>
          <w:i/>
          <w:noProof/>
          <w:lang w:val="en-GB"/>
        </w:rPr>
        <w:t xml:space="preserve"> et al.</w:t>
      </w:r>
      <w:r>
        <w:rPr>
          <w:noProof/>
          <w:lang w:val="en-GB"/>
        </w:rPr>
        <w:t>, 2014)</w:t>
      </w:r>
      <w:r>
        <w:rPr>
          <w:lang w:val="en-GB"/>
        </w:rPr>
        <w:fldChar w:fldCharType="end"/>
      </w:r>
      <w:r w:rsidRPr="000D61F8">
        <w:rPr>
          <w:lang w:val="en-GB"/>
        </w:rPr>
        <w:t xml:space="preserve">. </w:t>
      </w:r>
      <w:r>
        <w:rPr>
          <w:lang w:val="en-GB"/>
        </w:rPr>
        <w:t xml:space="preserve">These vary across SSPs to reflect a different level of requirements for the land-use sector and therewith a different level of mitigation challenges. </w:t>
      </w:r>
    </w:p>
    <w:p w14:paraId="7D09E60A" w14:textId="0596CECA" w:rsidR="00E75514" w:rsidRDefault="00E75514" w:rsidP="00DC1BF5">
      <w:pPr>
        <w:spacing w:line="360" w:lineRule="auto"/>
        <w:jc w:val="both"/>
        <w:rPr>
          <w:lang w:val="en-GB"/>
        </w:rPr>
      </w:pPr>
      <w:r>
        <w:rPr>
          <w:lang w:val="en-GB"/>
        </w:rPr>
        <w:t xml:space="preserve">SSP2 income elasticities </w:t>
      </w:r>
      <w:r w:rsidR="00F26717">
        <w:rPr>
          <w:lang w:val="en-GB"/>
        </w:rPr>
        <w:t xml:space="preserve">of future food consumptions </w:t>
      </w:r>
      <w:r>
        <w:rPr>
          <w:lang w:val="en-GB"/>
        </w:rPr>
        <w:t xml:space="preserve">are calibrated to FAO data </w:t>
      </w:r>
      <w:r>
        <w:rPr>
          <w:lang w:val="en-GB"/>
        </w:rPr>
        <w:fldChar w:fldCharType="begin"/>
      </w:r>
      <w:r>
        <w:rPr>
          <w:lang w:val="en-GB"/>
        </w:rPr>
        <w:instrText xml:space="preserve"> ADDIN EN.CITE &lt;EndNote&gt;&lt;Cite&gt;&lt;Author&gt;Alexandratos&lt;/Author&gt;&lt;Year&gt;2012&lt;/Year&gt;&lt;RecNum&gt;5433&lt;/RecNum&gt;&lt;DisplayText&gt;(Alexandratos and Bruinsma, 2012)&lt;/DisplayText&gt;&lt;record&gt;&lt;rec-number&gt;5433&lt;/rec-number&gt;&lt;foreign-keys&gt;&lt;key app="EN" db-id="e2vzee9zparzwaexw9qxadxmr00vr5rte9p0" timestamp="1449310191"&gt;5433&lt;/key&gt;&lt;/foreign-keys&gt;&lt;ref-type name="Generic"&gt;13&lt;/ref-type&gt;&lt;contributors&gt;&lt;authors&gt;&lt;author&gt;Alexandratos, N.&lt;/author&gt;&lt;author&gt;Bruinsma, J.&lt;/author&gt;&lt;/authors&gt;&lt;/contributors&gt;&lt;titles&gt;&lt;title&gt;World Agriculture Towards 2030/2050: The 2012 Revision. ESA Working Paper.&lt;/title&gt;&lt;/titles&gt;&lt;pages&gt;1-154&lt;/pages&gt;&lt;dates&gt;&lt;year&gt;2012&lt;/year&gt;&lt;/dates&gt;&lt;pub-location&gt;Rome, Italy&lt;/pub-location&gt;&lt;publisher&gt;Food and Agriculture Organization of the United Nations (FAO)&lt;/publisher&gt;&lt;urls&gt;&lt;related-urls&gt;&lt;url&gt;http://www.fao.org/docrep/016/ap106e/ap106e.pdf&lt;/url&gt;&lt;/related-urls&gt;&lt;/urls&gt;&lt;/record&gt;&lt;/Cite&gt;&lt;/EndNote&gt;</w:instrText>
      </w:r>
      <w:r>
        <w:rPr>
          <w:lang w:val="en-GB"/>
        </w:rPr>
        <w:fldChar w:fldCharType="separate"/>
      </w:r>
      <w:r>
        <w:rPr>
          <w:noProof/>
          <w:lang w:val="en-GB"/>
        </w:rPr>
        <w:t>(Alexandratos and Bruinsma, 2012)</w:t>
      </w:r>
      <w:r>
        <w:rPr>
          <w:lang w:val="en-GB"/>
        </w:rPr>
        <w:fldChar w:fldCharType="end"/>
      </w:r>
      <w:r>
        <w:rPr>
          <w:lang w:val="en-GB"/>
        </w:rPr>
        <w:t xml:space="preserve">. </w:t>
      </w:r>
      <w:r w:rsidR="00F26717">
        <w:rPr>
          <w:lang w:val="en-GB"/>
        </w:rPr>
        <w:t>F</w:t>
      </w:r>
      <w:r w:rsidRPr="000D61F8">
        <w:rPr>
          <w:lang w:val="en-GB"/>
        </w:rPr>
        <w:t>or SSP1</w:t>
      </w:r>
      <w:r>
        <w:rPr>
          <w:lang w:val="en-GB"/>
        </w:rPr>
        <w:t xml:space="preserve"> these are</w:t>
      </w:r>
      <w:r w:rsidRPr="000D61F8">
        <w:rPr>
          <w:lang w:val="en-GB"/>
        </w:rPr>
        <w:t xml:space="preserve"> recalibrated to </w:t>
      </w:r>
      <w:r>
        <w:rPr>
          <w:lang w:val="en-GB"/>
        </w:rPr>
        <w:t xml:space="preserve">better </w:t>
      </w:r>
      <w:r w:rsidRPr="000D61F8">
        <w:rPr>
          <w:lang w:val="en-GB"/>
        </w:rPr>
        <w:t>reflect</w:t>
      </w:r>
      <w:r>
        <w:rPr>
          <w:lang w:val="en-GB"/>
        </w:rPr>
        <w:t xml:space="preserve"> </w:t>
      </w:r>
      <w:r w:rsidRPr="000D61F8">
        <w:rPr>
          <w:lang w:val="en-GB"/>
        </w:rPr>
        <w:t>management of domestic waste in developed countries</w:t>
      </w:r>
      <w:r>
        <w:rPr>
          <w:lang w:val="en-GB"/>
        </w:rPr>
        <w:t>. Regional c</w:t>
      </w:r>
      <w:r w:rsidRPr="000D61F8">
        <w:rPr>
          <w:lang w:val="en-GB"/>
        </w:rPr>
        <w:t>onsumption per capita is</w:t>
      </w:r>
      <w:r>
        <w:rPr>
          <w:lang w:val="en-GB"/>
        </w:rPr>
        <w:t xml:space="preserve"> assumed to be</w:t>
      </w:r>
      <w:r w:rsidRPr="000D61F8">
        <w:rPr>
          <w:lang w:val="en-GB"/>
        </w:rPr>
        <w:t xml:space="preserve"> almost constant</w:t>
      </w:r>
      <w:r>
        <w:rPr>
          <w:lang w:val="en-GB"/>
        </w:rPr>
        <w:t>. A</w:t>
      </w:r>
      <w:r w:rsidRPr="000D61F8">
        <w:rPr>
          <w:lang w:val="en-GB"/>
        </w:rPr>
        <w:t xml:space="preserve">nimal protein demand is reduced in regions where more than 75 g prot/cap/day are consumed for animal and vegetal products. </w:t>
      </w:r>
      <w:r w:rsidR="00F26717">
        <w:rPr>
          <w:lang w:val="en-GB"/>
        </w:rPr>
        <w:t>In these cases, a mi</w:t>
      </w:r>
      <w:r w:rsidRPr="000D61F8">
        <w:rPr>
          <w:lang w:val="en-GB"/>
        </w:rPr>
        <w:t xml:space="preserve">nimum consumption of 25 g prot/cap/day of animal calories is </w:t>
      </w:r>
      <w:r w:rsidR="00F26717">
        <w:rPr>
          <w:lang w:val="en-GB"/>
        </w:rPr>
        <w:t xml:space="preserve">being </w:t>
      </w:r>
      <w:r w:rsidRPr="000D61F8">
        <w:rPr>
          <w:lang w:val="en-GB"/>
        </w:rPr>
        <w:t>ensured</w:t>
      </w:r>
      <w:r>
        <w:rPr>
          <w:lang w:val="en-GB"/>
        </w:rPr>
        <w:t>,</w:t>
      </w:r>
      <w:r w:rsidRPr="000D61F8">
        <w:rPr>
          <w:lang w:val="en-GB"/>
        </w:rPr>
        <w:t xml:space="preserve"> but red meat consumption is reduced to 5 g prot/cap/day</w:t>
      </w:r>
      <w:r w:rsidR="007F2700">
        <w:rPr>
          <w:lang w:val="en-GB"/>
        </w:rPr>
        <w:t xml:space="preserve">. </w:t>
      </w:r>
      <w:r w:rsidRPr="000D61F8">
        <w:rPr>
          <w:lang w:val="en-GB"/>
        </w:rPr>
        <w:t xml:space="preserve">For developing regions, </w:t>
      </w:r>
      <w:r w:rsidR="007F2700">
        <w:rPr>
          <w:lang w:val="en-GB"/>
        </w:rPr>
        <w:t xml:space="preserve">we assume </w:t>
      </w:r>
      <w:r w:rsidRPr="000D61F8">
        <w:rPr>
          <w:lang w:val="en-GB"/>
        </w:rPr>
        <w:t xml:space="preserve">an increase in animal protein intake </w:t>
      </w:r>
      <w:r w:rsidR="007F2700">
        <w:rPr>
          <w:lang w:val="en-GB"/>
        </w:rPr>
        <w:t>to</w:t>
      </w:r>
      <w:r w:rsidRPr="000D61F8">
        <w:rPr>
          <w:lang w:val="en-GB"/>
        </w:rPr>
        <w:t xml:space="preserve"> 75 g prot/cap/day and a reduction of root consumption </w:t>
      </w:r>
      <w:r w:rsidR="001F250F">
        <w:rPr>
          <w:lang w:val="en-GB"/>
        </w:rPr>
        <w:t>to</w:t>
      </w:r>
      <w:r w:rsidRPr="000D61F8">
        <w:rPr>
          <w:lang w:val="en-GB"/>
        </w:rPr>
        <w:t xml:space="preserve"> a level of 100 kcal/cap/day. For SSP3, SSP2 </w:t>
      </w:r>
      <w:r w:rsidR="003A2B31">
        <w:rPr>
          <w:lang w:val="en-GB"/>
        </w:rPr>
        <w:t xml:space="preserve">income </w:t>
      </w:r>
      <w:r w:rsidRPr="000D61F8">
        <w:rPr>
          <w:lang w:val="en-GB"/>
        </w:rPr>
        <w:t>elasticities</w:t>
      </w:r>
      <w:r>
        <w:rPr>
          <w:lang w:val="en-GB"/>
        </w:rPr>
        <w:t xml:space="preserve"> </w:t>
      </w:r>
      <w:r w:rsidR="003A2B31">
        <w:rPr>
          <w:lang w:val="en-GB"/>
        </w:rPr>
        <w:t xml:space="preserve">of food consumption </w:t>
      </w:r>
      <w:r>
        <w:rPr>
          <w:lang w:val="en-GB"/>
        </w:rPr>
        <w:t>are</w:t>
      </w:r>
      <w:r w:rsidRPr="000D61F8">
        <w:rPr>
          <w:lang w:val="en-GB"/>
        </w:rPr>
        <w:t xml:space="preserve"> used, </w:t>
      </w:r>
      <w:r w:rsidR="003A2B31">
        <w:rPr>
          <w:lang w:val="en-GB"/>
        </w:rPr>
        <w:t xml:space="preserve">but </w:t>
      </w:r>
      <w:r w:rsidRPr="000D61F8">
        <w:rPr>
          <w:lang w:val="en-GB"/>
        </w:rPr>
        <w:t>the difference in GDP</w:t>
      </w:r>
      <w:r w:rsidR="003A2B31">
        <w:rPr>
          <w:lang w:val="en-GB"/>
        </w:rPr>
        <w:t xml:space="preserve"> developments still results in different demands</w:t>
      </w:r>
      <w:r w:rsidR="00EA597D">
        <w:rPr>
          <w:lang w:val="en-GB"/>
        </w:rPr>
        <w:t xml:space="preserve"> (see </w:t>
      </w:r>
      <w:r w:rsidR="00EA597D" w:rsidRPr="001319C8">
        <w:rPr>
          <w:lang w:val="en-GB"/>
        </w:rPr>
        <w:t>Supplementary Figure S4</w:t>
      </w:r>
      <w:r w:rsidR="00EA597D">
        <w:rPr>
          <w:lang w:val="en-GB"/>
        </w:rPr>
        <w:t>)</w:t>
      </w:r>
      <w:r w:rsidRPr="000D61F8">
        <w:rPr>
          <w:lang w:val="en-GB"/>
        </w:rPr>
        <w:t>.</w:t>
      </w:r>
    </w:p>
    <w:p w14:paraId="605F296F" w14:textId="0B888621" w:rsidR="008A0A2C" w:rsidRDefault="00886601" w:rsidP="00DC1BF5">
      <w:pPr>
        <w:spacing w:line="360" w:lineRule="auto"/>
        <w:jc w:val="both"/>
        <w:rPr>
          <w:lang w:val="en-GB"/>
        </w:rPr>
      </w:pPr>
      <w:r>
        <w:rPr>
          <w:lang w:val="en-GB"/>
        </w:rPr>
        <w:t xml:space="preserve">Generally, the processing chains between production and consumption result in losses and waste, both of which increase pressure on primary production. Also these pressures are considered. </w:t>
      </w:r>
      <w:r w:rsidR="00DB4FFF">
        <w:rPr>
          <w:lang w:val="en-GB"/>
        </w:rPr>
        <w:t>T</w:t>
      </w:r>
      <w:r w:rsidR="00DB4FFF" w:rsidRPr="000D61F8">
        <w:rPr>
          <w:lang w:val="en-GB"/>
        </w:rPr>
        <w:t xml:space="preserve">he relationship between GDP and development of losses and wastes arising during "Postharvest handling and storage, Processing, Distribution/Retail" </w:t>
      </w:r>
      <w:r w:rsidR="00DB4FFF">
        <w:rPr>
          <w:lang w:val="en-GB"/>
        </w:rPr>
        <w:t>is</w:t>
      </w:r>
      <w:r w:rsidR="00DB4FFF" w:rsidRPr="007A64D8">
        <w:rPr>
          <w:lang w:val="en-GB"/>
        </w:rPr>
        <w:t xml:space="preserve"> </w:t>
      </w:r>
      <w:r w:rsidR="00DB4FFF">
        <w:rPr>
          <w:lang w:val="en-GB"/>
        </w:rPr>
        <w:t>b</w:t>
      </w:r>
      <w:r w:rsidR="00DB4FFF" w:rsidRPr="000D61F8">
        <w:rPr>
          <w:lang w:val="en-GB"/>
        </w:rPr>
        <w:t>ased on</w:t>
      </w:r>
      <w:r w:rsidR="00DB4FFF">
        <w:rPr>
          <w:lang w:val="en-GB"/>
        </w:rPr>
        <w:t xml:space="preserve"> </w:t>
      </w:r>
      <w:r w:rsidR="00DB4FFF">
        <w:rPr>
          <w:lang w:val="en-GB"/>
        </w:rPr>
        <w:fldChar w:fldCharType="begin"/>
      </w:r>
      <w:r w:rsidR="00DB4FFF">
        <w:rPr>
          <w:lang w:val="en-GB"/>
        </w:rPr>
        <w:instrText xml:space="preserve"> ADDIN EN.CITE &lt;EndNote&gt;&lt;Cite&gt;&lt;Author&gt;Gustavsson&lt;/Author&gt;&lt;Year&gt;2011&lt;/Year&gt;&lt;RecNum&gt;5438&lt;/RecNum&gt;&lt;DisplayText&gt;(Gustavsson&lt;style face="italic"&gt; et al.&lt;/style&gt;, 2011)&lt;/DisplayText&gt;&lt;record&gt;&lt;rec-number&gt;5438&lt;/rec-number&gt;&lt;foreign-keys&gt;&lt;key app="EN" db-id="e2vzee9zparzwaexw9qxadxmr00vr5rte9p0" timestamp="1449517311"&gt;5438&lt;/key&gt;&lt;/foreign-keys&gt;&lt;ref-type name="Report"&gt;27&lt;/ref-type&gt;&lt;contributors&gt;&lt;authors&gt;&lt;author&gt;Jenny Gustavsson&lt;/author&gt;&lt;author&gt;Christel Cederberg&lt;/author&gt;&lt;author&gt;Ulf Sonesson&lt;/author&gt;&lt;author&gt;van Otterdijk, Robert &lt;/author&gt;&lt;author&gt;Alexandre Meybeck&lt;/author&gt;&lt;/authors&gt;&lt;/contributors&gt;&lt;titles&gt;&lt;title&gt;Global food losses and food waste. Extent, causes and prevention&lt;/title&gt;&lt;/titles&gt;&lt;dates&gt;&lt;year&gt;2011&lt;/year&gt;&lt;/dates&gt;&lt;pub-location&gt;Rome, Italy&lt;/pub-location&gt;&lt;publisher&gt;Food and Agricultural Organisation of the United Nations (FAO)&lt;/publisher&gt;&lt;urls&gt;&lt;/urls&gt;&lt;/record&gt;&lt;/Cite&gt;&lt;/EndNote&gt;</w:instrText>
      </w:r>
      <w:r w:rsidR="00DB4FFF">
        <w:rPr>
          <w:lang w:val="en-GB"/>
        </w:rPr>
        <w:fldChar w:fldCharType="separate"/>
      </w:r>
      <w:r w:rsidR="00DB4FFF">
        <w:rPr>
          <w:noProof/>
          <w:lang w:val="en-GB"/>
        </w:rPr>
        <w:t>(Gustavsson</w:t>
      </w:r>
      <w:r w:rsidR="00DB4FFF" w:rsidRPr="009A2FD3">
        <w:rPr>
          <w:i/>
          <w:noProof/>
          <w:lang w:val="en-GB"/>
        </w:rPr>
        <w:t xml:space="preserve"> et al.</w:t>
      </w:r>
      <w:r w:rsidR="00DB4FFF">
        <w:rPr>
          <w:noProof/>
          <w:lang w:val="en-GB"/>
        </w:rPr>
        <w:t>, 2011)</w:t>
      </w:r>
      <w:r w:rsidR="00DB4FFF">
        <w:rPr>
          <w:lang w:val="en-GB"/>
        </w:rPr>
        <w:fldChar w:fldCharType="end"/>
      </w:r>
      <w:r w:rsidR="00DB4FFF" w:rsidRPr="000D61F8">
        <w:rPr>
          <w:lang w:val="en-GB"/>
        </w:rPr>
        <w:t>. For two groups of products, a strong rel</w:t>
      </w:r>
      <w:r w:rsidR="00DB4FFF">
        <w:rPr>
          <w:lang w:val="en-GB"/>
        </w:rPr>
        <w:t>ationship to GDP was identified,</w:t>
      </w:r>
      <w:r w:rsidR="00DB4FFF" w:rsidRPr="000D61F8">
        <w:rPr>
          <w:lang w:val="en-GB"/>
        </w:rPr>
        <w:t xml:space="preserve"> </w:t>
      </w:r>
      <w:r w:rsidR="00665AF8">
        <w:rPr>
          <w:lang w:val="en-GB"/>
        </w:rPr>
        <w:t>“</w:t>
      </w:r>
      <w:r w:rsidR="00DB4FFF" w:rsidRPr="000D61F8">
        <w:rPr>
          <w:lang w:val="en-GB"/>
        </w:rPr>
        <w:t>Oilseeds</w:t>
      </w:r>
      <w:r w:rsidR="00DB4FFF">
        <w:rPr>
          <w:lang w:val="en-GB"/>
        </w:rPr>
        <w:t xml:space="preserve"> </w:t>
      </w:r>
      <w:r w:rsidR="00DB4FFF" w:rsidRPr="000D61F8">
        <w:rPr>
          <w:lang w:val="en-GB"/>
        </w:rPr>
        <w:t>&amp;</w:t>
      </w:r>
      <w:r w:rsidR="00DB4FFF">
        <w:rPr>
          <w:lang w:val="en-GB"/>
        </w:rPr>
        <w:t xml:space="preserve"> </w:t>
      </w:r>
      <w:r w:rsidR="00DB4FFF" w:rsidRPr="000D61F8">
        <w:rPr>
          <w:lang w:val="en-GB"/>
        </w:rPr>
        <w:t>Pulses</w:t>
      </w:r>
      <w:r w:rsidR="00665AF8">
        <w:rPr>
          <w:lang w:val="en-GB"/>
        </w:rPr>
        <w:t>”</w:t>
      </w:r>
      <w:r w:rsidR="00DB4FFF" w:rsidRPr="000D61F8">
        <w:rPr>
          <w:lang w:val="en-GB"/>
        </w:rPr>
        <w:t xml:space="preserve"> and </w:t>
      </w:r>
      <w:r w:rsidR="00665AF8">
        <w:rPr>
          <w:lang w:val="en-GB"/>
        </w:rPr>
        <w:t>“</w:t>
      </w:r>
      <w:r w:rsidR="00DB4FFF" w:rsidRPr="000D61F8">
        <w:rPr>
          <w:lang w:val="en-GB"/>
        </w:rPr>
        <w:t>Milk</w:t>
      </w:r>
      <w:r w:rsidR="00665AF8">
        <w:rPr>
          <w:lang w:val="en-GB"/>
        </w:rPr>
        <w:t>”</w:t>
      </w:r>
      <w:r w:rsidR="00DB4FFF">
        <w:rPr>
          <w:lang w:val="en-GB"/>
        </w:rPr>
        <w:t>, and the corresponding efficiency increases were represented accordingly.</w:t>
      </w:r>
    </w:p>
    <w:p w14:paraId="24BF027F" w14:textId="0C23ABC5" w:rsidR="003240F0" w:rsidRPr="003240F0" w:rsidRDefault="003240F0" w:rsidP="00DC1BF5">
      <w:pPr>
        <w:pStyle w:val="Heading2"/>
        <w:spacing w:line="360" w:lineRule="auto"/>
        <w:rPr>
          <w:lang w:val="en-GB"/>
        </w:rPr>
      </w:pPr>
      <w:bookmarkStart w:id="8" w:name="_Toc449104527"/>
      <w:r>
        <w:t xml:space="preserve">Supplementary text </w:t>
      </w:r>
      <w:r w:rsidR="00912CD3">
        <w:t>7</w:t>
      </w:r>
      <w:r>
        <w:t xml:space="preserve">: </w:t>
      </w:r>
      <w:r w:rsidR="00B95D56">
        <w:t>structural</w:t>
      </w:r>
      <w:r>
        <w:t xml:space="preserve"> information </w:t>
      </w:r>
      <w:r w:rsidR="00A606F2">
        <w:t>o</w:t>
      </w:r>
      <w:r>
        <w:t xml:space="preserve">n </w:t>
      </w:r>
      <w:r>
        <w:rPr>
          <w:i/>
        </w:rPr>
        <w:t xml:space="preserve">IIASA IAM </w:t>
      </w:r>
      <w:r>
        <w:t>framework</w:t>
      </w:r>
      <w:bookmarkEnd w:id="8"/>
    </w:p>
    <w:p w14:paraId="0D605A57" w14:textId="2434BB5A" w:rsidR="003240F0" w:rsidRDefault="003240F0" w:rsidP="00DC1BF5">
      <w:pPr>
        <w:spacing w:line="360" w:lineRule="auto"/>
        <w:jc w:val="both"/>
        <w:rPr>
          <w:lang w:val="en-GB"/>
        </w:rPr>
      </w:pPr>
      <w:r w:rsidRPr="004A642A">
        <w:rPr>
          <w:lang w:val="en-GB"/>
        </w:rPr>
        <w:t xml:space="preserve">Several steps in a typical SSP scenario development cycle with the </w:t>
      </w:r>
      <w:r w:rsidRPr="004A642A">
        <w:rPr>
          <w:i/>
          <w:lang w:val="en-GB"/>
        </w:rPr>
        <w:t>IIASA IAM</w:t>
      </w:r>
      <w:r w:rsidRPr="004A642A">
        <w:rPr>
          <w:lang w:val="en-GB"/>
        </w:rPr>
        <w:t xml:space="preserve"> framework rely on </w:t>
      </w:r>
      <w:r w:rsidR="001F2FF7">
        <w:rPr>
          <w:lang w:val="en-GB"/>
        </w:rPr>
        <w:t xml:space="preserve">information that is extracted from more complex modelling components and is accessed </w:t>
      </w:r>
      <w:r w:rsidRPr="004A642A">
        <w:rPr>
          <w:lang w:val="en-GB"/>
        </w:rPr>
        <w:t xml:space="preserve">by </w:t>
      </w:r>
      <w:r w:rsidRPr="004A642A">
        <w:rPr>
          <w:i/>
          <w:lang w:val="en-GB"/>
        </w:rPr>
        <w:t>MESSAGE</w:t>
      </w:r>
      <w:r w:rsidRPr="004A642A">
        <w:rPr>
          <w:lang w:val="en-GB"/>
        </w:rPr>
        <w:t xml:space="preserve"> during its optimization. This limits overall computational costs, as expensive real-time model runs are limited to an absolute minimum. Both </w:t>
      </w:r>
      <w:r w:rsidRPr="004A642A">
        <w:rPr>
          <w:i/>
          <w:lang w:val="en-GB"/>
        </w:rPr>
        <w:t xml:space="preserve">GLOBIOM </w:t>
      </w:r>
      <w:r w:rsidR="003B7AD2" w:rsidRPr="00DB5362">
        <w:rPr>
          <w:lang w:val="en-GB"/>
        </w:rPr>
        <w:t xml:space="preserve">(combined with </w:t>
      </w:r>
      <w:r w:rsidR="003B7AD2" w:rsidRPr="00DB5362">
        <w:rPr>
          <w:i/>
          <w:lang w:val="en-GB"/>
        </w:rPr>
        <w:t>G4M</w:t>
      </w:r>
      <w:r w:rsidR="003B7AD2" w:rsidRPr="00DB5362">
        <w:rPr>
          <w:lang w:val="en-GB"/>
        </w:rPr>
        <w:t xml:space="preserve">) </w:t>
      </w:r>
      <w:r w:rsidRPr="00DB5362">
        <w:rPr>
          <w:lang w:val="en-GB"/>
        </w:rPr>
        <w:t>a</w:t>
      </w:r>
      <w:r w:rsidRPr="004A642A">
        <w:rPr>
          <w:lang w:val="en-GB"/>
        </w:rPr>
        <w:t xml:space="preserve">nd </w:t>
      </w:r>
      <w:r w:rsidRPr="004A642A">
        <w:rPr>
          <w:i/>
          <w:lang w:val="en-GB"/>
        </w:rPr>
        <w:t xml:space="preserve">GAINS </w:t>
      </w:r>
      <w:r w:rsidRPr="004A642A">
        <w:rPr>
          <w:lang w:val="en-GB"/>
        </w:rPr>
        <w:t xml:space="preserve">provide such information. They are run during preparatory steps which either provide a set of options or specific parameters to </w:t>
      </w:r>
      <w:r w:rsidRPr="004A642A">
        <w:rPr>
          <w:i/>
          <w:lang w:val="en-GB"/>
        </w:rPr>
        <w:t>MESSAGE</w:t>
      </w:r>
      <w:r w:rsidRPr="000E4E3F">
        <w:rPr>
          <w:lang w:val="en-GB"/>
        </w:rPr>
        <w:t xml:space="preserve">, </w:t>
      </w:r>
      <w:r>
        <w:rPr>
          <w:lang w:val="en-GB"/>
        </w:rPr>
        <w:t xml:space="preserve">and which do not have to be repeated during each </w:t>
      </w:r>
      <w:r>
        <w:rPr>
          <w:lang w:val="en-GB"/>
        </w:rPr>
        <w:lastRenderedPageBreak/>
        <w:t>scenario development cycle</w:t>
      </w:r>
      <w:r w:rsidRPr="004A642A">
        <w:rPr>
          <w:lang w:val="en-GB"/>
        </w:rPr>
        <w:t xml:space="preserve">. For instance, </w:t>
      </w:r>
      <w:r w:rsidRPr="004A642A">
        <w:rPr>
          <w:i/>
          <w:lang w:val="en-GB"/>
        </w:rPr>
        <w:t>GLOBIOM</w:t>
      </w:r>
      <w:r w:rsidRPr="004A642A">
        <w:rPr>
          <w:lang w:val="en-GB"/>
        </w:rPr>
        <w:t xml:space="preserve"> is used to compute an extensive range of possible land-use development pathways. For each SSP, a multi-dimensional matrix is created containing the land-use implications for six different bioenergy price levels (up to 13 USD/GJ) combined with eleven different carbon price levels ranging from zero to 1000 USD per tonne of </w:t>
      </w:r>
      <w:r w:rsidRPr="004A642A">
        <w:rPr>
          <w:rFonts w:cs="Times New Roman"/>
          <w:lang w:val="en-GB"/>
        </w:rPr>
        <w:t>CO</w:t>
      </w:r>
      <w:r w:rsidRPr="004A642A">
        <w:rPr>
          <w:rFonts w:cs="Times New Roman"/>
          <w:vertAlign w:val="subscript"/>
          <w:lang w:val="en-GB"/>
        </w:rPr>
        <w:t>2</w:t>
      </w:r>
      <w:r w:rsidRPr="004A642A">
        <w:rPr>
          <w:lang w:val="en-GB"/>
        </w:rPr>
        <w:t>-equivalent emissions (tCO</w:t>
      </w:r>
      <w:r w:rsidRPr="004A642A">
        <w:rPr>
          <w:vertAlign w:val="subscript"/>
          <w:lang w:val="en-GB"/>
        </w:rPr>
        <w:t>2</w:t>
      </w:r>
      <w:r w:rsidRPr="004A642A">
        <w:rPr>
          <w:lang w:val="en-GB"/>
        </w:rPr>
        <w:t xml:space="preserve">e). The 66 resulting </w:t>
      </w:r>
      <w:r w:rsidRPr="004A642A">
        <w:rPr>
          <w:i/>
          <w:lang w:val="en-GB"/>
        </w:rPr>
        <w:t xml:space="preserve">GLOBIOM </w:t>
      </w:r>
      <w:r w:rsidRPr="004A642A">
        <w:rPr>
          <w:lang w:val="en-GB"/>
        </w:rPr>
        <w:t xml:space="preserve">pathways cover an extensive space of land-use developments </w:t>
      </w:r>
      <w:r>
        <w:rPr>
          <w:lang w:val="en-GB"/>
        </w:rPr>
        <w:t xml:space="preserve">and this for </w:t>
      </w:r>
      <w:r w:rsidRPr="004A642A">
        <w:rPr>
          <w:lang w:val="en-GB"/>
        </w:rPr>
        <w:t>each SSP. They are available offline</w:t>
      </w:r>
      <w:r w:rsidR="00A93426">
        <w:rPr>
          <w:lang w:val="en-GB"/>
        </w:rPr>
        <w:t xml:space="preserve"> and integrated in a </w:t>
      </w:r>
      <w:r w:rsidR="00A93426">
        <w:rPr>
          <w:i/>
          <w:lang w:val="en-GB"/>
        </w:rPr>
        <w:t xml:space="preserve">GLOBIOM </w:t>
      </w:r>
      <w:r w:rsidR="00A93426">
        <w:rPr>
          <w:lang w:val="en-GB"/>
        </w:rPr>
        <w:t>emul</w:t>
      </w:r>
      <w:r w:rsidR="00FC03D0">
        <w:rPr>
          <w:lang w:val="en-GB"/>
        </w:rPr>
        <w:t>a</w:t>
      </w:r>
      <w:r w:rsidR="00A93426">
        <w:rPr>
          <w:lang w:val="en-GB"/>
        </w:rPr>
        <w:t>tor</w:t>
      </w:r>
      <w:r w:rsidRPr="004A642A">
        <w:rPr>
          <w:lang w:val="en-GB"/>
        </w:rPr>
        <w:t xml:space="preserve">, and thus without </w:t>
      </w:r>
      <w:r>
        <w:rPr>
          <w:lang w:val="en-GB"/>
        </w:rPr>
        <w:t xml:space="preserve">significant </w:t>
      </w:r>
      <w:r w:rsidRPr="004A642A">
        <w:rPr>
          <w:lang w:val="en-GB"/>
        </w:rPr>
        <w:t xml:space="preserve">additional computational cost, and are integrated into the </w:t>
      </w:r>
      <w:r w:rsidRPr="004A642A">
        <w:rPr>
          <w:i/>
          <w:lang w:val="en-GB"/>
        </w:rPr>
        <w:t xml:space="preserve">MESSAGE </w:t>
      </w:r>
      <w:r w:rsidRPr="004A642A">
        <w:rPr>
          <w:lang w:val="en-GB"/>
        </w:rPr>
        <w:t xml:space="preserve">optimization iterations. During its energy-system optimization, </w:t>
      </w:r>
      <w:r w:rsidRPr="004A642A">
        <w:rPr>
          <w:i/>
          <w:lang w:val="en-GB"/>
        </w:rPr>
        <w:t>MESSAGE</w:t>
      </w:r>
      <w:r w:rsidRPr="004A642A">
        <w:rPr>
          <w:lang w:val="en-GB"/>
        </w:rPr>
        <w:t xml:space="preserve"> can hence select and combine </w:t>
      </w:r>
      <w:r w:rsidR="00535889">
        <w:rPr>
          <w:lang w:val="en-GB"/>
        </w:rPr>
        <w:t xml:space="preserve">emulated </w:t>
      </w:r>
      <w:r w:rsidRPr="004A642A">
        <w:rPr>
          <w:lang w:val="en-GB"/>
        </w:rPr>
        <w:t>land-use pathways for each of its geographical regions based on the modelled bioenergy requirements, but it can also immediately take into account estimated GHG emissions and bio-energy price</w:t>
      </w:r>
      <w:r>
        <w:rPr>
          <w:lang w:val="en-GB"/>
        </w:rPr>
        <w:t>s that result</w:t>
      </w:r>
      <w:r w:rsidRPr="004A642A">
        <w:rPr>
          <w:lang w:val="en-GB"/>
        </w:rPr>
        <w:t xml:space="preserve"> from the</w:t>
      </w:r>
      <w:r>
        <w:rPr>
          <w:lang w:val="en-GB"/>
        </w:rPr>
        <w:t>se</w:t>
      </w:r>
      <w:r w:rsidRPr="004A642A">
        <w:rPr>
          <w:lang w:val="en-GB"/>
        </w:rPr>
        <w:t xml:space="preserve"> chosen land-use pathways</w:t>
      </w:r>
      <w:r w:rsidR="00CA5B8C">
        <w:rPr>
          <w:lang w:val="en-GB"/>
        </w:rPr>
        <w:t xml:space="preserve"> (see Supplementary Figures S6 and S7)</w:t>
      </w:r>
      <w:r w:rsidRPr="004A642A">
        <w:rPr>
          <w:lang w:val="en-GB"/>
        </w:rPr>
        <w:t xml:space="preserve">. Exploration of trade-offs and possible synergies between bioenergy availability and reductions of GHG emissions from land use is therewith facilitated. A second model which is run in an offline mode is </w:t>
      </w:r>
      <w:r w:rsidRPr="004A642A">
        <w:rPr>
          <w:i/>
          <w:lang w:val="en-GB"/>
        </w:rPr>
        <w:t>GAINS</w:t>
      </w:r>
      <w:r w:rsidRPr="004A642A">
        <w:rPr>
          <w:lang w:val="en-GB"/>
        </w:rPr>
        <w:t xml:space="preserve">. </w:t>
      </w:r>
      <w:r w:rsidRPr="004A642A">
        <w:rPr>
          <w:i/>
          <w:lang w:val="en-GB"/>
        </w:rPr>
        <w:t>GAINS</w:t>
      </w:r>
      <w:r w:rsidRPr="004A642A">
        <w:rPr>
          <w:lang w:val="en-GB"/>
        </w:rPr>
        <w:t xml:space="preserve"> is used independently to produce a set of </w:t>
      </w:r>
      <w:r>
        <w:rPr>
          <w:lang w:val="en-GB"/>
        </w:rPr>
        <w:t xml:space="preserve">regional </w:t>
      </w:r>
      <w:r w:rsidRPr="004A642A">
        <w:rPr>
          <w:lang w:val="en-GB"/>
        </w:rPr>
        <w:t>air pollution coefficients</w:t>
      </w:r>
      <w:r>
        <w:rPr>
          <w:lang w:val="en-GB"/>
        </w:rPr>
        <w:t xml:space="preserve"> for different air pollution control scenarios. These regional coefficients are then aggregated </w:t>
      </w:r>
      <w:r w:rsidR="0061773F">
        <w:rPr>
          <w:lang w:val="en-GB"/>
        </w:rPr>
        <w:t xml:space="preserve">for integration </w:t>
      </w:r>
      <w:r>
        <w:rPr>
          <w:lang w:val="en-GB"/>
        </w:rPr>
        <w:t xml:space="preserve">to the technology resolution available in </w:t>
      </w:r>
      <w:r w:rsidRPr="009642E2">
        <w:rPr>
          <w:i/>
          <w:lang w:val="en-GB"/>
        </w:rPr>
        <w:t>MESSAGE</w:t>
      </w:r>
      <w:r w:rsidRPr="004A642A">
        <w:rPr>
          <w:lang w:val="en-GB"/>
        </w:rPr>
        <w:t>.</w:t>
      </w:r>
      <w:r>
        <w:rPr>
          <w:lang w:val="en-GB"/>
        </w:rPr>
        <w:t xml:space="preserve"> </w:t>
      </w:r>
      <w:r w:rsidRPr="006C28DF">
        <w:rPr>
          <w:lang w:val="en-GB"/>
        </w:rPr>
        <w:t>O</w:t>
      </w:r>
      <w:r w:rsidRPr="004A642A">
        <w:rPr>
          <w:lang w:val="en-GB"/>
        </w:rPr>
        <w:t xml:space="preserve">nce computed with </w:t>
      </w:r>
      <w:r w:rsidRPr="004A642A">
        <w:rPr>
          <w:i/>
          <w:lang w:val="en-GB"/>
        </w:rPr>
        <w:t>GAINS</w:t>
      </w:r>
      <w:r w:rsidRPr="004A642A">
        <w:rPr>
          <w:lang w:val="en-GB"/>
        </w:rPr>
        <w:t xml:space="preserve">, the provided air pollution coefficients are integrated in </w:t>
      </w:r>
      <w:r w:rsidRPr="004A642A">
        <w:rPr>
          <w:i/>
          <w:lang w:val="en-GB"/>
        </w:rPr>
        <w:t>MESSAGE</w:t>
      </w:r>
      <w:r w:rsidRPr="004A642A">
        <w:rPr>
          <w:lang w:val="en-GB"/>
        </w:rPr>
        <w:t xml:space="preserve">, and </w:t>
      </w:r>
      <w:r w:rsidRPr="004A642A">
        <w:rPr>
          <w:i/>
          <w:lang w:val="en-GB"/>
        </w:rPr>
        <w:t>GAINS</w:t>
      </w:r>
      <w:r w:rsidRPr="004A642A">
        <w:rPr>
          <w:lang w:val="en-GB"/>
        </w:rPr>
        <w:t xml:space="preserve"> is not further used in an online mode.</w:t>
      </w:r>
    </w:p>
    <w:p w14:paraId="5093E52F" w14:textId="0555B2C9" w:rsidR="00B91C68" w:rsidRPr="003240F0" w:rsidRDefault="00B91C68" w:rsidP="00DC1BF5">
      <w:pPr>
        <w:pStyle w:val="Heading2"/>
        <w:spacing w:line="360" w:lineRule="auto"/>
        <w:rPr>
          <w:lang w:val="en-GB"/>
        </w:rPr>
      </w:pPr>
      <w:bookmarkStart w:id="9" w:name="_Toc449104528"/>
      <w:r>
        <w:t xml:space="preserve">Supplementary text </w:t>
      </w:r>
      <w:r w:rsidR="00912CD3">
        <w:t>8</w:t>
      </w:r>
      <w:r>
        <w:t>: livestock consumption background</w:t>
      </w:r>
      <w:bookmarkEnd w:id="9"/>
    </w:p>
    <w:p w14:paraId="2EB22DEF" w14:textId="1EF1D773" w:rsidR="00B91C68" w:rsidRDefault="00B91C68" w:rsidP="00DC1BF5">
      <w:pPr>
        <w:spacing w:line="360" w:lineRule="auto"/>
        <w:jc w:val="both"/>
        <w:rPr>
          <w:lang w:val="en-GB"/>
        </w:rPr>
      </w:pPr>
      <w:r>
        <w:rPr>
          <w:lang w:val="en-GB"/>
        </w:rPr>
        <w:t xml:space="preserve">In 2010, </w:t>
      </w:r>
      <w:r w:rsidR="00976939">
        <w:rPr>
          <w:lang w:val="en-GB"/>
        </w:rPr>
        <w:t>82</w:t>
      </w:r>
      <w:r>
        <w:rPr>
          <w:lang w:val="en-GB"/>
        </w:rPr>
        <w:t xml:space="preserve">% of all human consumption of crop products occurred in the South, where also 80% of global population lived. However, the South only accounted for </w:t>
      </w:r>
      <w:r w:rsidR="00976939">
        <w:rPr>
          <w:lang w:val="en-GB"/>
        </w:rPr>
        <w:t>55</w:t>
      </w:r>
      <w:r>
        <w:rPr>
          <w:lang w:val="en-GB"/>
        </w:rPr>
        <w:t>% of the livestock products, because livestock products are a luxury good related to higher incomes. Therefore livestock product demand is also more dynamic than demand for crop products</w:t>
      </w:r>
      <w:r w:rsidR="0043302D">
        <w:rPr>
          <w:lang w:val="en-GB"/>
        </w:rPr>
        <w:t>. For example,</w:t>
      </w:r>
      <w:r>
        <w:rPr>
          <w:lang w:val="en-GB"/>
        </w:rPr>
        <w:t xml:space="preserve"> by 2050, </w:t>
      </w:r>
      <w:r w:rsidR="0043302D">
        <w:rPr>
          <w:lang w:val="en-GB"/>
        </w:rPr>
        <w:t xml:space="preserve">it increases </w:t>
      </w:r>
      <w:r w:rsidR="00976939">
        <w:rPr>
          <w:lang w:val="en-GB"/>
        </w:rPr>
        <w:t>67</w:t>
      </w:r>
      <w:r w:rsidR="0043302D">
        <w:rPr>
          <w:lang w:val="en-GB"/>
        </w:rPr>
        <w:t>%</w:t>
      </w:r>
      <w:r>
        <w:rPr>
          <w:lang w:val="en-GB"/>
        </w:rPr>
        <w:t xml:space="preserve"> and it continues to grow </w:t>
      </w:r>
      <w:r w:rsidR="0043302D">
        <w:rPr>
          <w:lang w:val="en-GB"/>
        </w:rPr>
        <w:t xml:space="preserve">steadily </w:t>
      </w:r>
      <w:r>
        <w:rPr>
          <w:lang w:val="en-GB"/>
        </w:rPr>
        <w:t>until the end of the century</w:t>
      </w:r>
      <w:r w:rsidR="0043302D">
        <w:rPr>
          <w:lang w:val="en-GB"/>
        </w:rPr>
        <w:t xml:space="preserve">. In </w:t>
      </w:r>
      <w:r>
        <w:rPr>
          <w:lang w:val="en-GB"/>
        </w:rPr>
        <w:t xml:space="preserve">2100 </w:t>
      </w:r>
      <w:r w:rsidR="0043302D">
        <w:rPr>
          <w:lang w:val="en-GB"/>
        </w:rPr>
        <w:t xml:space="preserve">it is estimated to be </w:t>
      </w:r>
      <w:r>
        <w:rPr>
          <w:lang w:val="en-GB"/>
        </w:rPr>
        <w:t xml:space="preserve">94% higher than in 2010. The dynamics come again predominantly from the South, where the livestock product consumption increases by 137% compared to </w:t>
      </w:r>
      <w:r w:rsidR="00976939">
        <w:rPr>
          <w:lang w:val="en-GB"/>
        </w:rPr>
        <w:t>36</w:t>
      </w:r>
      <w:r>
        <w:rPr>
          <w:lang w:val="en-GB"/>
        </w:rPr>
        <w:t>% in the North.</w:t>
      </w:r>
      <w:r w:rsidR="00D72444">
        <w:rPr>
          <w:lang w:val="en-GB"/>
        </w:rPr>
        <w:t xml:space="preserve"> The increase in livestock production globally corresponds to the increase in the livestock product demand for human consumption since no other uses are considered in our framework.</w:t>
      </w:r>
    </w:p>
    <w:p w14:paraId="3A0214DD" w14:textId="3EE32813" w:rsidR="00AB67AD" w:rsidRPr="003240F0" w:rsidRDefault="00AB67AD" w:rsidP="00DC1BF5">
      <w:pPr>
        <w:pStyle w:val="Heading2"/>
        <w:spacing w:line="360" w:lineRule="auto"/>
        <w:rPr>
          <w:lang w:val="en-GB"/>
        </w:rPr>
      </w:pPr>
      <w:bookmarkStart w:id="10" w:name="_Toc449104529"/>
      <w:r>
        <w:t xml:space="preserve">Supplementary text </w:t>
      </w:r>
      <w:r w:rsidR="00912CD3">
        <w:t>9</w:t>
      </w:r>
      <w:r>
        <w:t>: biomass sources</w:t>
      </w:r>
      <w:bookmarkEnd w:id="10"/>
    </w:p>
    <w:p w14:paraId="245B14A4" w14:textId="06ABDABD" w:rsidR="00AB67AD" w:rsidRDefault="00AB67AD" w:rsidP="00DC1BF5">
      <w:pPr>
        <w:spacing w:line="360" w:lineRule="auto"/>
        <w:jc w:val="both"/>
        <w:rPr>
          <w:lang w:val="en-GB"/>
        </w:rPr>
      </w:pPr>
      <w:r>
        <w:rPr>
          <w:lang w:val="en-GB"/>
        </w:rPr>
        <w:t xml:space="preserve">Two sources of biomass are considered – </w:t>
      </w:r>
      <w:r w:rsidR="009C6B1B">
        <w:rPr>
          <w:lang w:val="en-GB"/>
        </w:rPr>
        <w:t>biomass, including processing by-products,</w:t>
      </w:r>
      <w:r>
        <w:rPr>
          <w:lang w:val="en-GB"/>
        </w:rPr>
        <w:t xml:space="preserve"> from traditional forests and biomass from </w:t>
      </w:r>
      <w:r w:rsidR="009C6B1B">
        <w:rPr>
          <w:lang w:val="en-GB"/>
        </w:rPr>
        <w:t xml:space="preserve">dedicated </w:t>
      </w:r>
      <w:r>
        <w:rPr>
          <w:lang w:val="en-GB"/>
        </w:rPr>
        <w:t xml:space="preserve">short rotation tree plantations. Industrial round wood demand is assumed to be satisfied only from the forest biomass. Energy wood demand can be satisfied both from forests, including from forest industry residues and short rotation plantations. Global aggregate </w:t>
      </w:r>
      <w:r>
        <w:rPr>
          <w:lang w:val="en-GB"/>
        </w:rPr>
        <w:lastRenderedPageBreak/>
        <w:t xml:space="preserve">supply </w:t>
      </w:r>
      <w:r w:rsidR="009C6B1B">
        <w:rPr>
          <w:lang w:val="en-GB"/>
        </w:rPr>
        <w:t xml:space="preserve">of total biomass </w:t>
      </w:r>
      <w:r>
        <w:rPr>
          <w:lang w:val="en-GB"/>
        </w:rPr>
        <w:t xml:space="preserve">from both </w:t>
      </w:r>
      <w:r w:rsidR="009C6B1B">
        <w:rPr>
          <w:lang w:val="en-GB"/>
        </w:rPr>
        <w:t>forests and plantations</w:t>
      </w:r>
      <w:r>
        <w:rPr>
          <w:lang w:val="en-GB"/>
        </w:rPr>
        <w:t xml:space="preserve"> increases by </w:t>
      </w:r>
      <w:r w:rsidR="00143E7A">
        <w:rPr>
          <w:lang w:val="en-GB"/>
        </w:rPr>
        <w:t>119</w:t>
      </w:r>
      <w:r>
        <w:rPr>
          <w:lang w:val="en-GB"/>
        </w:rPr>
        <w:t>% by 2050 and by an additional 49% by 2100 in SSP2. Biomass from traditional forests represents 34% of the supply in 2100 while biomass for energy production from short rotation plantations takes up the remainder. This is almost exactly the opposite of the situation in 2050, mostly because of the transition from traditional biomass use to modern bioenergy in the second half of the 21</w:t>
      </w:r>
      <w:r w:rsidRPr="00475878">
        <w:rPr>
          <w:vertAlign w:val="superscript"/>
          <w:lang w:val="en-GB"/>
        </w:rPr>
        <w:t>st</w:t>
      </w:r>
      <w:r>
        <w:rPr>
          <w:lang w:val="en-GB"/>
        </w:rPr>
        <w:t xml:space="preserve"> century. </w:t>
      </w:r>
    </w:p>
    <w:p w14:paraId="63420C50" w14:textId="23B506C6" w:rsidR="00AE7793" w:rsidRPr="003240F0" w:rsidRDefault="00AE7793" w:rsidP="00DC1BF5">
      <w:pPr>
        <w:pStyle w:val="Heading2"/>
        <w:spacing w:line="360" w:lineRule="auto"/>
        <w:rPr>
          <w:lang w:val="en-GB"/>
        </w:rPr>
      </w:pPr>
      <w:bookmarkStart w:id="11" w:name="_Toc449104530"/>
      <w:r>
        <w:t xml:space="preserve">Supplementary text </w:t>
      </w:r>
      <w:r w:rsidR="00912CD3">
        <w:t>10</w:t>
      </w:r>
      <w:r>
        <w:t xml:space="preserve">: </w:t>
      </w:r>
      <w:r w:rsidR="000C3C65">
        <w:t xml:space="preserve">livestock </w:t>
      </w:r>
      <w:r>
        <w:t>improvements</w:t>
      </w:r>
      <w:bookmarkEnd w:id="11"/>
    </w:p>
    <w:p w14:paraId="7039CA11" w14:textId="55995D8D" w:rsidR="00AE7793" w:rsidRDefault="00AE7793" w:rsidP="00DC1BF5">
      <w:pPr>
        <w:spacing w:line="360" w:lineRule="auto"/>
        <w:jc w:val="both"/>
        <w:rPr>
          <w:lang w:val="en-GB"/>
        </w:rPr>
      </w:pPr>
      <w:r>
        <w:rPr>
          <w:lang w:val="en-GB"/>
        </w:rPr>
        <w:t xml:space="preserve">Livestock production is projected to almost double in SSP2 while utilized grassland area is projected to expand by </w:t>
      </w:r>
      <w:r w:rsidR="009C6B1B">
        <w:rPr>
          <w:lang w:val="en-GB"/>
        </w:rPr>
        <w:t>17</w:t>
      </w:r>
      <w:r>
        <w:rPr>
          <w:lang w:val="en-GB"/>
        </w:rPr>
        <w:t>% only. This is first of all the result of the assumed feed conversion efficiency improvements, in particular in the ruminant meat sector, where they increase by 40%. Another reason is the ruminant production expansion in regions with more productive grasslands; while the overall ruminant numbers increase by 39%, they increase by 16% only in the most extensive grazing systems in arid zones, while they more than double in the grazing systems in humid zones and in temperate zones and highlands, and they increase by more than 70% also in the semi-intensive systems supplemented by concentrate feed in the humid zones.</w:t>
      </w:r>
    </w:p>
    <w:p w14:paraId="20786929" w14:textId="24CE6B45" w:rsidR="00A36572" w:rsidRPr="003240F0" w:rsidRDefault="00A36572" w:rsidP="00DC1BF5">
      <w:pPr>
        <w:pStyle w:val="Heading2"/>
        <w:spacing w:line="360" w:lineRule="auto"/>
        <w:rPr>
          <w:lang w:val="en-GB"/>
        </w:rPr>
      </w:pPr>
      <w:bookmarkStart w:id="12" w:name="_Toc449104531"/>
      <w:r>
        <w:t xml:space="preserve">Supplementary text </w:t>
      </w:r>
      <w:r w:rsidR="009B4691">
        <w:t>1</w:t>
      </w:r>
      <w:r w:rsidR="00912CD3">
        <w:t>1</w:t>
      </w:r>
      <w:r>
        <w:t xml:space="preserve">: </w:t>
      </w:r>
      <w:r w:rsidR="000C3C65">
        <w:t>f</w:t>
      </w:r>
      <w:r>
        <w:t>orests and plantations</w:t>
      </w:r>
      <w:r w:rsidR="00B01B82">
        <w:t xml:space="preserve"> developments</w:t>
      </w:r>
      <w:bookmarkEnd w:id="12"/>
    </w:p>
    <w:p w14:paraId="3035DB56" w14:textId="386E74D3" w:rsidR="000A078F" w:rsidRDefault="00A36572" w:rsidP="00DC1BF5">
      <w:pPr>
        <w:spacing w:line="360" w:lineRule="auto"/>
        <w:jc w:val="both"/>
        <w:rPr>
          <w:lang w:val="en-GB"/>
        </w:rPr>
      </w:pPr>
      <w:r>
        <w:rPr>
          <w:lang w:val="en-GB"/>
        </w:rPr>
        <w:t>Industrial round wood production and biomass use for energy will impact the level of forest management and the area of short rotation plantations. In SSP2, the total forest area at the end of the century recovers to its initial level</w:t>
      </w:r>
      <w:r w:rsidRPr="000146D1">
        <w:rPr>
          <w:lang w:val="en-GB"/>
        </w:rPr>
        <w:t xml:space="preserve"> </w:t>
      </w:r>
      <w:r>
        <w:rPr>
          <w:lang w:val="en-GB"/>
        </w:rPr>
        <w:t xml:space="preserve">after a slow decline in the early decades. However, the share of the area of the forest used for forestry would increase from </w:t>
      </w:r>
      <w:r w:rsidR="00135776">
        <w:rPr>
          <w:lang w:val="en-GB"/>
        </w:rPr>
        <w:t>20</w:t>
      </w:r>
      <w:r>
        <w:rPr>
          <w:lang w:val="en-GB"/>
        </w:rPr>
        <w:t xml:space="preserve">% in 2010 to </w:t>
      </w:r>
      <w:r w:rsidR="00135776">
        <w:rPr>
          <w:lang w:val="en-GB"/>
        </w:rPr>
        <w:t>26</w:t>
      </w:r>
      <w:r>
        <w:rPr>
          <w:lang w:val="en-GB"/>
        </w:rPr>
        <w:t xml:space="preserve">% in 2100. Over the same period, short rotation plantations are projected to quadruple, from 51 million hectares to 205 million hectares. The total forest area is projected to be overall very similar across SSPs: </w:t>
      </w:r>
      <w:r w:rsidR="008D1262">
        <w:rPr>
          <w:lang w:val="en-GB"/>
        </w:rPr>
        <w:t>3</w:t>
      </w:r>
      <w:r>
        <w:rPr>
          <w:lang w:val="en-GB"/>
        </w:rPr>
        <w:t xml:space="preserve">% higher in SSP1 and 6% lower in SSP3 compared to SSP2. At the same time also the area of other natural land, which in SSP2 decreases by </w:t>
      </w:r>
      <w:r w:rsidR="004A4FAF">
        <w:rPr>
          <w:lang w:val="en-GB"/>
        </w:rPr>
        <w:t>16</w:t>
      </w:r>
      <w:r>
        <w:rPr>
          <w:lang w:val="en-GB"/>
        </w:rPr>
        <w:t>% by the end of the century, would be similarly low in SSP3</w:t>
      </w:r>
      <w:r w:rsidR="004A4FAF">
        <w:rPr>
          <w:lang w:val="en-GB"/>
        </w:rPr>
        <w:t xml:space="preserve"> (decreases by 13%)</w:t>
      </w:r>
      <w:r>
        <w:rPr>
          <w:lang w:val="en-GB"/>
        </w:rPr>
        <w:t>, while it would reach the early-century values after a small decline in SSP1.</w:t>
      </w:r>
      <w:r w:rsidR="000A078F">
        <w:rPr>
          <w:lang w:val="en-GB"/>
        </w:rPr>
        <w:br w:type="page"/>
      </w:r>
    </w:p>
    <w:p w14:paraId="23340C71" w14:textId="1E8D3E15" w:rsidR="007B456A" w:rsidRDefault="007B456A" w:rsidP="007B456A">
      <w:pPr>
        <w:pStyle w:val="Heading1"/>
      </w:pPr>
      <w:bookmarkStart w:id="13" w:name="_Toc449104532"/>
      <w:r>
        <w:lastRenderedPageBreak/>
        <w:t>Supplementary boxes</w:t>
      </w:r>
      <w:bookmarkEnd w:id="13"/>
    </w:p>
    <w:p w14:paraId="1ECE051F" w14:textId="3F6F0E6E" w:rsidR="007B456A" w:rsidRDefault="007B456A" w:rsidP="007B456A">
      <w:pPr>
        <w:pStyle w:val="Heading2"/>
        <w:spacing w:line="276" w:lineRule="auto"/>
      </w:pPr>
      <w:bookmarkStart w:id="14" w:name="_Toc449104533"/>
      <w:r>
        <w:t>Supplementary box 1: SSP1 Narrative</w:t>
      </w:r>
      <w:bookmarkEnd w:id="14"/>
    </w:p>
    <w:tbl>
      <w:tblPr>
        <w:tblStyle w:val="TableGrid"/>
        <w:tblW w:w="0" w:type="auto"/>
        <w:tblLook w:val="04A0" w:firstRow="1" w:lastRow="0" w:firstColumn="1" w:lastColumn="0" w:noHBand="0" w:noVBand="1"/>
      </w:tblPr>
      <w:tblGrid>
        <w:gridCol w:w="9209"/>
      </w:tblGrid>
      <w:tr w:rsidR="007B456A" w:rsidRPr="004A642A" w14:paraId="5661DE2C" w14:textId="77777777" w:rsidTr="00BD3F58">
        <w:tc>
          <w:tcPr>
            <w:tcW w:w="9209" w:type="dxa"/>
            <w:tcBorders>
              <w:bottom w:val="nil"/>
            </w:tcBorders>
            <w:shd w:val="clear" w:color="auto" w:fill="E7E6E6" w:themeFill="background2"/>
          </w:tcPr>
          <w:p w14:paraId="7291D84C" w14:textId="31606ED6" w:rsidR="007B456A" w:rsidRPr="004A642A" w:rsidRDefault="007B456A" w:rsidP="00BD3F58">
            <w:pPr>
              <w:ind w:left="360"/>
              <w:rPr>
                <w:rFonts w:ascii="Arial" w:eastAsia="Times New Roman" w:hAnsi="Arial" w:cs="Arial"/>
                <w:b/>
                <w:sz w:val="20"/>
                <w:szCs w:val="20"/>
                <w:lang w:val="en-GB" w:eastAsia="de-CH"/>
              </w:rPr>
            </w:pPr>
            <w:r w:rsidRPr="004A642A">
              <w:rPr>
                <w:rFonts w:ascii="Arial" w:eastAsia="Times New Roman" w:hAnsi="Arial" w:cs="Arial"/>
                <w:b/>
                <w:sz w:val="20"/>
                <w:szCs w:val="20"/>
                <w:lang w:val="en-GB" w:eastAsia="de-CH"/>
              </w:rPr>
              <w:br/>
            </w:r>
            <w:r>
              <w:rPr>
                <w:rFonts w:ascii="Arial" w:eastAsia="Times New Roman" w:hAnsi="Arial" w:cs="Arial"/>
                <w:b/>
                <w:sz w:val="20"/>
                <w:szCs w:val="20"/>
                <w:lang w:val="en-GB" w:eastAsia="de-CH"/>
              </w:rPr>
              <w:t xml:space="preserve">Supplementary </w:t>
            </w:r>
            <w:r w:rsidRPr="004A642A">
              <w:rPr>
                <w:rFonts w:ascii="Arial" w:eastAsia="Times New Roman" w:hAnsi="Arial" w:cs="Arial"/>
                <w:b/>
                <w:sz w:val="20"/>
                <w:szCs w:val="20"/>
                <w:lang w:val="en-GB" w:eastAsia="de-CH"/>
              </w:rPr>
              <w:t>B</w:t>
            </w:r>
            <w:r>
              <w:rPr>
                <w:rFonts w:ascii="Arial" w:eastAsia="Times New Roman" w:hAnsi="Arial" w:cs="Arial"/>
                <w:b/>
                <w:sz w:val="20"/>
                <w:szCs w:val="20"/>
                <w:lang w:val="en-GB" w:eastAsia="de-CH"/>
              </w:rPr>
              <w:t>ox</w:t>
            </w:r>
            <w:r w:rsidRPr="004A642A">
              <w:rPr>
                <w:rFonts w:ascii="Arial" w:eastAsia="Times New Roman" w:hAnsi="Arial" w:cs="Arial"/>
                <w:b/>
                <w:sz w:val="20"/>
                <w:szCs w:val="20"/>
                <w:lang w:val="en-GB" w:eastAsia="de-CH"/>
              </w:rPr>
              <w:t xml:space="preserve"> 1 – SSP</w:t>
            </w:r>
            <w:r>
              <w:rPr>
                <w:rFonts w:ascii="Arial" w:eastAsia="Times New Roman" w:hAnsi="Arial" w:cs="Arial"/>
                <w:b/>
                <w:sz w:val="20"/>
                <w:szCs w:val="20"/>
                <w:lang w:val="en-GB" w:eastAsia="de-CH"/>
              </w:rPr>
              <w:t>1 Narrative</w:t>
            </w:r>
            <w:r w:rsidRPr="004A642A">
              <w:rPr>
                <w:rFonts w:ascii="Arial" w:eastAsia="Times New Roman" w:hAnsi="Arial" w:cs="Arial"/>
                <w:b/>
                <w:sz w:val="20"/>
                <w:szCs w:val="20"/>
                <w:lang w:val="en-GB" w:eastAsia="de-CH"/>
              </w:rPr>
              <w:t xml:space="preserve">: </w:t>
            </w:r>
            <w:r w:rsidRPr="007B456A">
              <w:rPr>
                <w:rFonts w:ascii="Arial" w:eastAsia="Times New Roman" w:hAnsi="Arial" w:cs="Arial"/>
                <w:b/>
                <w:sz w:val="20"/>
                <w:szCs w:val="20"/>
                <w:lang w:val="en-GB" w:eastAsia="de-CH"/>
              </w:rPr>
              <w:t>Sustainability—Taking the green road</w:t>
            </w:r>
            <w:r w:rsidRPr="004A642A">
              <w:rPr>
                <w:rFonts w:ascii="Arial" w:eastAsia="Times New Roman" w:hAnsi="Arial" w:cs="Arial"/>
                <w:b/>
                <w:sz w:val="20"/>
                <w:szCs w:val="20"/>
                <w:lang w:val="en-GB" w:eastAsia="de-CH"/>
              </w:rPr>
              <w:t xml:space="preserve"> </w:t>
            </w:r>
          </w:p>
          <w:p w14:paraId="6023BEF6" w14:textId="77777777" w:rsidR="007B456A" w:rsidRPr="004A642A" w:rsidRDefault="007B456A" w:rsidP="00BD3F58">
            <w:pPr>
              <w:keepNext/>
              <w:ind w:left="360" w:right="316"/>
              <w:jc w:val="both"/>
              <w:rPr>
                <w:sz w:val="20"/>
                <w:szCs w:val="20"/>
                <w:lang w:val="en-GB"/>
              </w:rPr>
            </w:pPr>
          </w:p>
        </w:tc>
      </w:tr>
      <w:tr w:rsidR="007B456A" w:rsidRPr="004A642A" w14:paraId="7BC02ED9" w14:textId="77777777" w:rsidTr="00BD3F58">
        <w:tc>
          <w:tcPr>
            <w:tcW w:w="9209" w:type="dxa"/>
            <w:tcBorders>
              <w:top w:val="nil"/>
            </w:tcBorders>
          </w:tcPr>
          <w:p w14:paraId="03953307" w14:textId="29B68BAB" w:rsidR="007B456A" w:rsidRPr="004A642A" w:rsidRDefault="007B456A" w:rsidP="007B456A">
            <w:pPr>
              <w:ind w:left="360" w:right="317"/>
              <w:jc w:val="both"/>
              <w:rPr>
                <w:i/>
                <w:lang w:val="en-GB"/>
              </w:rPr>
            </w:pPr>
            <w:r w:rsidRPr="004A642A">
              <w:rPr>
                <w:i/>
                <w:lang w:val="en-GB"/>
              </w:rPr>
              <w:br/>
              <w:t>“</w:t>
            </w:r>
            <w:r w:rsidRPr="007B456A">
              <w:rPr>
                <w:i/>
                <w:lang w:val="en-GB"/>
              </w:rPr>
              <w:t>The world shifts gradually, but pervasively, toward a more sustainable path, emphasizing more inclusive development that respects perceived environmental boundaries. Increasing evidence of and accounting for the social, cultural, and economic costs of environmental degradation and inequality drive this shift. Management of the global commons slowly improves, facilitated by increasingly effective and persistent cooperation and collaboration of local, national, and international organizations and institutions, the private sector, and civil society. Educational and health investments accelerate the demographic transition, leading to a relatively low population. Beginning with current high-income countries, the emphasis on economic growth shifts toward a broader emphasis on human well-being, even at the expense of somewhat slower economic growth over the longer term. Driven by an increasing commitment to achieving development goals, inequality is reduced both across and within countries. Investment in environmental technology and changes in tax structures lead to improved resource efficiency, reducing overall energy and resource use and improving environmental conditions over the longer term. Increased investment, financial incentives and changing perceptions make renewable energy more attractive. Consumption is oriented toward low material growth and lower resource and energy intensity. The combination of directed development of environmentally friendly technologies, a favorable outlook for renewable energy, institutions that can facilitate international cooperation, and relatively low energy demand results in relatively low challenges to mitigation. At the same time, the improvements in human well-being, along with strong and flexible global, regional, and national institutions imply low challenges to adaptation.</w:t>
            </w:r>
            <w:r w:rsidRPr="004A642A">
              <w:rPr>
                <w:i/>
                <w:lang w:val="en-GB"/>
              </w:rPr>
              <w:t>”</w:t>
            </w:r>
            <w:r w:rsidRPr="004A642A">
              <w:rPr>
                <w:i/>
                <w:lang w:val="en-GB"/>
              </w:rPr>
              <w:fldChar w:fldCharType="begin"/>
            </w:r>
            <w:r w:rsidRPr="004A642A">
              <w:rPr>
                <w:i/>
                <w:lang w:val="en-GB"/>
              </w:rPr>
              <w:instrText xml:space="preserve"> ADDIN EN.CITE &lt;EndNote&gt;&lt;Cite&gt;&lt;Author&gt;O’Neill&lt;/Author&gt;&lt;Year&gt;2015&lt;/Year&gt;&lt;RecNum&gt;5370&lt;/RecNum&gt;&lt;DisplayText&gt;(O’Neill&lt;style face="italic"&gt; et al.&lt;/style&gt;, 2015)&lt;/DisplayText&gt;&lt;record&gt;&lt;rec-number&gt;5370&lt;/rec-number&gt;&lt;foreign-keys&gt;&lt;key app="EN" db-id="e2vzee9zparzwaexw9qxadxmr00vr5rte9p0" timestamp="1447845734"&gt;5370&lt;/key&gt;&lt;/foreign-keys&gt;&lt;ref-type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Kasper&lt;/author&gt;&lt;author&gt;Levy, Marc&lt;/author&gt;&lt;author&gt;Solecki, William&lt;/author&gt;&lt;/authors&gt;&lt;/contributors&gt;&lt;titles&gt;&lt;title&gt;The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Change&lt;/full-title&gt;&lt;/periodical&gt;&lt;keywords&gt;&lt;keyword&gt;Scenarios&lt;/keyword&gt;&lt;keyword&gt;Climate change&lt;/keyword&gt;&lt;keyword&gt;Mitigation&lt;/keyword&gt;&lt;keyword&gt;Adaptation&lt;/keyword&gt;&lt;keyword&gt;Narratives&lt;/keyword&gt;&lt;keyword&gt;Shared socioeconomic pathways&lt;/keyword&gt;&lt;/keywords&gt;&lt;dates&gt;&lt;year&gt;2015&lt;/year&gt;&lt;/dates&gt;&lt;isbn&gt;0959-3780&lt;/isbn&gt;&lt;urls&gt;&lt;related-urls&gt;&lt;url&gt;http://www.sciencedirect.com/science/article/pii/S0959378015000060&lt;/url&gt;&lt;/related-urls&gt;&lt;/urls&gt;&lt;electronic-resource-num&gt;http://dx.doi.org/10.1016/j.gloenvcha.2015.01.004&lt;/electronic-resource-num&gt;&lt;/record&gt;&lt;/Cite&gt;&lt;/EndNote&gt;</w:instrText>
            </w:r>
            <w:r w:rsidRPr="004A642A">
              <w:rPr>
                <w:i/>
                <w:lang w:val="en-GB"/>
              </w:rPr>
              <w:fldChar w:fldCharType="separate"/>
            </w:r>
            <w:r w:rsidRPr="004A642A">
              <w:rPr>
                <w:i/>
                <w:noProof/>
                <w:lang w:val="en-GB"/>
              </w:rPr>
              <w:t>(O’Neill et al., 2015)</w:t>
            </w:r>
            <w:r w:rsidRPr="004A642A">
              <w:rPr>
                <w:i/>
                <w:lang w:val="en-GB"/>
              </w:rPr>
              <w:fldChar w:fldCharType="end"/>
            </w:r>
          </w:p>
          <w:p w14:paraId="0DD33C62" w14:textId="77777777" w:rsidR="007B456A" w:rsidRPr="004A642A" w:rsidRDefault="007B456A" w:rsidP="00BD3F58">
            <w:pPr>
              <w:ind w:left="360"/>
              <w:rPr>
                <w:rFonts w:ascii="Arial" w:eastAsia="Times New Roman" w:hAnsi="Arial" w:cs="Arial"/>
                <w:b/>
                <w:i/>
                <w:sz w:val="20"/>
                <w:szCs w:val="20"/>
                <w:lang w:val="en-GB" w:eastAsia="de-CH"/>
              </w:rPr>
            </w:pPr>
          </w:p>
        </w:tc>
      </w:tr>
    </w:tbl>
    <w:p w14:paraId="085C17DE" w14:textId="77777777" w:rsidR="00257C15" w:rsidRDefault="00257C15">
      <w:pPr>
        <w:spacing w:line="259" w:lineRule="auto"/>
      </w:pPr>
      <w:r>
        <w:br w:type="page"/>
      </w:r>
    </w:p>
    <w:p w14:paraId="500C6255" w14:textId="3F9CF787" w:rsidR="00257C15" w:rsidRDefault="00257C15" w:rsidP="00257C15">
      <w:pPr>
        <w:pStyle w:val="Heading2"/>
        <w:spacing w:line="276" w:lineRule="auto"/>
      </w:pPr>
      <w:bookmarkStart w:id="15" w:name="_Toc449104534"/>
      <w:r>
        <w:lastRenderedPageBreak/>
        <w:t>Supplementary box 2: SSP3 Narrative</w:t>
      </w:r>
      <w:bookmarkEnd w:id="15"/>
    </w:p>
    <w:tbl>
      <w:tblPr>
        <w:tblStyle w:val="TableGrid"/>
        <w:tblW w:w="0" w:type="auto"/>
        <w:tblLook w:val="04A0" w:firstRow="1" w:lastRow="0" w:firstColumn="1" w:lastColumn="0" w:noHBand="0" w:noVBand="1"/>
      </w:tblPr>
      <w:tblGrid>
        <w:gridCol w:w="9209"/>
      </w:tblGrid>
      <w:tr w:rsidR="00257C15" w:rsidRPr="004A642A" w14:paraId="283F7463" w14:textId="77777777" w:rsidTr="00BD3F58">
        <w:tc>
          <w:tcPr>
            <w:tcW w:w="9209" w:type="dxa"/>
            <w:tcBorders>
              <w:bottom w:val="nil"/>
            </w:tcBorders>
            <w:shd w:val="clear" w:color="auto" w:fill="E7E6E6" w:themeFill="background2"/>
          </w:tcPr>
          <w:p w14:paraId="06254A0C" w14:textId="0310B9F8" w:rsidR="00257C15" w:rsidRPr="004A642A" w:rsidRDefault="00257C15" w:rsidP="00BD3F58">
            <w:pPr>
              <w:ind w:left="360"/>
              <w:rPr>
                <w:rFonts w:ascii="Arial" w:eastAsia="Times New Roman" w:hAnsi="Arial" w:cs="Arial"/>
                <w:b/>
                <w:sz w:val="20"/>
                <w:szCs w:val="20"/>
                <w:lang w:val="en-GB" w:eastAsia="de-CH"/>
              </w:rPr>
            </w:pPr>
            <w:r w:rsidRPr="004A642A">
              <w:rPr>
                <w:rFonts w:ascii="Arial" w:eastAsia="Times New Roman" w:hAnsi="Arial" w:cs="Arial"/>
                <w:b/>
                <w:sz w:val="20"/>
                <w:szCs w:val="20"/>
                <w:lang w:val="en-GB" w:eastAsia="de-CH"/>
              </w:rPr>
              <w:br/>
            </w:r>
            <w:r>
              <w:rPr>
                <w:rFonts w:ascii="Arial" w:eastAsia="Times New Roman" w:hAnsi="Arial" w:cs="Arial"/>
                <w:b/>
                <w:sz w:val="20"/>
                <w:szCs w:val="20"/>
                <w:lang w:val="en-GB" w:eastAsia="de-CH"/>
              </w:rPr>
              <w:t xml:space="preserve">Supplementary </w:t>
            </w:r>
            <w:r w:rsidRPr="004A642A">
              <w:rPr>
                <w:rFonts w:ascii="Arial" w:eastAsia="Times New Roman" w:hAnsi="Arial" w:cs="Arial"/>
                <w:b/>
                <w:sz w:val="20"/>
                <w:szCs w:val="20"/>
                <w:lang w:val="en-GB" w:eastAsia="de-CH"/>
              </w:rPr>
              <w:t>B</w:t>
            </w:r>
            <w:r>
              <w:rPr>
                <w:rFonts w:ascii="Arial" w:eastAsia="Times New Roman" w:hAnsi="Arial" w:cs="Arial"/>
                <w:b/>
                <w:sz w:val="20"/>
                <w:szCs w:val="20"/>
                <w:lang w:val="en-GB" w:eastAsia="de-CH"/>
              </w:rPr>
              <w:t>ox</w:t>
            </w:r>
            <w:r w:rsidRPr="004A642A">
              <w:rPr>
                <w:rFonts w:ascii="Arial" w:eastAsia="Times New Roman" w:hAnsi="Arial" w:cs="Arial"/>
                <w:b/>
                <w:sz w:val="20"/>
                <w:szCs w:val="20"/>
                <w:lang w:val="en-GB" w:eastAsia="de-CH"/>
              </w:rPr>
              <w:t xml:space="preserve"> </w:t>
            </w:r>
            <w:r>
              <w:rPr>
                <w:rFonts w:ascii="Arial" w:eastAsia="Times New Roman" w:hAnsi="Arial" w:cs="Arial"/>
                <w:b/>
                <w:sz w:val="20"/>
                <w:szCs w:val="20"/>
                <w:lang w:val="en-GB" w:eastAsia="de-CH"/>
              </w:rPr>
              <w:t>2</w:t>
            </w:r>
            <w:r w:rsidRPr="004A642A">
              <w:rPr>
                <w:rFonts w:ascii="Arial" w:eastAsia="Times New Roman" w:hAnsi="Arial" w:cs="Arial"/>
                <w:b/>
                <w:sz w:val="20"/>
                <w:szCs w:val="20"/>
                <w:lang w:val="en-GB" w:eastAsia="de-CH"/>
              </w:rPr>
              <w:t xml:space="preserve"> – SSP</w:t>
            </w:r>
            <w:r>
              <w:rPr>
                <w:rFonts w:ascii="Arial" w:eastAsia="Times New Roman" w:hAnsi="Arial" w:cs="Arial"/>
                <w:b/>
                <w:sz w:val="20"/>
                <w:szCs w:val="20"/>
                <w:lang w:val="en-GB" w:eastAsia="de-CH"/>
              </w:rPr>
              <w:t>3 Narrative</w:t>
            </w:r>
            <w:r w:rsidRPr="004A642A">
              <w:rPr>
                <w:rFonts w:ascii="Arial" w:eastAsia="Times New Roman" w:hAnsi="Arial" w:cs="Arial"/>
                <w:b/>
                <w:sz w:val="20"/>
                <w:szCs w:val="20"/>
                <w:lang w:val="en-GB" w:eastAsia="de-CH"/>
              </w:rPr>
              <w:t xml:space="preserve">: </w:t>
            </w:r>
            <w:r w:rsidRPr="00257C15">
              <w:rPr>
                <w:rFonts w:ascii="Arial" w:eastAsia="Times New Roman" w:hAnsi="Arial" w:cs="Arial"/>
                <w:b/>
                <w:sz w:val="20"/>
                <w:szCs w:val="20"/>
                <w:lang w:val="en-GB" w:eastAsia="de-CH"/>
              </w:rPr>
              <w:t>Regional rivalry—A rocky road</w:t>
            </w:r>
            <w:r w:rsidRPr="004A642A">
              <w:rPr>
                <w:rFonts w:ascii="Arial" w:eastAsia="Times New Roman" w:hAnsi="Arial" w:cs="Arial"/>
                <w:b/>
                <w:sz w:val="20"/>
                <w:szCs w:val="20"/>
                <w:lang w:val="en-GB" w:eastAsia="de-CH"/>
              </w:rPr>
              <w:t xml:space="preserve"> </w:t>
            </w:r>
          </w:p>
          <w:p w14:paraId="5F9668CD" w14:textId="77777777" w:rsidR="00257C15" w:rsidRPr="004A642A" w:rsidRDefault="00257C15" w:rsidP="00BD3F58">
            <w:pPr>
              <w:keepNext/>
              <w:ind w:left="360" w:right="316"/>
              <w:jc w:val="both"/>
              <w:rPr>
                <w:sz w:val="20"/>
                <w:szCs w:val="20"/>
                <w:lang w:val="en-GB"/>
              </w:rPr>
            </w:pPr>
          </w:p>
        </w:tc>
      </w:tr>
      <w:tr w:rsidR="00257C15" w:rsidRPr="004A642A" w14:paraId="49A585BA" w14:textId="77777777" w:rsidTr="00BD3F58">
        <w:tc>
          <w:tcPr>
            <w:tcW w:w="9209" w:type="dxa"/>
            <w:tcBorders>
              <w:top w:val="nil"/>
            </w:tcBorders>
          </w:tcPr>
          <w:p w14:paraId="2560D3BB" w14:textId="2D3CA043" w:rsidR="00257C15" w:rsidRPr="004A642A" w:rsidRDefault="00257C15" w:rsidP="00257C15">
            <w:pPr>
              <w:ind w:left="360" w:right="317"/>
              <w:jc w:val="both"/>
              <w:rPr>
                <w:i/>
                <w:lang w:val="en-GB"/>
              </w:rPr>
            </w:pPr>
            <w:r w:rsidRPr="004A642A">
              <w:rPr>
                <w:i/>
                <w:lang w:val="en-GB"/>
              </w:rPr>
              <w:br/>
              <w:t>“</w:t>
            </w:r>
            <w:r w:rsidRPr="00257C15">
              <w:rPr>
                <w:i/>
                <w:lang w:val="en-GB"/>
              </w:rPr>
              <w:t>A resurgent nationalism, concerns about competitiveness and security, and regional conflicts push countries to increasingly focus on domestic or, at most, regional issues. This trend is reinforced by the limited number of comparatively weak global institutions, with uneven coordination and cooperation for addressing environmental and other global concerns. Policies shift over time to become increasingly oriented toward national and regional security issues, including barriers to trade, particularly in the energy resource and agricultural markets. Countries focus on achieving energy and food security goals within their own regions at the expense of broader-based development, and in several regions move toward more authoritarian forms of government with highly regulated economies. Investments in education and technological development decline. Economic development is slow, consumption is material-intensive, and inequalities persist or worsen over time, especially in developing countries. There are pockets of extreme poverty alongside pockets of moderate wealth, with many countries struggling to maintain living standards and provide access to safe water, improved sanitation, and health care for disadvantaged populations. A low international priority for addressing environmental concerns leads to strong environmental degradation in some regions. The combination of impeded development and limited environmental concern results in poor progress toward sustainability. Population growth is low in industrialized and high in developing countries. Growing resource intensity and fossil fuel dependency along with difficulty in achieving international cooperation and slow technological change imply high challenges to mitigation. The limited progress on human development, slow income growth, and lack of effective institutions, especially those that can act across regions, implies high challenges to adaptation for many groups in all regions.</w:t>
            </w:r>
            <w:r w:rsidRPr="004A642A">
              <w:rPr>
                <w:i/>
                <w:lang w:val="en-GB"/>
              </w:rPr>
              <w:t>”</w:t>
            </w:r>
            <w:r w:rsidRPr="004A642A">
              <w:rPr>
                <w:i/>
                <w:lang w:val="en-GB"/>
              </w:rPr>
              <w:fldChar w:fldCharType="begin"/>
            </w:r>
            <w:r w:rsidRPr="004A642A">
              <w:rPr>
                <w:i/>
                <w:lang w:val="en-GB"/>
              </w:rPr>
              <w:instrText xml:space="preserve"> ADDIN EN.CITE &lt;EndNote&gt;&lt;Cite&gt;&lt;Author&gt;O’Neill&lt;/Author&gt;&lt;Year&gt;2015&lt;/Year&gt;&lt;RecNum&gt;5370&lt;/RecNum&gt;&lt;DisplayText&gt;(O’Neill&lt;style face="italic"&gt; et al.&lt;/style&gt;, 2015)&lt;/DisplayText&gt;&lt;record&gt;&lt;rec-number&gt;5370&lt;/rec-number&gt;&lt;foreign-keys&gt;&lt;key app="EN" db-id="e2vzee9zparzwaexw9qxadxmr00vr5rte9p0" timestamp="1447845734"&gt;5370&lt;/key&gt;&lt;/foreign-keys&gt;&lt;ref-type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Kasper&lt;/author&gt;&lt;author&gt;Levy, Marc&lt;/author&gt;&lt;author&gt;Solecki, William&lt;/author&gt;&lt;/authors&gt;&lt;/contributors&gt;&lt;titles&gt;&lt;title&gt;The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Change&lt;/full-title&gt;&lt;/periodical&gt;&lt;keywords&gt;&lt;keyword&gt;Scenarios&lt;/keyword&gt;&lt;keyword&gt;Climate change&lt;/keyword&gt;&lt;keyword&gt;Mitigation&lt;/keyword&gt;&lt;keyword&gt;Adaptation&lt;/keyword&gt;&lt;keyword&gt;Narratives&lt;/keyword&gt;&lt;keyword&gt;Shared socioeconomic pathways&lt;/keyword&gt;&lt;/keywords&gt;&lt;dates&gt;&lt;year&gt;2015&lt;/year&gt;&lt;/dates&gt;&lt;isbn&gt;0959-3780&lt;/isbn&gt;&lt;urls&gt;&lt;related-urls&gt;&lt;url&gt;http://www.sciencedirect.com/science/article/pii/S0959378015000060&lt;/url&gt;&lt;/related-urls&gt;&lt;/urls&gt;&lt;electronic-resource-num&gt;http://dx.doi.org/10.1016/j.gloenvcha.2015.01.004&lt;/electronic-resource-num&gt;&lt;/record&gt;&lt;/Cite&gt;&lt;/EndNote&gt;</w:instrText>
            </w:r>
            <w:r w:rsidRPr="004A642A">
              <w:rPr>
                <w:i/>
                <w:lang w:val="en-GB"/>
              </w:rPr>
              <w:fldChar w:fldCharType="separate"/>
            </w:r>
            <w:r w:rsidRPr="004A642A">
              <w:rPr>
                <w:i/>
                <w:noProof/>
                <w:lang w:val="en-GB"/>
              </w:rPr>
              <w:t>(O’Neill et al., 2015)</w:t>
            </w:r>
            <w:r w:rsidRPr="004A642A">
              <w:rPr>
                <w:i/>
                <w:lang w:val="en-GB"/>
              </w:rPr>
              <w:fldChar w:fldCharType="end"/>
            </w:r>
          </w:p>
          <w:p w14:paraId="0EA777A4" w14:textId="77777777" w:rsidR="00257C15" w:rsidRPr="004A642A" w:rsidRDefault="00257C15" w:rsidP="00BD3F58">
            <w:pPr>
              <w:ind w:left="360"/>
              <w:rPr>
                <w:rFonts w:ascii="Arial" w:eastAsia="Times New Roman" w:hAnsi="Arial" w:cs="Arial"/>
                <w:b/>
                <w:i/>
                <w:sz w:val="20"/>
                <w:szCs w:val="20"/>
                <w:lang w:val="en-GB" w:eastAsia="de-CH"/>
              </w:rPr>
            </w:pPr>
          </w:p>
        </w:tc>
      </w:tr>
    </w:tbl>
    <w:p w14:paraId="1BCFB9B8" w14:textId="2F7A4985" w:rsidR="00AC0B4E" w:rsidRDefault="00AC0B4E">
      <w:pPr>
        <w:spacing w:line="259" w:lineRule="auto"/>
      </w:pPr>
    </w:p>
    <w:p w14:paraId="7B2A03AF" w14:textId="77777777" w:rsidR="00AC0B4E" w:rsidRDefault="00AC0B4E">
      <w:pPr>
        <w:spacing w:line="259" w:lineRule="auto"/>
        <w:sectPr w:rsidR="00AC0B4E" w:rsidSect="00DC1BF5">
          <w:footerReference w:type="default" r:id="rId8"/>
          <w:footnotePr>
            <w:numFmt w:val="chicago"/>
          </w:footnotePr>
          <w:pgSz w:w="11906" w:h="16838"/>
          <w:pgMar w:top="1417" w:right="1417" w:bottom="1418" w:left="1417" w:header="708" w:footer="708" w:gutter="0"/>
          <w:lnNumType w:countBy="1" w:restart="continuous"/>
          <w:cols w:space="708"/>
          <w:docGrid w:linePitch="360"/>
        </w:sectPr>
      </w:pPr>
    </w:p>
    <w:p w14:paraId="663727B6" w14:textId="77777777" w:rsidR="005827E6" w:rsidRDefault="005827E6" w:rsidP="005827E6">
      <w:pPr>
        <w:pStyle w:val="Heading1"/>
      </w:pPr>
      <w:bookmarkStart w:id="16" w:name="_Toc449104535"/>
      <w:r>
        <w:lastRenderedPageBreak/>
        <w:t>Supplementary tables</w:t>
      </w:r>
      <w:bookmarkEnd w:id="16"/>
    </w:p>
    <w:p w14:paraId="024AA6A1" w14:textId="1B37511B" w:rsidR="00326828" w:rsidRDefault="005E2A6D" w:rsidP="00326828">
      <w:pPr>
        <w:pStyle w:val="Heading2"/>
      </w:pPr>
      <w:bookmarkStart w:id="17" w:name="_Toc449104536"/>
      <w:r>
        <w:t>Convergence parameters</w:t>
      </w:r>
      <w:bookmarkEnd w:id="17"/>
    </w:p>
    <w:p w14:paraId="73B5D1FE" w14:textId="7B39AFB2" w:rsidR="00330359" w:rsidRDefault="00330359" w:rsidP="00330359">
      <w:pPr>
        <w:pStyle w:val="Caption"/>
        <w:keepNext/>
        <w:spacing w:after="40"/>
        <w:rPr>
          <w:lang w:val="en-GB"/>
        </w:rPr>
      </w:pPr>
      <w:r>
        <w:rPr>
          <w:lang w:val="en-GB"/>
        </w:rPr>
        <w:t>Table S1</w:t>
      </w:r>
      <w:r w:rsidR="00AC0B4E">
        <w:rPr>
          <w:lang w:val="en-GB"/>
        </w:rPr>
        <w:t xml:space="preserve"> – part1</w:t>
      </w:r>
      <w:r>
        <w:rPr>
          <w:lang w:val="en-GB"/>
        </w:rPr>
        <w:t>: Convergence quantile</w:t>
      </w:r>
      <w:r w:rsidR="00740AF0">
        <w:rPr>
          <w:lang w:val="en-GB"/>
        </w:rPr>
        <w:t xml:space="preserve"> and income for each parameter </w:t>
      </w:r>
      <w:r>
        <w:rPr>
          <w:lang w:val="en-GB"/>
        </w:rPr>
        <w:t>and region</w:t>
      </w:r>
      <w:r w:rsidR="00740AF0">
        <w:rPr>
          <w:lang w:val="en-GB"/>
        </w:rPr>
        <w:t xml:space="preserve"> for SSP1</w:t>
      </w:r>
    </w:p>
    <w:tbl>
      <w:tblPr>
        <w:tblW w:w="13100" w:type="dxa"/>
        <w:tblCellMar>
          <w:left w:w="70" w:type="dxa"/>
          <w:right w:w="70" w:type="dxa"/>
        </w:tblCellMar>
        <w:tblLook w:val="04A0" w:firstRow="1" w:lastRow="0" w:firstColumn="1" w:lastColumn="0" w:noHBand="0" w:noVBand="1"/>
      </w:tblPr>
      <w:tblGrid>
        <w:gridCol w:w="3420"/>
        <w:gridCol w:w="880"/>
        <w:gridCol w:w="880"/>
        <w:gridCol w:w="880"/>
        <w:gridCol w:w="880"/>
        <w:gridCol w:w="880"/>
        <w:gridCol w:w="880"/>
        <w:gridCol w:w="880"/>
        <w:gridCol w:w="880"/>
        <w:gridCol w:w="880"/>
        <w:gridCol w:w="880"/>
        <w:gridCol w:w="880"/>
      </w:tblGrid>
      <w:tr w:rsidR="00740AF0" w:rsidRPr="00740AF0" w14:paraId="6093B3CD" w14:textId="77777777" w:rsidTr="00740AF0">
        <w:trPr>
          <w:trHeight w:val="300"/>
        </w:trPr>
        <w:tc>
          <w:tcPr>
            <w:tcW w:w="3420" w:type="dxa"/>
            <w:tcBorders>
              <w:top w:val="single" w:sz="8" w:space="0" w:color="auto"/>
              <w:left w:val="nil"/>
              <w:bottom w:val="nil"/>
              <w:right w:val="nil"/>
            </w:tcBorders>
            <w:shd w:val="clear" w:color="000000" w:fill="FFFFFF"/>
            <w:noWrap/>
            <w:vAlign w:val="bottom"/>
            <w:hideMark/>
          </w:tcPr>
          <w:p w14:paraId="204144AA" w14:textId="77777777" w:rsidR="00740AF0" w:rsidRPr="00740AF0" w:rsidRDefault="00740AF0" w:rsidP="00740AF0">
            <w:pPr>
              <w:spacing w:after="0" w:line="240" w:lineRule="auto"/>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SSP1</w:t>
            </w:r>
          </w:p>
        </w:tc>
        <w:tc>
          <w:tcPr>
            <w:tcW w:w="880" w:type="dxa"/>
            <w:tcBorders>
              <w:top w:val="single" w:sz="8" w:space="0" w:color="auto"/>
              <w:left w:val="nil"/>
              <w:bottom w:val="nil"/>
              <w:right w:val="nil"/>
            </w:tcBorders>
            <w:shd w:val="clear" w:color="000000" w:fill="FFFFFF"/>
            <w:noWrap/>
            <w:vAlign w:val="bottom"/>
            <w:hideMark/>
          </w:tcPr>
          <w:p w14:paraId="02F3E1D6"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AFR</w:t>
            </w:r>
          </w:p>
        </w:tc>
        <w:tc>
          <w:tcPr>
            <w:tcW w:w="880" w:type="dxa"/>
            <w:tcBorders>
              <w:top w:val="single" w:sz="8" w:space="0" w:color="auto"/>
              <w:left w:val="nil"/>
              <w:bottom w:val="nil"/>
              <w:right w:val="nil"/>
            </w:tcBorders>
            <w:shd w:val="clear" w:color="000000" w:fill="FFFFFF"/>
            <w:noWrap/>
            <w:vAlign w:val="bottom"/>
            <w:hideMark/>
          </w:tcPr>
          <w:p w14:paraId="612B8B6F"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CPA</w:t>
            </w:r>
          </w:p>
        </w:tc>
        <w:tc>
          <w:tcPr>
            <w:tcW w:w="880" w:type="dxa"/>
            <w:tcBorders>
              <w:top w:val="single" w:sz="8" w:space="0" w:color="auto"/>
              <w:left w:val="nil"/>
              <w:bottom w:val="nil"/>
              <w:right w:val="nil"/>
            </w:tcBorders>
            <w:shd w:val="clear" w:color="000000" w:fill="FFFFFF"/>
            <w:noWrap/>
            <w:vAlign w:val="bottom"/>
            <w:hideMark/>
          </w:tcPr>
          <w:p w14:paraId="5E91001C"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EEU</w:t>
            </w:r>
          </w:p>
        </w:tc>
        <w:tc>
          <w:tcPr>
            <w:tcW w:w="880" w:type="dxa"/>
            <w:tcBorders>
              <w:top w:val="single" w:sz="8" w:space="0" w:color="auto"/>
              <w:left w:val="nil"/>
              <w:bottom w:val="nil"/>
              <w:right w:val="nil"/>
            </w:tcBorders>
            <w:shd w:val="clear" w:color="000000" w:fill="FFFFFF"/>
            <w:noWrap/>
            <w:vAlign w:val="bottom"/>
            <w:hideMark/>
          </w:tcPr>
          <w:p w14:paraId="7BBE1A65"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FSU</w:t>
            </w:r>
          </w:p>
        </w:tc>
        <w:tc>
          <w:tcPr>
            <w:tcW w:w="880" w:type="dxa"/>
            <w:tcBorders>
              <w:top w:val="single" w:sz="8" w:space="0" w:color="auto"/>
              <w:left w:val="nil"/>
              <w:bottom w:val="nil"/>
              <w:right w:val="nil"/>
            </w:tcBorders>
            <w:shd w:val="clear" w:color="000000" w:fill="FFFFFF"/>
            <w:noWrap/>
            <w:vAlign w:val="bottom"/>
            <w:hideMark/>
          </w:tcPr>
          <w:p w14:paraId="470787EE"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LAM</w:t>
            </w:r>
          </w:p>
        </w:tc>
        <w:tc>
          <w:tcPr>
            <w:tcW w:w="880" w:type="dxa"/>
            <w:tcBorders>
              <w:top w:val="single" w:sz="8" w:space="0" w:color="auto"/>
              <w:left w:val="nil"/>
              <w:bottom w:val="nil"/>
              <w:right w:val="nil"/>
            </w:tcBorders>
            <w:shd w:val="clear" w:color="000000" w:fill="FFFFFF"/>
            <w:noWrap/>
            <w:vAlign w:val="bottom"/>
            <w:hideMark/>
          </w:tcPr>
          <w:p w14:paraId="06F69D64"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MEA</w:t>
            </w:r>
          </w:p>
        </w:tc>
        <w:tc>
          <w:tcPr>
            <w:tcW w:w="880" w:type="dxa"/>
            <w:tcBorders>
              <w:top w:val="single" w:sz="8" w:space="0" w:color="auto"/>
              <w:left w:val="nil"/>
              <w:bottom w:val="nil"/>
              <w:right w:val="nil"/>
            </w:tcBorders>
            <w:shd w:val="clear" w:color="000000" w:fill="FFFFFF"/>
            <w:noWrap/>
            <w:vAlign w:val="bottom"/>
            <w:hideMark/>
          </w:tcPr>
          <w:p w14:paraId="3E00B655"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NAM</w:t>
            </w:r>
          </w:p>
        </w:tc>
        <w:tc>
          <w:tcPr>
            <w:tcW w:w="880" w:type="dxa"/>
            <w:tcBorders>
              <w:top w:val="single" w:sz="8" w:space="0" w:color="auto"/>
              <w:left w:val="nil"/>
              <w:bottom w:val="nil"/>
              <w:right w:val="nil"/>
            </w:tcBorders>
            <w:shd w:val="clear" w:color="000000" w:fill="FFFFFF"/>
            <w:noWrap/>
            <w:vAlign w:val="bottom"/>
            <w:hideMark/>
          </w:tcPr>
          <w:p w14:paraId="3C5FACC7"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PAO</w:t>
            </w:r>
          </w:p>
        </w:tc>
        <w:tc>
          <w:tcPr>
            <w:tcW w:w="880" w:type="dxa"/>
            <w:tcBorders>
              <w:top w:val="single" w:sz="8" w:space="0" w:color="auto"/>
              <w:left w:val="nil"/>
              <w:bottom w:val="nil"/>
              <w:right w:val="nil"/>
            </w:tcBorders>
            <w:shd w:val="clear" w:color="000000" w:fill="FFFFFF"/>
            <w:noWrap/>
            <w:vAlign w:val="bottom"/>
            <w:hideMark/>
          </w:tcPr>
          <w:p w14:paraId="3D74163A"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PAS</w:t>
            </w:r>
          </w:p>
        </w:tc>
        <w:tc>
          <w:tcPr>
            <w:tcW w:w="880" w:type="dxa"/>
            <w:tcBorders>
              <w:top w:val="single" w:sz="8" w:space="0" w:color="auto"/>
              <w:left w:val="nil"/>
              <w:bottom w:val="nil"/>
              <w:right w:val="nil"/>
            </w:tcBorders>
            <w:shd w:val="clear" w:color="000000" w:fill="FFFFFF"/>
            <w:noWrap/>
            <w:vAlign w:val="bottom"/>
            <w:hideMark/>
          </w:tcPr>
          <w:p w14:paraId="298570EF"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SAS</w:t>
            </w:r>
          </w:p>
        </w:tc>
        <w:tc>
          <w:tcPr>
            <w:tcW w:w="880" w:type="dxa"/>
            <w:tcBorders>
              <w:top w:val="single" w:sz="8" w:space="0" w:color="auto"/>
              <w:left w:val="nil"/>
              <w:bottom w:val="nil"/>
              <w:right w:val="nil"/>
            </w:tcBorders>
            <w:shd w:val="clear" w:color="000000" w:fill="FFFFFF"/>
            <w:noWrap/>
            <w:vAlign w:val="bottom"/>
            <w:hideMark/>
          </w:tcPr>
          <w:p w14:paraId="7F4A4DB2"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WEU</w:t>
            </w:r>
          </w:p>
        </w:tc>
      </w:tr>
      <w:tr w:rsidR="00740AF0" w:rsidRPr="00740AF0" w14:paraId="09BE377A" w14:textId="77777777" w:rsidTr="00740AF0">
        <w:trPr>
          <w:trHeight w:val="300"/>
        </w:trPr>
        <w:tc>
          <w:tcPr>
            <w:tcW w:w="3420" w:type="dxa"/>
            <w:tcBorders>
              <w:top w:val="single" w:sz="4" w:space="0" w:color="auto"/>
              <w:left w:val="nil"/>
              <w:bottom w:val="single" w:sz="4" w:space="0" w:color="auto"/>
              <w:right w:val="nil"/>
            </w:tcBorders>
            <w:shd w:val="clear" w:color="000000" w:fill="FFFFFF"/>
            <w:noWrap/>
            <w:vAlign w:val="bottom"/>
            <w:hideMark/>
          </w:tcPr>
          <w:p w14:paraId="1D65AF58" w14:textId="77777777" w:rsidR="00740AF0" w:rsidRPr="00740AF0" w:rsidRDefault="00740AF0" w:rsidP="00740AF0">
            <w:pPr>
              <w:spacing w:after="0" w:line="240" w:lineRule="auto"/>
              <w:rPr>
                <w:rFonts w:ascii="Calibri" w:eastAsia="Times New Roman" w:hAnsi="Calibri" w:cs="Times New Roman"/>
                <w:i/>
                <w:iCs/>
                <w:color w:val="000000"/>
                <w:lang w:val="de-CH" w:eastAsia="de-CH"/>
              </w:rPr>
            </w:pPr>
            <w:r w:rsidRPr="00740AF0">
              <w:rPr>
                <w:rFonts w:ascii="Calibri" w:eastAsia="Times New Roman" w:hAnsi="Calibri" w:cs="Times New Roman"/>
                <w:i/>
                <w:iCs/>
                <w:color w:val="000000"/>
                <w:lang w:val="de-CH" w:eastAsia="de-CH"/>
              </w:rPr>
              <w:t>Convergence Quantile</w:t>
            </w:r>
          </w:p>
        </w:tc>
        <w:tc>
          <w:tcPr>
            <w:tcW w:w="880" w:type="dxa"/>
            <w:tcBorders>
              <w:top w:val="single" w:sz="4" w:space="0" w:color="auto"/>
              <w:left w:val="nil"/>
              <w:bottom w:val="single" w:sz="4" w:space="0" w:color="auto"/>
              <w:right w:val="nil"/>
            </w:tcBorders>
            <w:shd w:val="clear" w:color="000000" w:fill="FFFFFF"/>
            <w:noWrap/>
            <w:vAlign w:val="bottom"/>
            <w:hideMark/>
          </w:tcPr>
          <w:p w14:paraId="61047DB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457988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2F83D5C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FACFF7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AD27A8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7B4AE7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996085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BCB984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C9E848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84E547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00ACF4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r>
      <w:tr w:rsidR="00740AF0" w:rsidRPr="00740AF0" w14:paraId="18BF71CC" w14:textId="77777777" w:rsidTr="00740AF0">
        <w:trPr>
          <w:trHeight w:val="300"/>
        </w:trPr>
        <w:tc>
          <w:tcPr>
            <w:tcW w:w="3420" w:type="dxa"/>
            <w:tcBorders>
              <w:top w:val="nil"/>
              <w:left w:val="nil"/>
              <w:bottom w:val="nil"/>
              <w:right w:val="nil"/>
            </w:tcBorders>
            <w:shd w:val="clear" w:color="000000" w:fill="FFFFFF"/>
            <w:noWrap/>
            <w:vAlign w:val="bottom"/>
            <w:hideMark/>
          </w:tcPr>
          <w:p w14:paraId="6162F9A4"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Final Energy Intensity (FEI)</w:t>
            </w:r>
          </w:p>
        </w:tc>
        <w:tc>
          <w:tcPr>
            <w:tcW w:w="880" w:type="dxa"/>
            <w:tcBorders>
              <w:top w:val="nil"/>
              <w:left w:val="nil"/>
              <w:bottom w:val="nil"/>
              <w:right w:val="nil"/>
            </w:tcBorders>
            <w:shd w:val="clear" w:color="000000" w:fill="FFFFFF"/>
            <w:noWrap/>
            <w:vAlign w:val="bottom"/>
            <w:hideMark/>
          </w:tcPr>
          <w:p w14:paraId="2D0FFCD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5964A6E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0563554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4ECBD74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7D0E2E4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2413680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178B0B4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4C3D16E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5EA4BA3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7089AEF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c>
          <w:tcPr>
            <w:tcW w:w="880" w:type="dxa"/>
            <w:tcBorders>
              <w:top w:val="nil"/>
              <w:left w:val="nil"/>
              <w:bottom w:val="nil"/>
              <w:right w:val="nil"/>
            </w:tcBorders>
            <w:shd w:val="clear" w:color="000000" w:fill="FFFFFF"/>
            <w:noWrap/>
            <w:vAlign w:val="bottom"/>
            <w:hideMark/>
          </w:tcPr>
          <w:p w14:paraId="6D094C4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0.001</w:t>
            </w:r>
          </w:p>
        </w:tc>
      </w:tr>
      <w:tr w:rsidR="00740AF0" w:rsidRPr="00740AF0" w14:paraId="24C2B169" w14:textId="77777777" w:rsidTr="00740AF0">
        <w:trPr>
          <w:trHeight w:val="300"/>
        </w:trPr>
        <w:tc>
          <w:tcPr>
            <w:tcW w:w="3420" w:type="dxa"/>
            <w:tcBorders>
              <w:top w:val="nil"/>
              <w:left w:val="nil"/>
              <w:bottom w:val="nil"/>
              <w:right w:val="nil"/>
            </w:tcBorders>
            <w:shd w:val="clear" w:color="000000" w:fill="FFFFFF"/>
            <w:noWrap/>
            <w:vAlign w:val="bottom"/>
            <w:hideMark/>
          </w:tcPr>
          <w:p w14:paraId="037D4F4B"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NC Biomass</w:t>
            </w:r>
          </w:p>
        </w:tc>
        <w:tc>
          <w:tcPr>
            <w:tcW w:w="880" w:type="dxa"/>
            <w:tcBorders>
              <w:top w:val="nil"/>
              <w:left w:val="nil"/>
              <w:bottom w:val="nil"/>
              <w:right w:val="nil"/>
            </w:tcBorders>
            <w:shd w:val="clear" w:color="000000" w:fill="FFFFFF"/>
            <w:noWrap/>
            <w:vAlign w:val="bottom"/>
            <w:hideMark/>
          </w:tcPr>
          <w:p w14:paraId="79579BD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3102EF7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58A93FA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6FFCF0C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55AE7BE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21D3426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40A63C5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4465727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02E4A35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185BC46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c>
          <w:tcPr>
            <w:tcW w:w="880" w:type="dxa"/>
            <w:tcBorders>
              <w:top w:val="nil"/>
              <w:left w:val="nil"/>
              <w:bottom w:val="nil"/>
              <w:right w:val="nil"/>
            </w:tcBorders>
            <w:shd w:val="clear" w:color="000000" w:fill="FFFFFF"/>
            <w:noWrap/>
            <w:vAlign w:val="bottom"/>
            <w:hideMark/>
          </w:tcPr>
          <w:p w14:paraId="1389B3C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0.01</w:t>
            </w:r>
          </w:p>
        </w:tc>
      </w:tr>
      <w:tr w:rsidR="00740AF0" w:rsidRPr="00740AF0" w14:paraId="43852B8B" w14:textId="77777777" w:rsidTr="00740AF0">
        <w:trPr>
          <w:trHeight w:val="300"/>
        </w:trPr>
        <w:tc>
          <w:tcPr>
            <w:tcW w:w="3420" w:type="dxa"/>
            <w:tcBorders>
              <w:top w:val="nil"/>
              <w:left w:val="nil"/>
              <w:bottom w:val="nil"/>
              <w:right w:val="nil"/>
            </w:tcBorders>
            <w:shd w:val="clear" w:color="000000" w:fill="FFFFFF"/>
            <w:noWrap/>
            <w:vAlign w:val="bottom"/>
            <w:hideMark/>
          </w:tcPr>
          <w:p w14:paraId="5C1CD3FF"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Transport</w:t>
            </w:r>
          </w:p>
        </w:tc>
        <w:tc>
          <w:tcPr>
            <w:tcW w:w="880" w:type="dxa"/>
            <w:tcBorders>
              <w:top w:val="nil"/>
              <w:left w:val="nil"/>
              <w:bottom w:val="nil"/>
              <w:right w:val="nil"/>
            </w:tcBorders>
            <w:shd w:val="clear" w:color="000000" w:fill="FFFFFF"/>
            <w:noWrap/>
            <w:vAlign w:val="bottom"/>
            <w:hideMark/>
          </w:tcPr>
          <w:p w14:paraId="58FDC91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1B18169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0.02</w:t>
            </w:r>
          </w:p>
        </w:tc>
        <w:tc>
          <w:tcPr>
            <w:tcW w:w="880" w:type="dxa"/>
            <w:tcBorders>
              <w:top w:val="nil"/>
              <w:left w:val="nil"/>
              <w:bottom w:val="nil"/>
              <w:right w:val="nil"/>
            </w:tcBorders>
            <w:shd w:val="clear" w:color="000000" w:fill="FFFFFF"/>
            <w:noWrap/>
            <w:vAlign w:val="bottom"/>
            <w:hideMark/>
          </w:tcPr>
          <w:p w14:paraId="0627E1F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4314C0A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0E2EE30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37C7D3F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081B777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20C29D5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651B0AA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0.04</w:t>
            </w:r>
          </w:p>
        </w:tc>
        <w:tc>
          <w:tcPr>
            <w:tcW w:w="880" w:type="dxa"/>
            <w:tcBorders>
              <w:top w:val="nil"/>
              <w:left w:val="nil"/>
              <w:bottom w:val="nil"/>
              <w:right w:val="nil"/>
            </w:tcBorders>
            <w:shd w:val="clear" w:color="000000" w:fill="FFFFFF"/>
            <w:noWrap/>
            <w:vAlign w:val="bottom"/>
            <w:hideMark/>
          </w:tcPr>
          <w:p w14:paraId="59740EF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0.03</w:t>
            </w:r>
          </w:p>
        </w:tc>
        <w:tc>
          <w:tcPr>
            <w:tcW w:w="880" w:type="dxa"/>
            <w:tcBorders>
              <w:top w:val="nil"/>
              <w:left w:val="nil"/>
              <w:bottom w:val="nil"/>
              <w:right w:val="nil"/>
            </w:tcBorders>
            <w:shd w:val="clear" w:color="000000" w:fill="FFFFFF"/>
            <w:noWrap/>
            <w:vAlign w:val="bottom"/>
            <w:hideMark/>
          </w:tcPr>
          <w:p w14:paraId="546F0E5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r>
      <w:tr w:rsidR="00740AF0" w:rsidRPr="00740AF0" w14:paraId="6DED581E" w14:textId="77777777" w:rsidTr="00740AF0">
        <w:trPr>
          <w:trHeight w:val="300"/>
        </w:trPr>
        <w:tc>
          <w:tcPr>
            <w:tcW w:w="3420" w:type="dxa"/>
            <w:tcBorders>
              <w:top w:val="nil"/>
              <w:left w:val="nil"/>
              <w:bottom w:val="nil"/>
              <w:right w:val="nil"/>
            </w:tcBorders>
            <w:shd w:val="clear" w:color="000000" w:fill="FFFFFF"/>
            <w:noWrap/>
            <w:vAlign w:val="bottom"/>
            <w:hideMark/>
          </w:tcPr>
          <w:p w14:paraId="66E43F7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Res/Com</w:t>
            </w:r>
          </w:p>
        </w:tc>
        <w:tc>
          <w:tcPr>
            <w:tcW w:w="880" w:type="dxa"/>
            <w:tcBorders>
              <w:top w:val="nil"/>
              <w:left w:val="nil"/>
              <w:bottom w:val="nil"/>
              <w:right w:val="nil"/>
            </w:tcBorders>
            <w:shd w:val="clear" w:color="000000" w:fill="FFFFFF"/>
            <w:noWrap/>
            <w:vAlign w:val="bottom"/>
            <w:hideMark/>
          </w:tcPr>
          <w:p w14:paraId="5D63E5D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5C753DA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18C9F8C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175968A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5C105BE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0.28</w:t>
            </w:r>
          </w:p>
        </w:tc>
        <w:tc>
          <w:tcPr>
            <w:tcW w:w="880" w:type="dxa"/>
            <w:tcBorders>
              <w:top w:val="nil"/>
              <w:left w:val="nil"/>
              <w:bottom w:val="nil"/>
              <w:right w:val="nil"/>
            </w:tcBorders>
            <w:shd w:val="clear" w:color="000000" w:fill="FFFFFF"/>
            <w:noWrap/>
            <w:vAlign w:val="bottom"/>
            <w:hideMark/>
          </w:tcPr>
          <w:p w14:paraId="7AA3991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713418A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76A3E6F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08E143A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0.28</w:t>
            </w:r>
          </w:p>
        </w:tc>
        <w:tc>
          <w:tcPr>
            <w:tcW w:w="880" w:type="dxa"/>
            <w:tcBorders>
              <w:top w:val="nil"/>
              <w:left w:val="nil"/>
              <w:bottom w:val="nil"/>
              <w:right w:val="nil"/>
            </w:tcBorders>
            <w:shd w:val="clear" w:color="000000" w:fill="FFFFFF"/>
            <w:noWrap/>
            <w:vAlign w:val="bottom"/>
            <w:hideMark/>
          </w:tcPr>
          <w:p w14:paraId="44ED9CC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6AA5990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r>
      <w:tr w:rsidR="00740AF0" w:rsidRPr="00740AF0" w14:paraId="14425A55" w14:textId="77777777" w:rsidTr="00740AF0">
        <w:trPr>
          <w:trHeight w:val="300"/>
        </w:trPr>
        <w:tc>
          <w:tcPr>
            <w:tcW w:w="3420" w:type="dxa"/>
            <w:tcBorders>
              <w:top w:val="nil"/>
              <w:left w:val="nil"/>
              <w:bottom w:val="nil"/>
              <w:right w:val="nil"/>
            </w:tcBorders>
            <w:shd w:val="clear" w:color="000000" w:fill="FFFFFF"/>
            <w:noWrap/>
            <w:vAlign w:val="bottom"/>
            <w:hideMark/>
          </w:tcPr>
          <w:p w14:paraId="455A7348"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Industry</w:t>
            </w:r>
          </w:p>
        </w:tc>
        <w:tc>
          <w:tcPr>
            <w:tcW w:w="880" w:type="dxa"/>
            <w:tcBorders>
              <w:top w:val="nil"/>
              <w:left w:val="nil"/>
              <w:bottom w:val="nil"/>
              <w:right w:val="nil"/>
            </w:tcBorders>
            <w:shd w:val="clear" w:color="000000" w:fill="FFFFFF"/>
            <w:noWrap/>
            <w:vAlign w:val="bottom"/>
            <w:hideMark/>
          </w:tcPr>
          <w:p w14:paraId="3A0558B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7A2929D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1837E4C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3350192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22E2DBB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0.28</w:t>
            </w:r>
          </w:p>
        </w:tc>
        <w:tc>
          <w:tcPr>
            <w:tcW w:w="880" w:type="dxa"/>
            <w:tcBorders>
              <w:top w:val="nil"/>
              <w:left w:val="nil"/>
              <w:bottom w:val="nil"/>
              <w:right w:val="nil"/>
            </w:tcBorders>
            <w:shd w:val="clear" w:color="000000" w:fill="FFFFFF"/>
            <w:noWrap/>
            <w:vAlign w:val="bottom"/>
            <w:hideMark/>
          </w:tcPr>
          <w:p w14:paraId="7413EBC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3B49D5A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1A96AB9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214232C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0.28</w:t>
            </w:r>
          </w:p>
        </w:tc>
        <w:tc>
          <w:tcPr>
            <w:tcW w:w="880" w:type="dxa"/>
            <w:tcBorders>
              <w:top w:val="nil"/>
              <w:left w:val="nil"/>
              <w:bottom w:val="nil"/>
              <w:right w:val="nil"/>
            </w:tcBorders>
            <w:shd w:val="clear" w:color="000000" w:fill="FFFFFF"/>
            <w:noWrap/>
            <w:vAlign w:val="bottom"/>
            <w:hideMark/>
          </w:tcPr>
          <w:p w14:paraId="03A2AB2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128BB24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r>
      <w:tr w:rsidR="00740AF0" w:rsidRPr="00740AF0" w14:paraId="5DFF275F" w14:textId="77777777" w:rsidTr="00740AF0">
        <w:trPr>
          <w:trHeight w:val="300"/>
        </w:trPr>
        <w:tc>
          <w:tcPr>
            <w:tcW w:w="3420" w:type="dxa"/>
            <w:tcBorders>
              <w:top w:val="nil"/>
              <w:left w:val="nil"/>
              <w:bottom w:val="nil"/>
              <w:right w:val="nil"/>
            </w:tcBorders>
            <w:shd w:val="clear" w:color="000000" w:fill="FFFFFF"/>
            <w:noWrap/>
            <w:vAlign w:val="bottom"/>
            <w:hideMark/>
          </w:tcPr>
          <w:p w14:paraId="509025E0"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Res/Com</w:t>
            </w:r>
          </w:p>
        </w:tc>
        <w:tc>
          <w:tcPr>
            <w:tcW w:w="880" w:type="dxa"/>
            <w:tcBorders>
              <w:top w:val="nil"/>
              <w:left w:val="nil"/>
              <w:bottom w:val="nil"/>
              <w:right w:val="nil"/>
            </w:tcBorders>
            <w:shd w:val="clear" w:color="000000" w:fill="FFFFFF"/>
            <w:noWrap/>
            <w:vAlign w:val="bottom"/>
            <w:hideMark/>
          </w:tcPr>
          <w:p w14:paraId="4509E8A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282F263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33D8B8E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1C3A825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0BA6DFD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0.63</w:t>
            </w:r>
          </w:p>
        </w:tc>
        <w:tc>
          <w:tcPr>
            <w:tcW w:w="880" w:type="dxa"/>
            <w:tcBorders>
              <w:top w:val="nil"/>
              <w:left w:val="nil"/>
              <w:bottom w:val="nil"/>
              <w:right w:val="nil"/>
            </w:tcBorders>
            <w:shd w:val="clear" w:color="000000" w:fill="FFFFFF"/>
            <w:noWrap/>
            <w:vAlign w:val="bottom"/>
            <w:hideMark/>
          </w:tcPr>
          <w:p w14:paraId="1BE69A6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0.62</w:t>
            </w:r>
          </w:p>
        </w:tc>
        <w:tc>
          <w:tcPr>
            <w:tcW w:w="880" w:type="dxa"/>
            <w:tcBorders>
              <w:top w:val="nil"/>
              <w:left w:val="nil"/>
              <w:bottom w:val="nil"/>
              <w:right w:val="nil"/>
            </w:tcBorders>
            <w:shd w:val="clear" w:color="000000" w:fill="FFFFFF"/>
            <w:noWrap/>
            <w:vAlign w:val="bottom"/>
            <w:hideMark/>
          </w:tcPr>
          <w:p w14:paraId="78BDD34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255E582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0.63</w:t>
            </w:r>
          </w:p>
        </w:tc>
        <w:tc>
          <w:tcPr>
            <w:tcW w:w="880" w:type="dxa"/>
            <w:tcBorders>
              <w:top w:val="nil"/>
              <w:left w:val="nil"/>
              <w:bottom w:val="nil"/>
              <w:right w:val="nil"/>
            </w:tcBorders>
            <w:shd w:val="clear" w:color="000000" w:fill="FFFFFF"/>
            <w:noWrap/>
            <w:vAlign w:val="bottom"/>
            <w:hideMark/>
          </w:tcPr>
          <w:p w14:paraId="2F68AD9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0.62</w:t>
            </w:r>
          </w:p>
        </w:tc>
        <w:tc>
          <w:tcPr>
            <w:tcW w:w="880" w:type="dxa"/>
            <w:tcBorders>
              <w:top w:val="nil"/>
              <w:left w:val="nil"/>
              <w:bottom w:val="nil"/>
              <w:right w:val="nil"/>
            </w:tcBorders>
            <w:shd w:val="clear" w:color="000000" w:fill="FFFFFF"/>
            <w:noWrap/>
            <w:vAlign w:val="bottom"/>
            <w:hideMark/>
          </w:tcPr>
          <w:p w14:paraId="5DD8DA3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0.64</w:t>
            </w:r>
          </w:p>
        </w:tc>
        <w:tc>
          <w:tcPr>
            <w:tcW w:w="880" w:type="dxa"/>
            <w:tcBorders>
              <w:top w:val="nil"/>
              <w:left w:val="nil"/>
              <w:bottom w:val="nil"/>
              <w:right w:val="nil"/>
            </w:tcBorders>
            <w:shd w:val="clear" w:color="000000" w:fill="FFFFFF"/>
            <w:noWrap/>
            <w:vAlign w:val="bottom"/>
            <w:hideMark/>
          </w:tcPr>
          <w:p w14:paraId="63375D3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0.43</w:t>
            </w:r>
          </w:p>
        </w:tc>
      </w:tr>
      <w:tr w:rsidR="00740AF0" w:rsidRPr="00740AF0" w14:paraId="25FE5983" w14:textId="77777777" w:rsidTr="00740AF0">
        <w:trPr>
          <w:trHeight w:val="300"/>
        </w:trPr>
        <w:tc>
          <w:tcPr>
            <w:tcW w:w="3420" w:type="dxa"/>
            <w:tcBorders>
              <w:top w:val="nil"/>
              <w:left w:val="nil"/>
              <w:bottom w:val="nil"/>
              <w:right w:val="nil"/>
            </w:tcBorders>
            <w:shd w:val="clear" w:color="000000" w:fill="FFFFFF"/>
            <w:noWrap/>
            <w:vAlign w:val="bottom"/>
            <w:hideMark/>
          </w:tcPr>
          <w:p w14:paraId="20964A0B"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Feedstock Share Industry</w:t>
            </w:r>
          </w:p>
        </w:tc>
        <w:tc>
          <w:tcPr>
            <w:tcW w:w="880" w:type="dxa"/>
            <w:tcBorders>
              <w:top w:val="nil"/>
              <w:left w:val="nil"/>
              <w:bottom w:val="nil"/>
              <w:right w:val="nil"/>
            </w:tcBorders>
            <w:shd w:val="clear" w:color="000000" w:fill="FFFFFF"/>
            <w:noWrap/>
            <w:vAlign w:val="bottom"/>
            <w:hideMark/>
          </w:tcPr>
          <w:p w14:paraId="40A35C5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0.18</w:t>
            </w:r>
          </w:p>
        </w:tc>
        <w:tc>
          <w:tcPr>
            <w:tcW w:w="880" w:type="dxa"/>
            <w:tcBorders>
              <w:top w:val="nil"/>
              <w:left w:val="nil"/>
              <w:bottom w:val="nil"/>
              <w:right w:val="nil"/>
            </w:tcBorders>
            <w:shd w:val="clear" w:color="000000" w:fill="FFFFFF"/>
            <w:noWrap/>
            <w:vAlign w:val="bottom"/>
            <w:hideMark/>
          </w:tcPr>
          <w:p w14:paraId="561B49D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6FED29E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0.24</w:t>
            </w:r>
          </w:p>
        </w:tc>
        <w:tc>
          <w:tcPr>
            <w:tcW w:w="880" w:type="dxa"/>
            <w:tcBorders>
              <w:top w:val="nil"/>
              <w:left w:val="nil"/>
              <w:bottom w:val="nil"/>
              <w:right w:val="nil"/>
            </w:tcBorders>
            <w:shd w:val="clear" w:color="000000" w:fill="FFFFFF"/>
            <w:noWrap/>
            <w:vAlign w:val="bottom"/>
            <w:hideMark/>
          </w:tcPr>
          <w:p w14:paraId="786C75F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0.24</w:t>
            </w:r>
          </w:p>
        </w:tc>
        <w:tc>
          <w:tcPr>
            <w:tcW w:w="880" w:type="dxa"/>
            <w:tcBorders>
              <w:top w:val="nil"/>
              <w:left w:val="nil"/>
              <w:bottom w:val="nil"/>
              <w:right w:val="nil"/>
            </w:tcBorders>
            <w:shd w:val="clear" w:color="000000" w:fill="FFFFFF"/>
            <w:noWrap/>
            <w:vAlign w:val="bottom"/>
            <w:hideMark/>
          </w:tcPr>
          <w:p w14:paraId="73F6DE8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60C47BE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0.26</w:t>
            </w:r>
          </w:p>
        </w:tc>
        <w:tc>
          <w:tcPr>
            <w:tcW w:w="880" w:type="dxa"/>
            <w:tcBorders>
              <w:top w:val="nil"/>
              <w:left w:val="nil"/>
              <w:bottom w:val="nil"/>
              <w:right w:val="nil"/>
            </w:tcBorders>
            <w:shd w:val="clear" w:color="000000" w:fill="FFFFFF"/>
            <w:noWrap/>
            <w:vAlign w:val="bottom"/>
            <w:hideMark/>
          </w:tcPr>
          <w:p w14:paraId="6CD1F4B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0.26</w:t>
            </w:r>
          </w:p>
        </w:tc>
        <w:tc>
          <w:tcPr>
            <w:tcW w:w="880" w:type="dxa"/>
            <w:tcBorders>
              <w:top w:val="nil"/>
              <w:left w:val="nil"/>
              <w:bottom w:val="nil"/>
              <w:right w:val="nil"/>
            </w:tcBorders>
            <w:shd w:val="clear" w:color="000000" w:fill="FFFFFF"/>
            <w:noWrap/>
            <w:vAlign w:val="bottom"/>
            <w:hideMark/>
          </w:tcPr>
          <w:p w14:paraId="4DA5888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0.23</w:t>
            </w:r>
          </w:p>
        </w:tc>
        <w:tc>
          <w:tcPr>
            <w:tcW w:w="880" w:type="dxa"/>
            <w:tcBorders>
              <w:top w:val="nil"/>
              <w:left w:val="nil"/>
              <w:bottom w:val="nil"/>
              <w:right w:val="nil"/>
            </w:tcBorders>
            <w:shd w:val="clear" w:color="000000" w:fill="FFFFFF"/>
            <w:noWrap/>
            <w:vAlign w:val="bottom"/>
            <w:hideMark/>
          </w:tcPr>
          <w:p w14:paraId="6273E66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0.26</w:t>
            </w:r>
          </w:p>
        </w:tc>
        <w:tc>
          <w:tcPr>
            <w:tcW w:w="880" w:type="dxa"/>
            <w:tcBorders>
              <w:top w:val="nil"/>
              <w:left w:val="nil"/>
              <w:bottom w:val="nil"/>
              <w:right w:val="nil"/>
            </w:tcBorders>
            <w:shd w:val="clear" w:color="000000" w:fill="FFFFFF"/>
            <w:noWrap/>
            <w:vAlign w:val="bottom"/>
            <w:hideMark/>
          </w:tcPr>
          <w:p w14:paraId="135A05B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0.22</w:t>
            </w:r>
          </w:p>
        </w:tc>
        <w:tc>
          <w:tcPr>
            <w:tcW w:w="880" w:type="dxa"/>
            <w:tcBorders>
              <w:top w:val="nil"/>
              <w:left w:val="nil"/>
              <w:bottom w:val="nil"/>
              <w:right w:val="nil"/>
            </w:tcBorders>
            <w:shd w:val="clear" w:color="000000" w:fill="FFFFFF"/>
            <w:noWrap/>
            <w:vAlign w:val="bottom"/>
            <w:hideMark/>
          </w:tcPr>
          <w:p w14:paraId="7F98DA5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0.24</w:t>
            </w:r>
          </w:p>
        </w:tc>
      </w:tr>
      <w:tr w:rsidR="00740AF0" w:rsidRPr="00740AF0" w14:paraId="0354D751" w14:textId="77777777" w:rsidTr="00740AF0">
        <w:trPr>
          <w:trHeight w:val="300"/>
        </w:trPr>
        <w:tc>
          <w:tcPr>
            <w:tcW w:w="3420" w:type="dxa"/>
            <w:tcBorders>
              <w:top w:val="nil"/>
              <w:left w:val="nil"/>
              <w:bottom w:val="nil"/>
              <w:right w:val="nil"/>
            </w:tcBorders>
            <w:shd w:val="clear" w:color="000000" w:fill="FFFFFF"/>
            <w:noWrap/>
            <w:vAlign w:val="bottom"/>
            <w:hideMark/>
          </w:tcPr>
          <w:p w14:paraId="29BCB8C1"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Industry</w:t>
            </w:r>
          </w:p>
        </w:tc>
        <w:tc>
          <w:tcPr>
            <w:tcW w:w="880" w:type="dxa"/>
            <w:tcBorders>
              <w:top w:val="nil"/>
              <w:left w:val="nil"/>
              <w:bottom w:val="nil"/>
              <w:right w:val="nil"/>
            </w:tcBorders>
            <w:shd w:val="clear" w:color="000000" w:fill="FFFFFF"/>
            <w:noWrap/>
            <w:vAlign w:val="bottom"/>
            <w:hideMark/>
          </w:tcPr>
          <w:p w14:paraId="4808868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0A1CB3C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0A2A3DA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0.42</w:t>
            </w:r>
          </w:p>
        </w:tc>
        <w:tc>
          <w:tcPr>
            <w:tcW w:w="880" w:type="dxa"/>
            <w:tcBorders>
              <w:top w:val="nil"/>
              <w:left w:val="nil"/>
              <w:bottom w:val="nil"/>
              <w:right w:val="nil"/>
            </w:tcBorders>
            <w:shd w:val="clear" w:color="000000" w:fill="FFFFFF"/>
            <w:noWrap/>
            <w:vAlign w:val="bottom"/>
            <w:hideMark/>
          </w:tcPr>
          <w:p w14:paraId="118CE1E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0.36</w:t>
            </w:r>
          </w:p>
        </w:tc>
        <w:tc>
          <w:tcPr>
            <w:tcW w:w="880" w:type="dxa"/>
            <w:tcBorders>
              <w:top w:val="nil"/>
              <w:left w:val="nil"/>
              <w:bottom w:val="nil"/>
              <w:right w:val="nil"/>
            </w:tcBorders>
            <w:shd w:val="clear" w:color="000000" w:fill="FFFFFF"/>
            <w:noWrap/>
            <w:vAlign w:val="bottom"/>
            <w:hideMark/>
          </w:tcPr>
          <w:p w14:paraId="64C31C6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2C25922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0.33</w:t>
            </w:r>
          </w:p>
        </w:tc>
        <w:tc>
          <w:tcPr>
            <w:tcW w:w="880" w:type="dxa"/>
            <w:tcBorders>
              <w:top w:val="nil"/>
              <w:left w:val="nil"/>
              <w:bottom w:val="nil"/>
              <w:right w:val="nil"/>
            </w:tcBorders>
            <w:shd w:val="clear" w:color="000000" w:fill="FFFFFF"/>
            <w:noWrap/>
            <w:vAlign w:val="bottom"/>
            <w:hideMark/>
          </w:tcPr>
          <w:p w14:paraId="3865C4B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0.36</w:t>
            </w:r>
          </w:p>
        </w:tc>
        <w:tc>
          <w:tcPr>
            <w:tcW w:w="880" w:type="dxa"/>
            <w:tcBorders>
              <w:top w:val="nil"/>
              <w:left w:val="nil"/>
              <w:bottom w:val="nil"/>
              <w:right w:val="nil"/>
            </w:tcBorders>
            <w:shd w:val="clear" w:color="000000" w:fill="FFFFFF"/>
            <w:noWrap/>
            <w:vAlign w:val="bottom"/>
            <w:hideMark/>
          </w:tcPr>
          <w:p w14:paraId="3339017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0.36</w:t>
            </w:r>
          </w:p>
        </w:tc>
        <w:tc>
          <w:tcPr>
            <w:tcW w:w="880" w:type="dxa"/>
            <w:tcBorders>
              <w:top w:val="nil"/>
              <w:left w:val="nil"/>
              <w:bottom w:val="nil"/>
              <w:right w:val="nil"/>
            </w:tcBorders>
            <w:shd w:val="clear" w:color="000000" w:fill="FFFFFF"/>
            <w:noWrap/>
            <w:vAlign w:val="bottom"/>
            <w:hideMark/>
          </w:tcPr>
          <w:p w14:paraId="2CFB042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34DB540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5D32DCF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r>
      <w:tr w:rsidR="00740AF0" w:rsidRPr="00740AF0" w14:paraId="2EB74F78" w14:textId="77777777" w:rsidTr="00740AF0">
        <w:trPr>
          <w:trHeight w:val="300"/>
        </w:trPr>
        <w:tc>
          <w:tcPr>
            <w:tcW w:w="3420" w:type="dxa"/>
            <w:tcBorders>
              <w:top w:val="single" w:sz="4" w:space="0" w:color="auto"/>
              <w:left w:val="nil"/>
              <w:bottom w:val="single" w:sz="4" w:space="0" w:color="auto"/>
              <w:right w:val="nil"/>
            </w:tcBorders>
            <w:shd w:val="clear" w:color="000000" w:fill="FFFFFF"/>
            <w:noWrap/>
            <w:vAlign w:val="bottom"/>
            <w:hideMark/>
          </w:tcPr>
          <w:p w14:paraId="68D4E623" w14:textId="77777777" w:rsidR="00740AF0" w:rsidRPr="00740AF0" w:rsidRDefault="00740AF0" w:rsidP="00740AF0">
            <w:pPr>
              <w:spacing w:after="0" w:line="240" w:lineRule="auto"/>
              <w:rPr>
                <w:rFonts w:ascii="Calibri" w:eastAsia="Times New Roman" w:hAnsi="Calibri" w:cs="Times New Roman"/>
                <w:i/>
                <w:iCs/>
                <w:color w:val="000000"/>
                <w:lang w:val="de-CH" w:eastAsia="de-CH"/>
              </w:rPr>
            </w:pPr>
            <w:r w:rsidRPr="00740AF0">
              <w:rPr>
                <w:rFonts w:ascii="Calibri" w:eastAsia="Times New Roman" w:hAnsi="Calibri" w:cs="Times New Roman"/>
                <w:i/>
                <w:iCs/>
                <w:color w:val="000000"/>
                <w:lang w:val="de-CH" w:eastAsia="de-CH"/>
              </w:rPr>
              <w:t>Convergence Income</w:t>
            </w:r>
          </w:p>
        </w:tc>
        <w:tc>
          <w:tcPr>
            <w:tcW w:w="880" w:type="dxa"/>
            <w:tcBorders>
              <w:top w:val="single" w:sz="4" w:space="0" w:color="auto"/>
              <w:left w:val="nil"/>
              <w:bottom w:val="single" w:sz="4" w:space="0" w:color="auto"/>
              <w:right w:val="nil"/>
            </w:tcBorders>
            <w:shd w:val="clear" w:color="000000" w:fill="FFFFFF"/>
            <w:noWrap/>
            <w:vAlign w:val="bottom"/>
            <w:hideMark/>
          </w:tcPr>
          <w:p w14:paraId="4A8DB0E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38C82C6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725CB59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9AEA4C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BF4B1D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2558A5B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4D9E79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696A01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B876A9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3511087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97E560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r>
      <w:tr w:rsidR="00740AF0" w:rsidRPr="00740AF0" w14:paraId="46436899" w14:textId="77777777" w:rsidTr="00740AF0">
        <w:trPr>
          <w:trHeight w:val="300"/>
        </w:trPr>
        <w:tc>
          <w:tcPr>
            <w:tcW w:w="3420" w:type="dxa"/>
            <w:tcBorders>
              <w:top w:val="nil"/>
              <w:left w:val="nil"/>
              <w:bottom w:val="nil"/>
              <w:right w:val="nil"/>
            </w:tcBorders>
            <w:shd w:val="clear" w:color="000000" w:fill="FFFFFF"/>
            <w:noWrap/>
            <w:vAlign w:val="bottom"/>
            <w:hideMark/>
          </w:tcPr>
          <w:p w14:paraId="49706AE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Final Energy Intensity (FEI)</w:t>
            </w:r>
          </w:p>
        </w:tc>
        <w:tc>
          <w:tcPr>
            <w:tcW w:w="880" w:type="dxa"/>
            <w:tcBorders>
              <w:top w:val="nil"/>
              <w:left w:val="nil"/>
              <w:bottom w:val="nil"/>
              <w:right w:val="nil"/>
            </w:tcBorders>
            <w:shd w:val="clear" w:color="000000" w:fill="FFFFFF"/>
            <w:noWrap/>
            <w:vAlign w:val="bottom"/>
            <w:hideMark/>
          </w:tcPr>
          <w:p w14:paraId="78C24EF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112295</w:t>
            </w:r>
          </w:p>
        </w:tc>
        <w:tc>
          <w:tcPr>
            <w:tcW w:w="880" w:type="dxa"/>
            <w:tcBorders>
              <w:top w:val="nil"/>
              <w:left w:val="nil"/>
              <w:bottom w:val="nil"/>
              <w:right w:val="nil"/>
            </w:tcBorders>
            <w:shd w:val="clear" w:color="000000" w:fill="FFFFFF"/>
            <w:noWrap/>
            <w:vAlign w:val="bottom"/>
            <w:hideMark/>
          </w:tcPr>
          <w:p w14:paraId="515BA61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98603</w:t>
            </w:r>
          </w:p>
        </w:tc>
        <w:tc>
          <w:tcPr>
            <w:tcW w:w="880" w:type="dxa"/>
            <w:tcBorders>
              <w:top w:val="nil"/>
              <w:left w:val="nil"/>
              <w:bottom w:val="nil"/>
              <w:right w:val="nil"/>
            </w:tcBorders>
            <w:shd w:val="clear" w:color="000000" w:fill="FFFFFF"/>
            <w:noWrap/>
            <w:vAlign w:val="bottom"/>
            <w:hideMark/>
          </w:tcPr>
          <w:p w14:paraId="44002DF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299177</w:t>
            </w:r>
          </w:p>
        </w:tc>
        <w:tc>
          <w:tcPr>
            <w:tcW w:w="880" w:type="dxa"/>
            <w:tcBorders>
              <w:top w:val="nil"/>
              <w:left w:val="nil"/>
              <w:bottom w:val="nil"/>
              <w:right w:val="nil"/>
            </w:tcBorders>
            <w:shd w:val="clear" w:color="000000" w:fill="FFFFFF"/>
            <w:noWrap/>
            <w:vAlign w:val="bottom"/>
            <w:hideMark/>
          </w:tcPr>
          <w:p w14:paraId="55EFC2C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112307</w:t>
            </w:r>
          </w:p>
        </w:tc>
        <w:tc>
          <w:tcPr>
            <w:tcW w:w="880" w:type="dxa"/>
            <w:tcBorders>
              <w:top w:val="nil"/>
              <w:left w:val="nil"/>
              <w:bottom w:val="nil"/>
              <w:right w:val="nil"/>
            </w:tcBorders>
            <w:shd w:val="clear" w:color="000000" w:fill="FFFFFF"/>
            <w:noWrap/>
            <w:vAlign w:val="bottom"/>
            <w:hideMark/>
          </w:tcPr>
          <w:p w14:paraId="6A11388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100188</w:t>
            </w:r>
          </w:p>
        </w:tc>
        <w:tc>
          <w:tcPr>
            <w:tcW w:w="880" w:type="dxa"/>
            <w:tcBorders>
              <w:top w:val="nil"/>
              <w:left w:val="nil"/>
              <w:bottom w:val="nil"/>
              <w:right w:val="nil"/>
            </w:tcBorders>
            <w:shd w:val="clear" w:color="000000" w:fill="FFFFFF"/>
            <w:noWrap/>
            <w:vAlign w:val="bottom"/>
            <w:hideMark/>
          </w:tcPr>
          <w:p w14:paraId="31B21E6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113404</w:t>
            </w:r>
          </w:p>
        </w:tc>
        <w:tc>
          <w:tcPr>
            <w:tcW w:w="880" w:type="dxa"/>
            <w:tcBorders>
              <w:top w:val="nil"/>
              <w:left w:val="nil"/>
              <w:bottom w:val="nil"/>
              <w:right w:val="nil"/>
            </w:tcBorders>
            <w:shd w:val="clear" w:color="000000" w:fill="FFFFFF"/>
            <w:noWrap/>
            <w:vAlign w:val="bottom"/>
            <w:hideMark/>
          </w:tcPr>
          <w:p w14:paraId="1946532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112356</w:t>
            </w:r>
          </w:p>
        </w:tc>
        <w:tc>
          <w:tcPr>
            <w:tcW w:w="880" w:type="dxa"/>
            <w:tcBorders>
              <w:top w:val="nil"/>
              <w:left w:val="nil"/>
              <w:bottom w:val="nil"/>
              <w:right w:val="nil"/>
            </w:tcBorders>
            <w:shd w:val="clear" w:color="000000" w:fill="FFFFFF"/>
            <w:noWrap/>
            <w:vAlign w:val="bottom"/>
            <w:hideMark/>
          </w:tcPr>
          <w:p w14:paraId="39F1D0C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112261</w:t>
            </w:r>
          </w:p>
        </w:tc>
        <w:tc>
          <w:tcPr>
            <w:tcW w:w="880" w:type="dxa"/>
            <w:tcBorders>
              <w:top w:val="nil"/>
              <w:left w:val="nil"/>
              <w:bottom w:val="nil"/>
              <w:right w:val="nil"/>
            </w:tcBorders>
            <w:shd w:val="clear" w:color="000000" w:fill="FFFFFF"/>
            <w:noWrap/>
            <w:vAlign w:val="bottom"/>
            <w:hideMark/>
          </w:tcPr>
          <w:p w14:paraId="0CE3E7B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106323</w:t>
            </w:r>
          </w:p>
        </w:tc>
        <w:tc>
          <w:tcPr>
            <w:tcW w:w="880" w:type="dxa"/>
            <w:tcBorders>
              <w:top w:val="nil"/>
              <w:left w:val="nil"/>
              <w:bottom w:val="nil"/>
              <w:right w:val="nil"/>
            </w:tcBorders>
            <w:shd w:val="clear" w:color="000000" w:fill="FFFFFF"/>
            <w:noWrap/>
            <w:vAlign w:val="bottom"/>
            <w:hideMark/>
          </w:tcPr>
          <w:p w14:paraId="1E3D4DD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112300</w:t>
            </w:r>
          </w:p>
        </w:tc>
        <w:tc>
          <w:tcPr>
            <w:tcW w:w="880" w:type="dxa"/>
            <w:tcBorders>
              <w:top w:val="nil"/>
              <w:left w:val="nil"/>
              <w:bottom w:val="nil"/>
              <w:right w:val="nil"/>
            </w:tcBorders>
            <w:shd w:val="clear" w:color="000000" w:fill="FFFFFF"/>
            <w:noWrap/>
            <w:vAlign w:val="bottom"/>
            <w:hideMark/>
          </w:tcPr>
          <w:p w14:paraId="30E1173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107636</w:t>
            </w:r>
          </w:p>
        </w:tc>
      </w:tr>
      <w:tr w:rsidR="00740AF0" w:rsidRPr="00740AF0" w14:paraId="23C39779" w14:textId="77777777" w:rsidTr="00740AF0">
        <w:trPr>
          <w:trHeight w:val="300"/>
        </w:trPr>
        <w:tc>
          <w:tcPr>
            <w:tcW w:w="3420" w:type="dxa"/>
            <w:tcBorders>
              <w:top w:val="nil"/>
              <w:left w:val="nil"/>
              <w:bottom w:val="nil"/>
              <w:right w:val="nil"/>
            </w:tcBorders>
            <w:shd w:val="clear" w:color="000000" w:fill="FFFFFF"/>
            <w:noWrap/>
            <w:vAlign w:val="bottom"/>
            <w:hideMark/>
          </w:tcPr>
          <w:p w14:paraId="23109F75"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NC Biomass</w:t>
            </w:r>
          </w:p>
        </w:tc>
        <w:tc>
          <w:tcPr>
            <w:tcW w:w="880" w:type="dxa"/>
            <w:tcBorders>
              <w:top w:val="nil"/>
              <w:left w:val="nil"/>
              <w:bottom w:val="nil"/>
              <w:right w:val="nil"/>
            </w:tcBorders>
            <w:shd w:val="clear" w:color="000000" w:fill="FFFFFF"/>
            <w:noWrap/>
            <w:vAlign w:val="bottom"/>
            <w:hideMark/>
          </w:tcPr>
          <w:p w14:paraId="4FC2183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5981</w:t>
            </w:r>
          </w:p>
        </w:tc>
        <w:tc>
          <w:tcPr>
            <w:tcW w:w="880" w:type="dxa"/>
            <w:tcBorders>
              <w:top w:val="nil"/>
              <w:left w:val="nil"/>
              <w:bottom w:val="nil"/>
              <w:right w:val="nil"/>
            </w:tcBorders>
            <w:shd w:val="clear" w:color="000000" w:fill="FFFFFF"/>
            <w:noWrap/>
            <w:vAlign w:val="bottom"/>
            <w:hideMark/>
          </w:tcPr>
          <w:p w14:paraId="6428694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46015</w:t>
            </w:r>
          </w:p>
        </w:tc>
        <w:tc>
          <w:tcPr>
            <w:tcW w:w="880" w:type="dxa"/>
            <w:tcBorders>
              <w:top w:val="nil"/>
              <w:left w:val="nil"/>
              <w:bottom w:val="nil"/>
              <w:right w:val="nil"/>
            </w:tcBorders>
            <w:shd w:val="clear" w:color="000000" w:fill="FFFFFF"/>
            <w:noWrap/>
            <w:vAlign w:val="bottom"/>
            <w:hideMark/>
          </w:tcPr>
          <w:p w14:paraId="7D5B741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34405</w:t>
            </w:r>
          </w:p>
        </w:tc>
        <w:tc>
          <w:tcPr>
            <w:tcW w:w="880" w:type="dxa"/>
            <w:tcBorders>
              <w:top w:val="nil"/>
              <w:left w:val="nil"/>
              <w:bottom w:val="nil"/>
              <w:right w:val="nil"/>
            </w:tcBorders>
            <w:shd w:val="clear" w:color="000000" w:fill="FFFFFF"/>
            <w:noWrap/>
            <w:vAlign w:val="bottom"/>
            <w:hideMark/>
          </w:tcPr>
          <w:p w14:paraId="3881E2D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40951</w:t>
            </w:r>
          </w:p>
        </w:tc>
        <w:tc>
          <w:tcPr>
            <w:tcW w:w="880" w:type="dxa"/>
            <w:tcBorders>
              <w:top w:val="nil"/>
              <w:left w:val="nil"/>
              <w:bottom w:val="nil"/>
              <w:right w:val="nil"/>
            </w:tcBorders>
            <w:shd w:val="clear" w:color="000000" w:fill="FFFFFF"/>
            <w:noWrap/>
            <w:vAlign w:val="bottom"/>
            <w:hideMark/>
          </w:tcPr>
          <w:p w14:paraId="69E7FA0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20038</w:t>
            </w:r>
          </w:p>
        </w:tc>
        <w:tc>
          <w:tcPr>
            <w:tcW w:w="880" w:type="dxa"/>
            <w:tcBorders>
              <w:top w:val="nil"/>
              <w:left w:val="nil"/>
              <w:bottom w:val="nil"/>
              <w:right w:val="nil"/>
            </w:tcBorders>
            <w:shd w:val="clear" w:color="000000" w:fill="FFFFFF"/>
            <w:noWrap/>
            <w:vAlign w:val="bottom"/>
            <w:hideMark/>
          </w:tcPr>
          <w:p w14:paraId="03704AB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34894</w:t>
            </w:r>
          </w:p>
        </w:tc>
        <w:tc>
          <w:tcPr>
            <w:tcW w:w="880" w:type="dxa"/>
            <w:tcBorders>
              <w:top w:val="nil"/>
              <w:left w:val="nil"/>
              <w:bottom w:val="nil"/>
              <w:right w:val="nil"/>
            </w:tcBorders>
            <w:shd w:val="clear" w:color="000000" w:fill="FFFFFF"/>
            <w:noWrap/>
            <w:vAlign w:val="bottom"/>
            <w:hideMark/>
          </w:tcPr>
          <w:p w14:paraId="05EF3CB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112356</w:t>
            </w:r>
          </w:p>
        </w:tc>
        <w:tc>
          <w:tcPr>
            <w:tcW w:w="880" w:type="dxa"/>
            <w:tcBorders>
              <w:top w:val="nil"/>
              <w:left w:val="nil"/>
              <w:bottom w:val="nil"/>
              <w:right w:val="nil"/>
            </w:tcBorders>
            <w:shd w:val="clear" w:color="000000" w:fill="FFFFFF"/>
            <w:noWrap/>
            <w:vAlign w:val="bottom"/>
            <w:hideMark/>
          </w:tcPr>
          <w:p w14:paraId="45F8804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112261</w:t>
            </w:r>
          </w:p>
        </w:tc>
        <w:tc>
          <w:tcPr>
            <w:tcW w:w="880" w:type="dxa"/>
            <w:tcBorders>
              <w:top w:val="nil"/>
              <w:left w:val="nil"/>
              <w:bottom w:val="nil"/>
              <w:right w:val="nil"/>
            </w:tcBorders>
            <w:shd w:val="clear" w:color="000000" w:fill="FFFFFF"/>
            <w:noWrap/>
            <w:vAlign w:val="bottom"/>
            <w:hideMark/>
          </w:tcPr>
          <w:p w14:paraId="695E418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16357</w:t>
            </w:r>
          </w:p>
        </w:tc>
        <w:tc>
          <w:tcPr>
            <w:tcW w:w="880" w:type="dxa"/>
            <w:tcBorders>
              <w:top w:val="nil"/>
              <w:left w:val="nil"/>
              <w:bottom w:val="nil"/>
              <w:right w:val="nil"/>
            </w:tcBorders>
            <w:shd w:val="clear" w:color="000000" w:fill="FFFFFF"/>
            <w:noWrap/>
            <w:vAlign w:val="bottom"/>
            <w:hideMark/>
          </w:tcPr>
          <w:p w14:paraId="60044C5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11105</w:t>
            </w:r>
          </w:p>
        </w:tc>
        <w:tc>
          <w:tcPr>
            <w:tcW w:w="880" w:type="dxa"/>
            <w:tcBorders>
              <w:top w:val="nil"/>
              <w:left w:val="nil"/>
              <w:bottom w:val="nil"/>
              <w:right w:val="nil"/>
            </w:tcBorders>
            <w:shd w:val="clear" w:color="000000" w:fill="FFFFFF"/>
            <w:noWrap/>
            <w:vAlign w:val="bottom"/>
            <w:hideMark/>
          </w:tcPr>
          <w:p w14:paraId="1FF20C0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48153</w:t>
            </w:r>
          </w:p>
        </w:tc>
      </w:tr>
      <w:tr w:rsidR="00740AF0" w:rsidRPr="00740AF0" w14:paraId="34F07E0A" w14:textId="77777777" w:rsidTr="00740AF0">
        <w:trPr>
          <w:trHeight w:val="300"/>
        </w:trPr>
        <w:tc>
          <w:tcPr>
            <w:tcW w:w="3420" w:type="dxa"/>
            <w:tcBorders>
              <w:top w:val="nil"/>
              <w:left w:val="nil"/>
              <w:bottom w:val="nil"/>
              <w:right w:val="nil"/>
            </w:tcBorders>
            <w:shd w:val="clear" w:color="000000" w:fill="FFFFFF"/>
            <w:noWrap/>
            <w:vAlign w:val="bottom"/>
            <w:hideMark/>
          </w:tcPr>
          <w:p w14:paraId="2196C245"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Transport</w:t>
            </w:r>
          </w:p>
        </w:tc>
        <w:tc>
          <w:tcPr>
            <w:tcW w:w="880" w:type="dxa"/>
            <w:tcBorders>
              <w:top w:val="nil"/>
              <w:left w:val="nil"/>
              <w:bottom w:val="nil"/>
              <w:right w:val="nil"/>
            </w:tcBorders>
            <w:shd w:val="clear" w:color="000000" w:fill="FFFFFF"/>
            <w:noWrap/>
            <w:vAlign w:val="bottom"/>
            <w:hideMark/>
          </w:tcPr>
          <w:p w14:paraId="2FA7853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99676</w:t>
            </w:r>
          </w:p>
        </w:tc>
        <w:tc>
          <w:tcPr>
            <w:tcW w:w="880" w:type="dxa"/>
            <w:tcBorders>
              <w:top w:val="nil"/>
              <w:left w:val="nil"/>
              <w:bottom w:val="nil"/>
              <w:right w:val="nil"/>
            </w:tcBorders>
            <w:shd w:val="clear" w:color="000000" w:fill="FFFFFF"/>
            <w:noWrap/>
            <w:vAlign w:val="bottom"/>
            <w:hideMark/>
          </w:tcPr>
          <w:p w14:paraId="48AE790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32868</w:t>
            </w:r>
          </w:p>
        </w:tc>
        <w:tc>
          <w:tcPr>
            <w:tcW w:w="880" w:type="dxa"/>
            <w:tcBorders>
              <w:top w:val="nil"/>
              <w:left w:val="nil"/>
              <w:bottom w:val="nil"/>
              <w:right w:val="nil"/>
            </w:tcBorders>
            <w:shd w:val="clear" w:color="000000" w:fill="FFFFFF"/>
            <w:noWrap/>
            <w:vAlign w:val="bottom"/>
            <w:hideMark/>
          </w:tcPr>
          <w:p w14:paraId="6864F60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112341</w:t>
            </w:r>
          </w:p>
        </w:tc>
        <w:tc>
          <w:tcPr>
            <w:tcW w:w="880" w:type="dxa"/>
            <w:tcBorders>
              <w:top w:val="nil"/>
              <w:left w:val="nil"/>
              <w:bottom w:val="nil"/>
              <w:right w:val="nil"/>
            </w:tcBorders>
            <w:shd w:val="clear" w:color="000000" w:fill="FFFFFF"/>
            <w:noWrap/>
            <w:vAlign w:val="bottom"/>
            <w:hideMark/>
          </w:tcPr>
          <w:p w14:paraId="043F3C2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71664</w:t>
            </w:r>
          </w:p>
        </w:tc>
        <w:tc>
          <w:tcPr>
            <w:tcW w:w="880" w:type="dxa"/>
            <w:tcBorders>
              <w:top w:val="nil"/>
              <w:left w:val="nil"/>
              <w:bottom w:val="nil"/>
              <w:right w:val="nil"/>
            </w:tcBorders>
            <w:shd w:val="clear" w:color="000000" w:fill="FFFFFF"/>
            <w:noWrap/>
            <w:vAlign w:val="bottom"/>
            <w:hideMark/>
          </w:tcPr>
          <w:p w14:paraId="08F3038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112310</w:t>
            </w:r>
          </w:p>
        </w:tc>
        <w:tc>
          <w:tcPr>
            <w:tcW w:w="880" w:type="dxa"/>
            <w:tcBorders>
              <w:top w:val="nil"/>
              <w:left w:val="nil"/>
              <w:bottom w:val="nil"/>
              <w:right w:val="nil"/>
            </w:tcBorders>
            <w:shd w:val="clear" w:color="000000" w:fill="FFFFFF"/>
            <w:noWrap/>
            <w:vAlign w:val="bottom"/>
            <w:hideMark/>
          </w:tcPr>
          <w:p w14:paraId="6DDA17D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113404</w:t>
            </w:r>
          </w:p>
        </w:tc>
        <w:tc>
          <w:tcPr>
            <w:tcW w:w="880" w:type="dxa"/>
            <w:tcBorders>
              <w:top w:val="nil"/>
              <w:left w:val="nil"/>
              <w:bottom w:val="nil"/>
              <w:right w:val="nil"/>
            </w:tcBorders>
            <w:shd w:val="clear" w:color="000000" w:fill="FFFFFF"/>
            <w:noWrap/>
            <w:vAlign w:val="bottom"/>
            <w:hideMark/>
          </w:tcPr>
          <w:p w14:paraId="62D1AB3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123018</w:t>
            </w:r>
          </w:p>
        </w:tc>
        <w:tc>
          <w:tcPr>
            <w:tcW w:w="880" w:type="dxa"/>
            <w:tcBorders>
              <w:top w:val="nil"/>
              <w:left w:val="nil"/>
              <w:bottom w:val="nil"/>
              <w:right w:val="nil"/>
            </w:tcBorders>
            <w:shd w:val="clear" w:color="000000" w:fill="FFFFFF"/>
            <w:noWrap/>
            <w:vAlign w:val="bottom"/>
            <w:hideMark/>
          </w:tcPr>
          <w:p w14:paraId="20A2064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94337</w:t>
            </w:r>
          </w:p>
        </w:tc>
        <w:tc>
          <w:tcPr>
            <w:tcW w:w="880" w:type="dxa"/>
            <w:tcBorders>
              <w:top w:val="nil"/>
              <w:left w:val="nil"/>
              <w:bottom w:val="nil"/>
              <w:right w:val="nil"/>
            </w:tcBorders>
            <w:shd w:val="clear" w:color="000000" w:fill="FFFFFF"/>
            <w:noWrap/>
            <w:vAlign w:val="bottom"/>
            <w:hideMark/>
          </w:tcPr>
          <w:p w14:paraId="02D73BC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112293</w:t>
            </w:r>
          </w:p>
        </w:tc>
        <w:tc>
          <w:tcPr>
            <w:tcW w:w="880" w:type="dxa"/>
            <w:tcBorders>
              <w:top w:val="nil"/>
              <w:left w:val="nil"/>
              <w:bottom w:val="nil"/>
              <w:right w:val="nil"/>
            </w:tcBorders>
            <w:shd w:val="clear" w:color="000000" w:fill="FFFFFF"/>
            <w:noWrap/>
            <w:vAlign w:val="bottom"/>
            <w:hideMark/>
          </w:tcPr>
          <w:p w14:paraId="161C989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97169</w:t>
            </w:r>
          </w:p>
        </w:tc>
        <w:tc>
          <w:tcPr>
            <w:tcW w:w="880" w:type="dxa"/>
            <w:tcBorders>
              <w:top w:val="nil"/>
              <w:left w:val="nil"/>
              <w:bottom w:val="nil"/>
              <w:right w:val="nil"/>
            </w:tcBorders>
            <w:shd w:val="clear" w:color="000000" w:fill="FFFFFF"/>
            <w:noWrap/>
            <w:vAlign w:val="bottom"/>
            <w:hideMark/>
          </w:tcPr>
          <w:p w14:paraId="62175A4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141627</w:t>
            </w:r>
          </w:p>
        </w:tc>
      </w:tr>
      <w:tr w:rsidR="00740AF0" w:rsidRPr="00740AF0" w14:paraId="440CCFB8" w14:textId="77777777" w:rsidTr="00740AF0">
        <w:trPr>
          <w:trHeight w:val="300"/>
        </w:trPr>
        <w:tc>
          <w:tcPr>
            <w:tcW w:w="3420" w:type="dxa"/>
            <w:tcBorders>
              <w:top w:val="nil"/>
              <w:left w:val="nil"/>
              <w:bottom w:val="nil"/>
              <w:right w:val="nil"/>
            </w:tcBorders>
            <w:shd w:val="clear" w:color="000000" w:fill="FFFFFF"/>
            <w:noWrap/>
            <w:vAlign w:val="bottom"/>
            <w:hideMark/>
          </w:tcPr>
          <w:p w14:paraId="09200A5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Res/Com</w:t>
            </w:r>
          </w:p>
        </w:tc>
        <w:tc>
          <w:tcPr>
            <w:tcW w:w="880" w:type="dxa"/>
            <w:tcBorders>
              <w:top w:val="nil"/>
              <w:left w:val="nil"/>
              <w:bottom w:val="nil"/>
              <w:right w:val="nil"/>
            </w:tcBorders>
            <w:shd w:val="clear" w:color="000000" w:fill="FFFFFF"/>
            <w:noWrap/>
            <w:vAlign w:val="bottom"/>
            <w:hideMark/>
          </w:tcPr>
          <w:p w14:paraId="2D399B1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119611</w:t>
            </w:r>
          </w:p>
        </w:tc>
        <w:tc>
          <w:tcPr>
            <w:tcW w:w="880" w:type="dxa"/>
            <w:tcBorders>
              <w:top w:val="nil"/>
              <w:left w:val="nil"/>
              <w:bottom w:val="nil"/>
              <w:right w:val="nil"/>
            </w:tcBorders>
            <w:shd w:val="clear" w:color="000000" w:fill="FFFFFF"/>
            <w:noWrap/>
            <w:vAlign w:val="bottom"/>
            <w:hideMark/>
          </w:tcPr>
          <w:p w14:paraId="15FFF2B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112276</w:t>
            </w:r>
          </w:p>
        </w:tc>
        <w:tc>
          <w:tcPr>
            <w:tcW w:w="880" w:type="dxa"/>
            <w:tcBorders>
              <w:top w:val="nil"/>
              <w:left w:val="nil"/>
              <w:bottom w:val="nil"/>
              <w:right w:val="nil"/>
            </w:tcBorders>
            <w:shd w:val="clear" w:color="000000" w:fill="FFFFFF"/>
            <w:noWrap/>
            <w:vAlign w:val="bottom"/>
            <w:hideMark/>
          </w:tcPr>
          <w:p w14:paraId="170F07C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179506</w:t>
            </w:r>
          </w:p>
        </w:tc>
        <w:tc>
          <w:tcPr>
            <w:tcW w:w="880" w:type="dxa"/>
            <w:tcBorders>
              <w:top w:val="nil"/>
              <w:left w:val="nil"/>
              <w:bottom w:val="nil"/>
              <w:right w:val="nil"/>
            </w:tcBorders>
            <w:shd w:val="clear" w:color="000000" w:fill="FFFFFF"/>
            <w:noWrap/>
            <w:vAlign w:val="bottom"/>
            <w:hideMark/>
          </w:tcPr>
          <w:p w14:paraId="36AA716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153565</w:t>
            </w:r>
          </w:p>
        </w:tc>
        <w:tc>
          <w:tcPr>
            <w:tcW w:w="880" w:type="dxa"/>
            <w:tcBorders>
              <w:top w:val="nil"/>
              <w:left w:val="nil"/>
              <w:bottom w:val="nil"/>
              <w:right w:val="nil"/>
            </w:tcBorders>
            <w:shd w:val="clear" w:color="000000" w:fill="FFFFFF"/>
            <w:noWrap/>
            <w:vAlign w:val="bottom"/>
            <w:hideMark/>
          </w:tcPr>
          <w:p w14:paraId="43CE406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112310</w:t>
            </w:r>
          </w:p>
        </w:tc>
        <w:tc>
          <w:tcPr>
            <w:tcW w:w="880" w:type="dxa"/>
            <w:tcBorders>
              <w:top w:val="nil"/>
              <w:left w:val="nil"/>
              <w:bottom w:val="nil"/>
              <w:right w:val="nil"/>
            </w:tcBorders>
            <w:shd w:val="clear" w:color="000000" w:fill="FFFFFF"/>
            <w:noWrap/>
            <w:vAlign w:val="bottom"/>
            <w:hideMark/>
          </w:tcPr>
          <w:p w14:paraId="5A89BF8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112270</w:t>
            </w:r>
          </w:p>
        </w:tc>
        <w:tc>
          <w:tcPr>
            <w:tcW w:w="880" w:type="dxa"/>
            <w:tcBorders>
              <w:top w:val="nil"/>
              <w:left w:val="nil"/>
              <w:bottom w:val="nil"/>
              <w:right w:val="nil"/>
            </w:tcBorders>
            <w:shd w:val="clear" w:color="000000" w:fill="FFFFFF"/>
            <w:noWrap/>
            <w:vAlign w:val="bottom"/>
            <w:hideMark/>
          </w:tcPr>
          <w:p w14:paraId="71849D0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123018</w:t>
            </w:r>
          </w:p>
        </w:tc>
        <w:tc>
          <w:tcPr>
            <w:tcW w:w="880" w:type="dxa"/>
            <w:tcBorders>
              <w:top w:val="nil"/>
              <w:left w:val="nil"/>
              <w:bottom w:val="nil"/>
              <w:right w:val="nil"/>
            </w:tcBorders>
            <w:shd w:val="clear" w:color="000000" w:fill="FFFFFF"/>
            <w:noWrap/>
            <w:vAlign w:val="bottom"/>
            <w:hideMark/>
          </w:tcPr>
          <w:p w14:paraId="0788848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157229</w:t>
            </w:r>
          </w:p>
        </w:tc>
        <w:tc>
          <w:tcPr>
            <w:tcW w:w="880" w:type="dxa"/>
            <w:tcBorders>
              <w:top w:val="nil"/>
              <w:left w:val="nil"/>
              <w:bottom w:val="nil"/>
              <w:right w:val="nil"/>
            </w:tcBorders>
            <w:shd w:val="clear" w:color="000000" w:fill="FFFFFF"/>
            <w:noWrap/>
            <w:vAlign w:val="bottom"/>
            <w:hideMark/>
          </w:tcPr>
          <w:p w14:paraId="1B514CC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112293</w:t>
            </w:r>
          </w:p>
        </w:tc>
        <w:tc>
          <w:tcPr>
            <w:tcW w:w="880" w:type="dxa"/>
            <w:tcBorders>
              <w:top w:val="nil"/>
              <w:left w:val="nil"/>
              <w:bottom w:val="nil"/>
              <w:right w:val="nil"/>
            </w:tcBorders>
            <w:shd w:val="clear" w:color="000000" w:fill="FFFFFF"/>
            <w:noWrap/>
            <w:vAlign w:val="bottom"/>
            <w:hideMark/>
          </w:tcPr>
          <w:p w14:paraId="18FAE29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112300</w:t>
            </w:r>
          </w:p>
        </w:tc>
        <w:tc>
          <w:tcPr>
            <w:tcW w:w="880" w:type="dxa"/>
            <w:tcBorders>
              <w:top w:val="nil"/>
              <w:left w:val="nil"/>
              <w:bottom w:val="nil"/>
              <w:right w:val="nil"/>
            </w:tcBorders>
            <w:shd w:val="clear" w:color="000000" w:fill="FFFFFF"/>
            <w:noWrap/>
            <w:vAlign w:val="bottom"/>
            <w:hideMark/>
          </w:tcPr>
          <w:p w14:paraId="6BD4214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141627</w:t>
            </w:r>
          </w:p>
        </w:tc>
      </w:tr>
      <w:tr w:rsidR="00740AF0" w:rsidRPr="00740AF0" w14:paraId="69DAF67C" w14:textId="77777777" w:rsidTr="00740AF0">
        <w:trPr>
          <w:trHeight w:val="300"/>
        </w:trPr>
        <w:tc>
          <w:tcPr>
            <w:tcW w:w="3420" w:type="dxa"/>
            <w:tcBorders>
              <w:top w:val="nil"/>
              <w:left w:val="nil"/>
              <w:bottom w:val="nil"/>
              <w:right w:val="nil"/>
            </w:tcBorders>
            <w:shd w:val="clear" w:color="000000" w:fill="FFFFFF"/>
            <w:noWrap/>
            <w:vAlign w:val="bottom"/>
            <w:hideMark/>
          </w:tcPr>
          <w:p w14:paraId="3A89B1AB"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Industry</w:t>
            </w:r>
          </w:p>
        </w:tc>
        <w:tc>
          <w:tcPr>
            <w:tcW w:w="880" w:type="dxa"/>
            <w:tcBorders>
              <w:top w:val="nil"/>
              <w:left w:val="nil"/>
              <w:bottom w:val="nil"/>
              <w:right w:val="nil"/>
            </w:tcBorders>
            <w:shd w:val="clear" w:color="000000" w:fill="FFFFFF"/>
            <w:noWrap/>
            <w:vAlign w:val="bottom"/>
            <w:hideMark/>
          </w:tcPr>
          <w:p w14:paraId="4F71AF3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39870</w:t>
            </w:r>
          </w:p>
        </w:tc>
        <w:tc>
          <w:tcPr>
            <w:tcW w:w="880" w:type="dxa"/>
            <w:tcBorders>
              <w:top w:val="nil"/>
              <w:left w:val="nil"/>
              <w:bottom w:val="nil"/>
              <w:right w:val="nil"/>
            </w:tcBorders>
            <w:shd w:val="clear" w:color="000000" w:fill="FFFFFF"/>
            <w:noWrap/>
            <w:vAlign w:val="bottom"/>
            <w:hideMark/>
          </w:tcPr>
          <w:p w14:paraId="575B660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105177</w:t>
            </w:r>
          </w:p>
        </w:tc>
        <w:tc>
          <w:tcPr>
            <w:tcW w:w="880" w:type="dxa"/>
            <w:tcBorders>
              <w:top w:val="nil"/>
              <w:left w:val="nil"/>
              <w:bottom w:val="nil"/>
              <w:right w:val="nil"/>
            </w:tcBorders>
            <w:shd w:val="clear" w:color="000000" w:fill="FFFFFF"/>
            <w:noWrap/>
            <w:vAlign w:val="bottom"/>
            <w:hideMark/>
          </w:tcPr>
          <w:p w14:paraId="686642A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164547</w:t>
            </w:r>
          </w:p>
        </w:tc>
        <w:tc>
          <w:tcPr>
            <w:tcW w:w="880" w:type="dxa"/>
            <w:tcBorders>
              <w:top w:val="nil"/>
              <w:left w:val="nil"/>
              <w:bottom w:val="nil"/>
              <w:right w:val="nil"/>
            </w:tcBorders>
            <w:shd w:val="clear" w:color="000000" w:fill="FFFFFF"/>
            <w:noWrap/>
            <w:vAlign w:val="bottom"/>
            <w:hideMark/>
          </w:tcPr>
          <w:p w14:paraId="3618FE2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92139</w:t>
            </w:r>
          </w:p>
        </w:tc>
        <w:tc>
          <w:tcPr>
            <w:tcW w:w="880" w:type="dxa"/>
            <w:tcBorders>
              <w:top w:val="nil"/>
              <w:left w:val="nil"/>
              <w:bottom w:val="nil"/>
              <w:right w:val="nil"/>
            </w:tcBorders>
            <w:shd w:val="clear" w:color="000000" w:fill="FFFFFF"/>
            <w:noWrap/>
            <w:vAlign w:val="bottom"/>
            <w:hideMark/>
          </w:tcPr>
          <w:p w14:paraId="77DA078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40075</w:t>
            </w:r>
          </w:p>
        </w:tc>
        <w:tc>
          <w:tcPr>
            <w:tcW w:w="880" w:type="dxa"/>
            <w:tcBorders>
              <w:top w:val="nil"/>
              <w:left w:val="nil"/>
              <w:bottom w:val="nil"/>
              <w:right w:val="nil"/>
            </w:tcBorders>
            <w:shd w:val="clear" w:color="000000" w:fill="FFFFFF"/>
            <w:noWrap/>
            <w:vAlign w:val="bottom"/>
            <w:hideMark/>
          </w:tcPr>
          <w:p w14:paraId="0260F56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112270</w:t>
            </w:r>
          </w:p>
        </w:tc>
        <w:tc>
          <w:tcPr>
            <w:tcW w:w="880" w:type="dxa"/>
            <w:tcBorders>
              <w:top w:val="nil"/>
              <w:left w:val="nil"/>
              <w:bottom w:val="nil"/>
              <w:right w:val="nil"/>
            </w:tcBorders>
            <w:shd w:val="clear" w:color="000000" w:fill="FFFFFF"/>
            <w:noWrap/>
            <w:vAlign w:val="bottom"/>
            <w:hideMark/>
          </w:tcPr>
          <w:p w14:paraId="5CB3656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123018</w:t>
            </w:r>
          </w:p>
        </w:tc>
        <w:tc>
          <w:tcPr>
            <w:tcW w:w="880" w:type="dxa"/>
            <w:tcBorders>
              <w:top w:val="nil"/>
              <w:left w:val="nil"/>
              <w:bottom w:val="nil"/>
              <w:right w:val="nil"/>
            </w:tcBorders>
            <w:shd w:val="clear" w:color="000000" w:fill="FFFFFF"/>
            <w:noWrap/>
            <w:vAlign w:val="bottom"/>
            <w:hideMark/>
          </w:tcPr>
          <w:p w14:paraId="694528D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112261</w:t>
            </w:r>
          </w:p>
        </w:tc>
        <w:tc>
          <w:tcPr>
            <w:tcW w:w="880" w:type="dxa"/>
            <w:tcBorders>
              <w:top w:val="nil"/>
              <w:left w:val="nil"/>
              <w:bottom w:val="nil"/>
              <w:right w:val="nil"/>
            </w:tcBorders>
            <w:shd w:val="clear" w:color="000000" w:fill="FFFFFF"/>
            <w:noWrap/>
            <w:vAlign w:val="bottom"/>
            <w:hideMark/>
          </w:tcPr>
          <w:p w14:paraId="1D3C681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126769</w:t>
            </w:r>
          </w:p>
        </w:tc>
        <w:tc>
          <w:tcPr>
            <w:tcW w:w="880" w:type="dxa"/>
            <w:tcBorders>
              <w:top w:val="nil"/>
              <w:left w:val="nil"/>
              <w:bottom w:val="nil"/>
              <w:right w:val="nil"/>
            </w:tcBorders>
            <w:shd w:val="clear" w:color="000000" w:fill="FFFFFF"/>
            <w:noWrap/>
            <w:vAlign w:val="bottom"/>
            <w:hideMark/>
          </w:tcPr>
          <w:p w14:paraId="3173209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83288</w:t>
            </w:r>
          </w:p>
        </w:tc>
        <w:tc>
          <w:tcPr>
            <w:tcW w:w="880" w:type="dxa"/>
            <w:tcBorders>
              <w:top w:val="nil"/>
              <w:left w:val="nil"/>
              <w:bottom w:val="nil"/>
              <w:right w:val="nil"/>
            </w:tcBorders>
            <w:shd w:val="clear" w:color="000000" w:fill="FFFFFF"/>
            <w:noWrap/>
            <w:vAlign w:val="bottom"/>
            <w:hideMark/>
          </w:tcPr>
          <w:p w14:paraId="28B6049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127464</w:t>
            </w:r>
          </w:p>
        </w:tc>
      </w:tr>
      <w:tr w:rsidR="00740AF0" w:rsidRPr="00740AF0" w14:paraId="6013A8D3" w14:textId="77777777" w:rsidTr="00740AF0">
        <w:trPr>
          <w:trHeight w:val="300"/>
        </w:trPr>
        <w:tc>
          <w:tcPr>
            <w:tcW w:w="3420" w:type="dxa"/>
            <w:tcBorders>
              <w:top w:val="nil"/>
              <w:left w:val="nil"/>
              <w:bottom w:val="nil"/>
              <w:right w:val="nil"/>
            </w:tcBorders>
            <w:shd w:val="clear" w:color="000000" w:fill="FFFFFF"/>
            <w:noWrap/>
            <w:vAlign w:val="bottom"/>
            <w:hideMark/>
          </w:tcPr>
          <w:p w14:paraId="102EE6E4"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Res/Com</w:t>
            </w:r>
          </w:p>
        </w:tc>
        <w:tc>
          <w:tcPr>
            <w:tcW w:w="880" w:type="dxa"/>
            <w:tcBorders>
              <w:top w:val="nil"/>
              <w:left w:val="nil"/>
              <w:bottom w:val="nil"/>
              <w:right w:val="nil"/>
            </w:tcBorders>
            <w:shd w:val="clear" w:color="000000" w:fill="FFFFFF"/>
            <w:noWrap/>
            <w:vAlign w:val="bottom"/>
            <w:hideMark/>
          </w:tcPr>
          <w:p w14:paraId="725C654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112295</w:t>
            </w:r>
          </w:p>
        </w:tc>
        <w:tc>
          <w:tcPr>
            <w:tcW w:w="880" w:type="dxa"/>
            <w:tcBorders>
              <w:top w:val="nil"/>
              <w:left w:val="nil"/>
              <w:bottom w:val="nil"/>
              <w:right w:val="nil"/>
            </w:tcBorders>
            <w:shd w:val="clear" w:color="000000" w:fill="FFFFFF"/>
            <w:noWrap/>
            <w:vAlign w:val="bottom"/>
            <w:hideMark/>
          </w:tcPr>
          <w:p w14:paraId="5DA58A2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112276</w:t>
            </w:r>
          </w:p>
        </w:tc>
        <w:tc>
          <w:tcPr>
            <w:tcW w:w="880" w:type="dxa"/>
            <w:tcBorders>
              <w:top w:val="nil"/>
              <w:left w:val="nil"/>
              <w:bottom w:val="nil"/>
              <w:right w:val="nil"/>
            </w:tcBorders>
            <w:shd w:val="clear" w:color="000000" w:fill="FFFFFF"/>
            <w:noWrap/>
            <w:vAlign w:val="bottom"/>
            <w:hideMark/>
          </w:tcPr>
          <w:p w14:paraId="32B24A6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112341</w:t>
            </w:r>
          </w:p>
        </w:tc>
        <w:tc>
          <w:tcPr>
            <w:tcW w:w="880" w:type="dxa"/>
            <w:tcBorders>
              <w:top w:val="nil"/>
              <w:left w:val="nil"/>
              <w:bottom w:val="nil"/>
              <w:right w:val="nil"/>
            </w:tcBorders>
            <w:shd w:val="clear" w:color="000000" w:fill="FFFFFF"/>
            <w:noWrap/>
            <w:vAlign w:val="bottom"/>
            <w:hideMark/>
          </w:tcPr>
          <w:p w14:paraId="7CDCD60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112307</w:t>
            </w:r>
          </w:p>
        </w:tc>
        <w:tc>
          <w:tcPr>
            <w:tcW w:w="880" w:type="dxa"/>
            <w:tcBorders>
              <w:top w:val="nil"/>
              <w:left w:val="nil"/>
              <w:bottom w:val="nil"/>
              <w:right w:val="nil"/>
            </w:tcBorders>
            <w:shd w:val="clear" w:color="000000" w:fill="FFFFFF"/>
            <w:noWrap/>
            <w:vAlign w:val="bottom"/>
            <w:hideMark/>
          </w:tcPr>
          <w:p w14:paraId="3F0D07B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112310</w:t>
            </w:r>
          </w:p>
        </w:tc>
        <w:tc>
          <w:tcPr>
            <w:tcW w:w="880" w:type="dxa"/>
            <w:tcBorders>
              <w:top w:val="nil"/>
              <w:left w:val="nil"/>
              <w:bottom w:val="nil"/>
              <w:right w:val="nil"/>
            </w:tcBorders>
            <w:shd w:val="clear" w:color="000000" w:fill="FFFFFF"/>
            <w:noWrap/>
            <w:vAlign w:val="bottom"/>
            <w:hideMark/>
          </w:tcPr>
          <w:p w14:paraId="71ECF01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87234</w:t>
            </w:r>
          </w:p>
        </w:tc>
        <w:tc>
          <w:tcPr>
            <w:tcW w:w="880" w:type="dxa"/>
            <w:tcBorders>
              <w:top w:val="nil"/>
              <w:left w:val="nil"/>
              <w:bottom w:val="nil"/>
              <w:right w:val="nil"/>
            </w:tcBorders>
            <w:shd w:val="clear" w:color="000000" w:fill="FFFFFF"/>
            <w:noWrap/>
            <w:vAlign w:val="bottom"/>
            <w:hideMark/>
          </w:tcPr>
          <w:p w14:paraId="29C34D3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131219</w:t>
            </w:r>
          </w:p>
        </w:tc>
        <w:tc>
          <w:tcPr>
            <w:tcW w:w="880" w:type="dxa"/>
            <w:tcBorders>
              <w:top w:val="nil"/>
              <w:left w:val="nil"/>
              <w:bottom w:val="nil"/>
              <w:right w:val="nil"/>
            </w:tcBorders>
            <w:shd w:val="clear" w:color="000000" w:fill="FFFFFF"/>
            <w:noWrap/>
            <w:vAlign w:val="bottom"/>
            <w:hideMark/>
          </w:tcPr>
          <w:p w14:paraId="44760CE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132072</w:t>
            </w:r>
          </w:p>
        </w:tc>
        <w:tc>
          <w:tcPr>
            <w:tcW w:w="880" w:type="dxa"/>
            <w:tcBorders>
              <w:top w:val="nil"/>
              <w:left w:val="nil"/>
              <w:bottom w:val="nil"/>
              <w:right w:val="nil"/>
            </w:tcBorders>
            <w:shd w:val="clear" w:color="000000" w:fill="FFFFFF"/>
            <w:noWrap/>
            <w:vAlign w:val="bottom"/>
            <w:hideMark/>
          </w:tcPr>
          <w:p w14:paraId="7FDAA0A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112293</w:t>
            </w:r>
          </w:p>
        </w:tc>
        <w:tc>
          <w:tcPr>
            <w:tcW w:w="880" w:type="dxa"/>
            <w:tcBorders>
              <w:top w:val="nil"/>
              <w:left w:val="nil"/>
              <w:bottom w:val="nil"/>
              <w:right w:val="nil"/>
            </w:tcBorders>
            <w:shd w:val="clear" w:color="000000" w:fill="FFFFFF"/>
            <w:noWrap/>
            <w:vAlign w:val="bottom"/>
            <w:hideMark/>
          </w:tcPr>
          <w:p w14:paraId="0153497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112300</w:t>
            </w:r>
          </w:p>
        </w:tc>
        <w:tc>
          <w:tcPr>
            <w:tcW w:w="880" w:type="dxa"/>
            <w:tcBorders>
              <w:top w:val="nil"/>
              <w:left w:val="nil"/>
              <w:bottom w:val="nil"/>
              <w:right w:val="nil"/>
            </w:tcBorders>
            <w:shd w:val="clear" w:color="000000" w:fill="FFFFFF"/>
            <w:noWrap/>
            <w:vAlign w:val="bottom"/>
            <w:hideMark/>
          </w:tcPr>
          <w:p w14:paraId="7335553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112168</w:t>
            </w:r>
          </w:p>
        </w:tc>
      </w:tr>
      <w:tr w:rsidR="00740AF0" w:rsidRPr="00740AF0" w14:paraId="72B2B7FD" w14:textId="77777777" w:rsidTr="002F05DB">
        <w:trPr>
          <w:trHeight w:val="300"/>
        </w:trPr>
        <w:tc>
          <w:tcPr>
            <w:tcW w:w="3420" w:type="dxa"/>
            <w:tcBorders>
              <w:top w:val="nil"/>
              <w:left w:val="nil"/>
              <w:right w:val="nil"/>
            </w:tcBorders>
            <w:shd w:val="clear" w:color="000000" w:fill="FFFFFF"/>
            <w:noWrap/>
            <w:vAlign w:val="bottom"/>
            <w:hideMark/>
          </w:tcPr>
          <w:p w14:paraId="6D409DB6"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Feedstock Share Industry</w:t>
            </w:r>
          </w:p>
        </w:tc>
        <w:tc>
          <w:tcPr>
            <w:tcW w:w="880" w:type="dxa"/>
            <w:tcBorders>
              <w:top w:val="nil"/>
              <w:left w:val="nil"/>
              <w:right w:val="nil"/>
            </w:tcBorders>
            <w:shd w:val="clear" w:color="000000" w:fill="FFFFFF"/>
            <w:noWrap/>
            <w:vAlign w:val="bottom"/>
            <w:hideMark/>
          </w:tcPr>
          <w:p w14:paraId="62EF410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112295</w:t>
            </w:r>
          </w:p>
        </w:tc>
        <w:tc>
          <w:tcPr>
            <w:tcW w:w="880" w:type="dxa"/>
            <w:tcBorders>
              <w:top w:val="nil"/>
              <w:left w:val="nil"/>
              <w:right w:val="nil"/>
            </w:tcBorders>
            <w:shd w:val="clear" w:color="000000" w:fill="FFFFFF"/>
            <w:noWrap/>
            <w:vAlign w:val="bottom"/>
            <w:hideMark/>
          </w:tcPr>
          <w:p w14:paraId="0F9DC72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112276</w:t>
            </w:r>
          </w:p>
        </w:tc>
        <w:tc>
          <w:tcPr>
            <w:tcW w:w="880" w:type="dxa"/>
            <w:tcBorders>
              <w:top w:val="nil"/>
              <w:left w:val="nil"/>
              <w:right w:val="nil"/>
            </w:tcBorders>
            <w:shd w:val="clear" w:color="000000" w:fill="FFFFFF"/>
            <w:noWrap/>
            <w:vAlign w:val="bottom"/>
            <w:hideMark/>
          </w:tcPr>
          <w:p w14:paraId="32EE5D2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112341</w:t>
            </w:r>
          </w:p>
        </w:tc>
        <w:tc>
          <w:tcPr>
            <w:tcW w:w="880" w:type="dxa"/>
            <w:tcBorders>
              <w:top w:val="nil"/>
              <w:left w:val="nil"/>
              <w:right w:val="nil"/>
            </w:tcBorders>
            <w:shd w:val="clear" w:color="000000" w:fill="FFFFFF"/>
            <w:noWrap/>
            <w:vAlign w:val="bottom"/>
            <w:hideMark/>
          </w:tcPr>
          <w:p w14:paraId="7D78017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112307</w:t>
            </w:r>
          </w:p>
        </w:tc>
        <w:tc>
          <w:tcPr>
            <w:tcW w:w="880" w:type="dxa"/>
            <w:tcBorders>
              <w:top w:val="nil"/>
              <w:left w:val="nil"/>
              <w:right w:val="nil"/>
            </w:tcBorders>
            <w:shd w:val="clear" w:color="000000" w:fill="FFFFFF"/>
            <w:noWrap/>
            <w:vAlign w:val="bottom"/>
            <w:hideMark/>
          </w:tcPr>
          <w:p w14:paraId="7FDD5F2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112310</w:t>
            </w:r>
          </w:p>
        </w:tc>
        <w:tc>
          <w:tcPr>
            <w:tcW w:w="880" w:type="dxa"/>
            <w:tcBorders>
              <w:top w:val="nil"/>
              <w:left w:val="nil"/>
              <w:right w:val="nil"/>
            </w:tcBorders>
            <w:shd w:val="clear" w:color="000000" w:fill="FFFFFF"/>
            <w:noWrap/>
            <w:vAlign w:val="bottom"/>
            <w:hideMark/>
          </w:tcPr>
          <w:p w14:paraId="6A98B0C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112270</w:t>
            </w:r>
          </w:p>
        </w:tc>
        <w:tc>
          <w:tcPr>
            <w:tcW w:w="880" w:type="dxa"/>
            <w:tcBorders>
              <w:top w:val="nil"/>
              <w:left w:val="nil"/>
              <w:right w:val="nil"/>
            </w:tcBorders>
            <w:shd w:val="clear" w:color="000000" w:fill="FFFFFF"/>
            <w:noWrap/>
            <w:vAlign w:val="bottom"/>
            <w:hideMark/>
          </w:tcPr>
          <w:p w14:paraId="7EC309D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123018</w:t>
            </w:r>
          </w:p>
        </w:tc>
        <w:tc>
          <w:tcPr>
            <w:tcW w:w="880" w:type="dxa"/>
            <w:tcBorders>
              <w:top w:val="nil"/>
              <w:left w:val="nil"/>
              <w:right w:val="nil"/>
            </w:tcBorders>
            <w:shd w:val="clear" w:color="000000" w:fill="FFFFFF"/>
            <w:noWrap/>
            <w:vAlign w:val="bottom"/>
            <w:hideMark/>
          </w:tcPr>
          <w:p w14:paraId="1B5CD8B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125783</w:t>
            </w:r>
          </w:p>
        </w:tc>
        <w:tc>
          <w:tcPr>
            <w:tcW w:w="880" w:type="dxa"/>
            <w:tcBorders>
              <w:top w:val="nil"/>
              <w:left w:val="nil"/>
              <w:right w:val="nil"/>
            </w:tcBorders>
            <w:shd w:val="clear" w:color="000000" w:fill="FFFFFF"/>
            <w:noWrap/>
            <w:vAlign w:val="bottom"/>
            <w:hideMark/>
          </w:tcPr>
          <w:p w14:paraId="53F1CDA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112293</w:t>
            </w:r>
          </w:p>
        </w:tc>
        <w:tc>
          <w:tcPr>
            <w:tcW w:w="880" w:type="dxa"/>
            <w:tcBorders>
              <w:top w:val="nil"/>
              <w:left w:val="nil"/>
              <w:right w:val="nil"/>
            </w:tcBorders>
            <w:shd w:val="clear" w:color="000000" w:fill="FFFFFF"/>
            <w:noWrap/>
            <w:vAlign w:val="bottom"/>
            <w:hideMark/>
          </w:tcPr>
          <w:p w14:paraId="7E6B40D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112300</w:t>
            </w:r>
          </w:p>
        </w:tc>
        <w:tc>
          <w:tcPr>
            <w:tcW w:w="880" w:type="dxa"/>
            <w:tcBorders>
              <w:top w:val="nil"/>
              <w:left w:val="nil"/>
              <w:right w:val="nil"/>
            </w:tcBorders>
            <w:shd w:val="clear" w:color="000000" w:fill="FFFFFF"/>
            <w:noWrap/>
            <w:vAlign w:val="bottom"/>
            <w:hideMark/>
          </w:tcPr>
          <w:p w14:paraId="73A3EC7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112168</w:t>
            </w:r>
          </w:p>
        </w:tc>
      </w:tr>
      <w:tr w:rsidR="00740AF0" w:rsidRPr="00740AF0" w14:paraId="7CFB6000" w14:textId="77777777" w:rsidTr="002F05DB">
        <w:trPr>
          <w:trHeight w:val="315"/>
        </w:trPr>
        <w:tc>
          <w:tcPr>
            <w:tcW w:w="3420" w:type="dxa"/>
            <w:tcBorders>
              <w:top w:val="nil"/>
              <w:left w:val="nil"/>
              <w:bottom w:val="single" w:sz="4" w:space="0" w:color="auto"/>
              <w:right w:val="nil"/>
            </w:tcBorders>
            <w:shd w:val="clear" w:color="000000" w:fill="FFFFFF"/>
            <w:noWrap/>
            <w:vAlign w:val="bottom"/>
            <w:hideMark/>
          </w:tcPr>
          <w:p w14:paraId="4D495860"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Industry</w:t>
            </w:r>
          </w:p>
        </w:tc>
        <w:tc>
          <w:tcPr>
            <w:tcW w:w="880" w:type="dxa"/>
            <w:tcBorders>
              <w:top w:val="nil"/>
              <w:left w:val="nil"/>
              <w:bottom w:val="single" w:sz="4" w:space="0" w:color="auto"/>
              <w:right w:val="nil"/>
            </w:tcBorders>
            <w:shd w:val="clear" w:color="000000" w:fill="FFFFFF"/>
            <w:noWrap/>
            <w:vAlign w:val="bottom"/>
            <w:hideMark/>
          </w:tcPr>
          <w:p w14:paraId="11D0314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112295</w:t>
            </w:r>
          </w:p>
        </w:tc>
        <w:tc>
          <w:tcPr>
            <w:tcW w:w="880" w:type="dxa"/>
            <w:tcBorders>
              <w:top w:val="nil"/>
              <w:left w:val="nil"/>
              <w:bottom w:val="single" w:sz="4" w:space="0" w:color="auto"/>
              <w:right w:val="nil"/>
            </w:tcBorders>
            <w:shd w:val="clear" w:color="000000" w:fill="FFFFFF"/>
            <w:noWrap/>
            <w:vAlign w:val="bottom"/>
            <w:hideMark/>
          </w:tcPr>
          <w:p w14:paraId="7AFEE81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98603</w:t>
            </w:r>
          </w:p>
        </w:tc>
        <w:tc>
          <w:tcPr>
            <w:tcW w:w="880" w:type="dxa"/>
            <w:tcBorders>
              <w:top w:val="nil"/>
              <w:left w:val="nil"/>
              <w:bottom w:val="single" w:sz="4" w:space="0" w:color="auto"/>
              <w:right w:val="nil"/>
            </w:tcBorders>
            <w:shd w:val="clear" w:color="000000" w:fill="FFFFFF"/>
            <w:noWrap/>
            <w:vAlign w:val="bottom"/>
            <w:hideMark/>
          </w:tcPr>
          <w:p w14:paraId="201B049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299177</w:t>
            </w:r>
          </w:p>
        </w:tc>
        <w:tc>
          <w:tcPr>
            <w:tcW w:w="880" w:type="dxa"/>
            <w:tcBorders>
              <w:top w:val="nil"/>
              <w:left w:val="nil"/>
              <w:bottom w:val="single" w:sz="4" w:space="0" w:color="auto"/>
              <w:right w:val="nil"/>
            </w:tcBorders>
            <w:shd w:val="clear" w:color="000000" w:fill="FFFFFF"/>
            <w:noWrap/>
            <w:vAlign w:val="bottom"/>
            <w:hideMark/>
          </w:tcPr>
          <w:p w14:paraId="478BD1E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112307</w:t>
            </w:r>
          </w:p>
        </w:tc>
        <w:tc>
          <w:tcPr>
            <w:tcW w:w="880" w:type="dxa"/>
            <w:tcBorders>
              <w:top w:val="nil"/>
              <w:left w:val="nil"/>
              <w:bottom w:val="single" w:sz="4" w:space="0" w:color="auto"/>
              <w:right w:val="nil"/>
            </w:tcBorders>
            <w:shd w:val="clear" w:color="000000" w:fill="FFFFFF"/>
            <w:noWrap/>
            <w:vAlign w:val="bottom"/>
            <w:hideMark/>
          </w:tcPr>
          <w:p w14:paraId="5A0125F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100188</w:t>
            </w:r>
          </w:p>
        </w:tc>
        <w:tc>
          <w:tcPr>
            <w:tcW w:w="880" w:type="dxa"/>
            <w:tcBorders>
              <w:top w:val="nil"/>
              <w:left w:val="nil"/>
              <w:bottom w:val="single" w:sz="4" w:space="0" w:color="auto"/>
              <w:right w:val="nil"/>
            </w:tcBorders>
            <w:shd w:val="clear" w:color="000000" w:fill="FFFFFF"/>
            <w:noWrap/>
            <w:vAlign w:val="bottom"/>
            <w:hideMark/>
          </w:tcPr>
          <w:p w14:paraId="791B8A9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113404</w:t>
            </w:r>
          </w:p>
        </w:tc>
        <w:tc>
          <w:tcPr>
            <w:tcW w:w="880" w:type="dxa"/>
            <w:tcBorders>
              <w:top w:val="nil"/>
              <w:left w:val="nil"/>
              <w:bottom w:val="single" w:sz="4" w:space="0" w:color="auto"/>
              <w:right w:val="nil"/>
            </w:tcBorders>
            <w:shd w:val="clear" w:color="000000" w:fill="FFFFFF"/>
            <w:noWrap/>
            <w:vAlign w:val="bottom"/>
            <w:hideMark/>
          </w:tcPr>
          <w:p w14:paraId="30A1A73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112356</w:t>
            </w:r>
          </w:p>
        </w:tc>
        <w:tc>
          <w:tcPr>
            <w:tcW w:w="880" w:type="dxa"/>
            <w:tcBorders>
              <w:top w:val="nil"/>
              <w:left w:val="nil"/>
              <w:bottom w:val="single" w:sz="4" w:space="0" w:color="auto"/>
              <w:right w:val="nil"/>
            </w:tcBorders>
            <w:shd w:val="clear" w:color="000000" w:fill="FFFFFF"/>
            <w:noWrap/>
            <w:vAlign w:val="bottom"/>
            <w:hideMark/>
          </w:tcPr>
          <w:p w14:paraId="4498BE5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112261</w:t>
            </w:r>
          </w:p>
        </w:tc>
        <w:tc>
          <w:tcPr>
            <w:tcW w:w="880" w:type="dxa"/>
            <w:tcBorders>
              <w:top w:val="nil"/>
              <w:left w:val="nil"/>
              <w:bottom w:val="single" w:sz="4" w:space="0" w:color="auto"/>
              <w:right w:val="nil"/>
            </w:tcBorders>
            <w:shd w:val="clear" w:color="000000" w:fill="FFFFFF"/>
            <w:noWrap/>
            <w:vAlign w:val="bottom"/>
            <w:hideMark/>
          </w:tcPr>
          <w:p w14:paraId="32CA4BB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106323</w:t>
            </w:r>
          </w:p>
        </w:tc>
        <w:tc>
          <w:tcPr>
            <w:tcW w:w="880" w:type="dxa"/>
            <w:tcBorders>
              <w:top w:val="nil"/>
              <w:left w:val="nil"/>
              <w:bottom w:val="single" w:sz="4" w:space="0" w:color="auto"/>
              <w:right w:val="nil"/>
            </w:tcBorders>
            <w:shd w:val="clear" w:color="000000" w:fill="FFFFFF"/>
            <w:noWrap/>
            <w:vAlign w:val="bottom"/>
            <w:hideMark/>
          </w:tcPr>
          <w:p w14:paraId="15C7BC5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112300</w:t>
            </w:r>
          </w:p>
        </w:tc>
        <w:tc>
          <w:tcPr>
            <w:tcW w:w="880" w:type="dxa"/>
            <w:tcBorders>
              <w:top w:val="nil"/>
              <w:left w:val="nil"/>
              <w:bottom w:val="single" w:sz="4" w:space="0" w:color="auto"/>
              <w:right w:val="nil"/>
            </w:tcBorders>
            <w:shd w:val="clear" w:color="000000" w:fill="FFFFFF"/>
            <w:noWrap/>
            <w:vAlign w:val="bottom"/>
            <w:hideMark/>
          </w:tcPr>
          <w:p w14:paraId="2A904D8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107636</w:t>
            </w:r>
          </w:p>
        </w:tc>
      </w:tr>
    </w:tbl>
    <w:p w14:paraId="32A690E4" w14:textId="7CF72678" w:rsidR="00740AF0" w:rsidRDefault="00740AF0" w:rsidP="00AC0B4E">
      <w:pPr>
        <w:rPr>
          <w:lang w:val="en-GB"/>
        </w:rPr>
      </w:pPr>
    </w:p>
    <w:p w14:paraId="308BB2DF" w14:textId="77777777" w:rsidR="00740AF0" w:rsidRDefault="00740AF0">
      <w:pPr>
        <w:spacing w:line="259" w:lineRule="auto"/>
        <w:rPr>
          <w:lang w:val="en-GB"/>
        </w:rPr>
      </w:pPr>
      <w:r>
        <w:rPr>
          <w:lang w:val="en-GB"/>
        </w:rPr>
        <w:br w:type="page"/>
      </w:r>
    </w:p>
    <w:p w14:paraId="73E27B7D" w14:textId="22A6B19F" w:rsidR="00740AF0" w:rsidRDefault="00740AF0" w:rsidP="00740AF0">
      <w:pPr>
        <w:pStyle w:val="Caption"/>
        <w:keepNext/>
        <w:spacing w:after="40"/>
        <w:rPr>
          <w:lang w:val="en-GB"/>
        </w:rPr>
      </w:pPr>
      <w:r>
        <w:rPr>
          <w:lang w:val="en-GB"/>
        </w:rPr>
        <w:lastRenderedPageBreak/>
        <w:t>Table S1 – part2: Convergence quantile and income for each parameter and region for SSP2</w:t>
      </w:r>
    </w:p>
    <w:tbl>
      <w:tblPr>
        <w:tblW w:w="13100" w:type="dxa"/>
        <w:tblCellMar>
          <w:left w:w="70" w:type="dxa"/>
          <w:right w:w="70" w:type="dxa"/>
        </w:tblCellMar>
        <w:tblLook w:val="04A0" w:firstRow="1" w:lastRow="0" w:firstColumn="1" w:lastColumn="0" w:noHBand="0" w:noVBand="1"/>
      </w:tblPr>
      <w:tblGrid>
        <w:gridCol w:w="3420"/>
        <w:gridCol w:w="880"/>
        <w:gridCol w:w="880"/>
        <w:gridCol w:w="880"/>
        <w:gridCol w:w="880"/>
        <w:gridCol w:w="880"/>
        <w:gridCol w:w="880"/>
        <w:gridCol w:w="880"/>
        <w:gridCol w:w="880"/>
        <w:gridCol w:w="880"/>
        <w:gridCol w:w="880"/>
        <w:gridCol w:w="880"/>
      </w:tblGrid>
      <w:tr w:rsidR="00740AF0" w:rsidRPr="00740AF0" w14:paraId="6148D301" w14:textId="77777777" w:rsidTr="00740AF0">
        <w:trPr>
          <w:trHeight w:val="300"/>
        </w:trPr>
        <w:tc>
          <w:tcPr>
            <w:tcW w:w="3420" w:type="dxa"/>
            <w:tcBorders>
              <w:top w:val="single" w:sz="8" w:space="0" w:color="auto"/>
              <w:left w:val="nil"/>
              <w:bottom w:val="nil"/>
              <w:right w:val="nil"/>
            </w:tcBorders>
            <w:shd w:val="clear" w:color="000000" w:fill="FFFFFF"/>
            <w:noWrap/>
            <w:vAlign w:val="bottom"/>
            <w:hideMark/>
          </w:tcPr>
          <w:p w14:paraId="32685E56" w14:textId="77777777" w:rsidR="00740AF0" w:rsidRPr="00740AF0" w:rsidRDefault="00740AF0" w:rsidP="00740AF0">
            <w:pPr>
              <w:spacing w:after="0" w:line="240" w:lineRule="auto"/>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SSP2</w:t>
            </w:r>
          </w:p>
        </w:tc>
        <w:tc>
          <w:tcPr>
            <w:tcW w:w="880" w:type="dxa"/>
            <w:tcBorders>
              <w:top w:val="single" w:sz="8" w:space="0" w:color="auto"/>
              <w:left w:val="nil"/>
              <w:bottom w:val="nil"/>
              <w:right w:val="nil"/>
            </w:tcBorders>
            <w:shd w:val="clear" w:color="000000" w:fill="FFFFFF"/>
            <w:noWrap/>
            <w:vAlign w:val="bottom"/>
            <w:hideMark/>
          </w:tcPr>
          <w:p w14:paraId="68F7E032"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AFR</w:t>
            </w:r>
          </w:p>
        </w:tc>
        <w:tc>
          <w:tcPr>
            <w:tcW w:w="880" w:type="dxa"/>
            <w:tcBorders>
              <w:top w:val="single" w:sz="8" w:space="0" w:color="auto"/>
              <w:left w:val="nil"/>
              <w:bottom w:val="nil"/>
              <w:right w:val="nil"/>
            </w:tcBorders>
            <w:shd w:val="clear" w:color="000000" w:fill="FFFFFF"/>
            <w:noWrap/>
            <w:vAlign w:val="bottom"/>
            <w:hideMark/>
          </w:tcPr>
          <w:p w14:paraId="0860C349"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CPA</w:t>
            </w:r>
          </w:p>
        </w:tc>
        <w:tc>
          <w:tcPr>
            <w:tcW w:w="880" w:type="dxa"/>
            <w:tcBorders>
              <w:top w:val="single" w:sz="8" w:space="0" w:color="auto"/>
              <w:left w:val="nil"/>
              <w:bottom w:val="nil"/>
              <w:right w:val="nil"/>
            </w:tcBorders>
            <w:shd w:val="clear" w:color="000000" w:fill="FFFFFF"/>
            <w:noWrap/>
            <w:vAlign w:val="bottom"/>
            <w:hideMark/>
          </w:tcPr>
          <w:p w14:paraId="03306C8A"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EEU</w:t>
            </w:r>
          </w:p>
        </w:tc>
        <w:tc>
          <w:tcPr>
            <w:tcW w:w="880" w:type="dxa"/>
            <w:tcBorders>
              <w:top w:val="single" w:sz="8" w:space="0" w:color="auto"/>
              <w:left w:val="nil"/>
              <w:bottom w:val="nil"/>
              <w:right w:val="nil"/>
            </w:tcBorders>
            <w:shd w:val="clear" w:color="000000" w:fill="FFFFFF"/>
            <w:noWrap/>
            <w:vAlign w:val="bottom"/>
            <w:hideMark/>
          </w:tcPr>
          <w:p w14:paraId="73C09344"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FSU</w:t>
            </w:r>
          </w:p>
        </w:tc>
        <w:tc>
          <w:tcPr>
            <w:tcW w:w="880" w:type="dxa"/>
            <w:tcBorders>
              <w:top w:val="single" w:sz="8" w:space="0" w:color="auto"/>
              <w:left w:val="nil"/>
              <w:bottom w:val="nil"/>
              <w:right w:val="nil"/>
            </w:tcBorders>
            <w:shd w:val="clear" w:color="000000" w:fill="FFFFFF"/>
            <w:noWrap/>
            <w:vAlign w:val="bottom"/>
            <w:hideMark/>
          </w:tcPr>
          <w:p w14:paraId="3DDE8D32"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LAM</w:t>
            </w:r>
          </w:p>
        </w:tc>
        <w:tc>
          <w:tcPr>
            <w:tcW w:w="880" w:type="dxa"/>
            <w:tcBorders>
              <w:top w:val="single" w:sz="8" w:space="0" w:color="auto"/>
              <w:left w:val="nil"/>
              <w:bottom w:val="nil"/>
              <w:right w:val="nil"/>
            </w:tcBorders>
            <w:shd w:val="clear" w:color="000000" w:fill="FFFFFF"/>
            <w:noWrap/>
            <w:vAlign w:val="bottom"/>
            <w:hideMark/>
          </w:tcPr>
          <w:p w14:paraId="1DDB7A87"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MEA</w:t>
            </w:r>
          </w:p>
        </w:tc>
        <w:tc>
          <w:tcPr>
            <w:tcW w:w="880" w:type="dxa"/>
            <w:tcBorders>
              <w:top w:val="single" w:sz="8" w:space="0" w:color="auto"/>
              <w:left w:val="nil"/>
              <w:bottom w:val="nil"/>
              <w:right w:val="nil"/>
            </w:tcBorders>
            <w:shd w:val="clear" w:color="000000" w:fill="FFFFFF"/>
            <w:noWrap/>
            <w:vAlign w:val="bottom"/>
            <w:hideMark/>
          </w:tcPr>
          <w:p w14:paraId="07F84BD6"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NAM</w:t>
            </w:r>
          </w:p>
        </w:tc>
        <w:tc>
          <w:tcPr>
            <w:tcW w:w="880" w:type="dxa"/>
            <w:tcBorders>
              <w:top w:val="single" w:sz="8" w:space="0" w:color="auto"/>
              <w:left w:val="nil"/>
              <w:bottom w:val="nil"/>
              <w:right w:val="nil"/>
            </w:tcBorders>
            <w:shd w:val="clear" w:color="000000" w:fill="FFFFFF"/>
            <w:noWrap/>
            <w:vAlign w:val="bottom"/>
            <w:hideMark/>
          </w:tcPr>
          <w:p w14:paraId="5B820C75"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PAO</w:t>
            </w:r>
          </w:p>
        </w:tc>
        <w:tc>
          <w:tcPr>
            <w:tcW w:w="880" w:type="dxa"/>
            <w:tcBorders>
              <w:top w:val="single" w:sz="8" w:space="0" w:color="auto"/>
              <w:left w:val="nil"/>
              <w:bottom w:val="nil"/>
              <w:right w:val="nil"/>
            </w:tcBorders>
            <w:shd w:val="clear" w:color="000000" w:fill="FFFFFF"/>
            <w:noWrap/>
            <w:vAlign w:val="bottom"/>
            <w:hideMark/>
          </w:tcPr>
          <w:p w14:paraId="2724DBCB"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PAS</w:t>
            </w:r>
          </w:p>
        </w:tc>
        <w:tc>
          <w:tcPr>
            <w:tcW w:w="880" w:type="dxa"/>
            <w:tcBorders>
              <w:top w:val="single" w:sz="8" w:space="0" w:color="auto"/>
              <w:left w:val="nil"/>
              <w:bottom w:val="nil"/>
              <w:right w:val="nil"/>
            </w:tcBorders>
            <w:shd w:val="clear" w:color="000000" w:fill="FFFFFF"/>
            <w:noWrap/>
            <w:vAlign w:val="bottom"/>
            <w:hideMark/>
          </w:tcPr>
          <w:p w14:paraId="4C10B4D1"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SAS</w:t>
            </w:r>
          </w:p>
        </w:tc>
        <w:tc>
          <w:tcPr>
            <w:tcW w:w="880" w:type="dxa"/>
            <w:tcBorders>
              <w:top w:val="single" w:sz="8" w:space="0" w:color="auto"/>
              <w:left w:val="nil"/>
              <w:bottom w:val="nil"/>
              <w:right w:val="nil"/>
            </w:tcBorders>
            <w:shd w:val="clear" w:color="000000" w:fill="FFFFFF"/>
            <w:noWrap/>
            <w:vAlign w:val="bottom"/>
            <w:hideMark/>
          </w:tcPr>
          <w:p w14:paraId="37F58700"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WEU</w:t>
            </w:r>
          </w:p>
        </w:tc>
      </w:tr>
      <w:tr w:rsidR="00740AF0" w:rsidRPr="00740AF0" w14:paraId="552B9187" w14:textId="77777777" w:rsidTr="00740AF0">
        <w:trPr>
          <w:trHeight w:val="300"/>
        </w:trPr>
        <w:tc>
          <w:tcPr>
            <w:tcW w:w="3420" w:type="dxa"/>
            <w:tcBorders>
              <w:top w:val="single" w:sz="4" w:space="0" w:color="auto"/>
              <w:left w:val="nil"/>
              <w:bottom w:val="single" w:sz="4" w:space="0" w:color="auto"/>
              <w:right w:val="nil"/>
            </w:tcBorders>
            <w:shd w:val="clear" w:color="000000" w:fill="FFFFFF"/>
            <w:noWrap/>
            <w:vAlign w:val="bottom"/>
            <w:hideMark/>
          </w:tcPr>
          <w:p w14:paraId="41D3BC8F" w14:textId="77777777" w:rsidR="00740AF0" w:rsidRPr="00740AF0" w:rsidRDefault="00740AF0" w:rsidP="00740AF0">
            <w:pPr>
              <w:spacing w:after="0" w:line="240" w:lineRule="auto"/>
              <w:rPr>
                <w:rFonts w:ascii="Calibri" w:eastAsia="Times New Roman" w:hAnsi="Calibri" w:cs="Times New Roman"/>
                <w:i/>
                <w:iCs/>
                <w:color w:val="000000"/>
                <w:lang w:val="de-CH" w:eastAsia="de-CH"/>
              </w:rPr>
            </w:pPr>
            <w:r w:rsidRPr="00740AF0">
              <w:rPr>
                <w:rFonts w:ascii="Calibri" w:eastAsia="Times New Roman" w:hAnsi="Calibri" w:cs="Times New Roman"/>
                <w:i/>
                <w:iCs/>
                <w:color w:val="000000"/>
                <w:lang w:val="de-CH" w:eastAsia="de-CH"/>
              </w:rPr>
              <w:t>Convergence Quantile</w:t>
            </w:r>
          </w:p>
        </w:tc>
        <w:tc>
          <w:tcPr>
            <w:tcW w:w="880" w:type="dxa"/>
            <w:tcBorders>
              <w:top w:val="single" w:sz="4" w:space="0" w:color="auto"/>
              <w:left w:val="nil"/>
              <w:bottom w:val="single" w:sz="4" w:space="0" w:color="auto"/>
              <w:right w:val="nil"/>
            </w:tcBorders>
            <w:shd w:val="clear" w:color="000000" w:fill="FFFFFF"/>
            <w:noWrap/>
            <w:vAlign w:val="bottom"/>
            <w:hideMark/>
          </w:tcPr>
          <w:p w14:paraId="72F582B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FA41B8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5C1698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7FB400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CD5404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C0F28B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C9B227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687266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9D8DCB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F9915A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EE07D1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r>
      <w:tr w:rsidR="00740AF0" w:rsidRPr="00740AF0" w14:paraId="1E460AAE" w14:textId="77777777" w:rsidTr="00740AF0">
        <w:trPr>
          <w:trHeight w:val="300"/>
        </w:trPr>
        <w:tc>
          <w:tcPr>
            <w:tcW w:w="3420" w:type="dxa"/>
            <w:tcBorders>
              <w:top w:val="nil"/>
              <w:left w:val="nil"/>
              <w:bottom w:val="nil"/>
              <w:right w:val="nil"/>
            </w:tcBorders>
            <w:shd w:val="clear" w:color="000000" w:fill="FFFFFF"/>
            <w:noWrap/>
            <w:vAlign w:val="bottom"/>
            <w:hideMark/>
          </w:tcPr>
          <w:p w14:paraId="037ACE66"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Final Energy Intensity (FEI)</w:t>
            </w:r>
          </w:p>
        </w:tc>
        <w:tc>
          <w:tcPr>
            <w:tcW w:w="880" w:type="dxa"/>
            <w:tcBorders>
              <w:top w:val="nil"/>
              <w:left w:val="nil"/>
              <w:bottom w:val="nil"/>
              <w:right w:val="nil"/>
            </w:tcBorders>
            <w:shd w:val="clear" w:color="000000" w:fill="FFFFFF"/>
            <w:noWrap/>
            <w:vAlign w:val="bottom"/>
            <w:hideMark/>
          </w:tcPr>
          <w:p w14:paraId="194CD72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0.03</w:t>
            </w:r>
          </w:p>
        </w:tc>
        <w:tc>
          <w:tcPr>
            <w:tcW w:w="880" w:type="dxa"/>
            <w:tcBorders>
              <w:top w:val="nil"/>
              <w:left w:val="nil"/>
              <w:bottom w:val="nil"/>
              <w:right w:val="nil"/>
            </w:tcBorders>
            <w:shd w:val="clear" w:color="000000" w:fill="FFFFFF"/>
            <w:noWrap/>
            <w:vAlign w:val="bottom"/>
            <w:hideMark/>
          </w:tcPr>
          <w:p w14:paraId="33E7B51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0.03</w:t>
            </w:r>
          </w:p>
        </w:tc>
        <w:tc>
          <w:tcPr>
            <w:tcW w:w="880" w:type="dxa"/>
            <w:tcBorders>
              <w:top w:val="nil"/>
              <w:left w:val="nil"/>
              <w:bottom w:val="nil"/>
              <w:right w:val="nil"/>
            </w:tcBorders>
            <w:shd w:val="clear" w:color="000000" w:fill="FFFFFF"/>
            <w:noWrap/>
            <w:vAlign w:val="bottom"/>
            <w:hideMark/>
          </w:tcPr>
          <w:p w14:paraId="5B19E6E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0.03</w:t>
            </w:r>
          </w:p>
        </w:tc>
        <w:tc>
          <w:tcPr>
            <w:tcW w:w="880" w:type="dxa"/>
            <w:tcBorders>
              <w:top w:val="nil"/>
              <w:left w:val="nil"/>
              <w:bottom w:val="nil"/>
              <w:right w:val="nil"/>
            </w:tcBorders>
            <w:shd w:val="clear" w:color="000000" w:fill="FFFFFF"/>
            <w:noWrap/>
            <w:vAlign w:val="bottom"/>
            <w:hideMark/>
          </w:tcPr>
          <w:p w14:paraId="0BBB04D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0.04</w:t>
            </w:r>
          </w:p>
        </w:tc>
        <w:tc>
          <w:tcPr>
            <w:tcW w:w="880" w:type="dxa"/>
            <w:tcBorders>
              <w:top w:val="nil"/>
              <w:left w:val="nil"/>
              <w:bottom w:val="nil"/>
              <w:right w:val="nil"/>
            </w:tcBorders>
            <w:shd w:val="clear" w:color="000000" w:fill="FFFFFF"/>
            <w:noWrap/>
            <w:vAlign w:val="bottom"/>
            <w:hideMark/>
          </w:tcPr>
          <w:p w14:paraId="20B5109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0.04</w:t>
            </w:r>
          </w:p>
        </w:tc>
        <w:tc>
          <w:tcPr>
            <w:tcW w:w="880" w:type="dxa"/>
            <w:tcBorders>
              <w:top w:val="nil"/>
              <w:left w:val="nil"/>
              <w:bottom w:val="nil"/>
              <w:right w:val="nil"/>
            </w:tcBorders>
            <w:shd w:val="clear" w:color="000000" w:fill="FFFFFF"/>
            <w:noWrap/>
            <w:vAlign w:val="bottom"/>
            <w:hideMark/>
          </w:tcPr>
          <w:p w14:paraId="5D4AF11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0.04</w:t>
            </w:r>
          </w:p>
        </w:tc>
        <w:tc>
          <w:tcPr>
            <w:tcW w:w="880" w:type="dxa"/>
            <w:tcBorders>
              <w:top w:val="nil"/>
              <w:left w:val="nil"/>
              <w:bottom w:val="nil"/>
              <w:right w:val="nil"/>
            </w:tcBorders>
            <w:shd w:val="clear" w:color="000000" w:fill="FFFFFF"/>
            <w:noWrap/>
            <w:vAlign w:val="bottom"/>
            <w:hideMark/>
          </w:tcPr>
          <w:p w14:paraId="1F10A11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5C014BC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0.02</w:t>
            </w:r>
          </w:p>
        </w:tc>
        <w:tc>
          <w:tcPr>
            <w:tcW w:w="880" w:type="dxa"/>
            <w:tcBorders>
              <w:top w:val="nil"/>
              <w:left w:val="nil"/>
              <w:bottom w:val="nil"/>
              <w:right w:val="nil"/>
            </w:tcBorders>
            <w:shd w:val="clear" w:color="000000" w:fill="FFFFFF"/>
            <w:noWrap/>
            <w:vAlign w:val="bottom"/>
            <w:hideMark/>
          </w:tcPr>
          <w:p w14:paraId="38C5936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0.03</w:t>
            </w:r>
          </w:p>
        </w:tc>
        <w:tc>
          <w:tcPr>
            <w:tcW w:w="880" w:type="dxa"/>
            <w:tcBorders>
              <w:top w:val="nil"/>
              <w:left w:val="nil"/>
              <w:bottom w:val="nil"/>
              <w:right w:val="nil"/>
            </w:tcBorders>
            <w:shd w:val="clear" w:color="000000" w:fill="FFFFFF"/>
            <w:noWrap/>
            <w:vAlign w:val="bottom"/>
            <w:hideMark/>
          </w:tcPr>
          <w:p w14:paraId="0EB5669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0.03</w:t>
            </w:r>
          </w:p>
        </w:tc>
        <w:tc>
          <w:tcPr>
            <w:tcW w:w="880" w:type="dxa"/>
            <w:tcBorders>
              <w:top w:val="nil"/>
              <w:left w:val="nil"/>
              <w:bottom w:val="nil"/>
              <w:right w:val="nil"/>
            </w:tcBorders>
            <w:shd w:val="clear" w:color="000000" w:fill="FFFFFF"/>
            <w:noWrap/>
            <w:vAlign w:val="bottom"/>
            <w:hideMark/>
          </w:tcPr>
          <w:p w14:paraId="602C4AF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0.02</w:t>
            </w:r>
          </w:p>
        </w:tc>
      </w:tr>
      <w:tr w:rsidR="00740AF0" w:rsidRPr="00740AF0" w14:paraId="1BDD2674" w14:textId="77777777" w:rsidTr="00740AF0">
        <w:trPr>
          <w:trHeight w:val="300"/>
        </w:trPr>
        <w:tc>
          <w:tcPr>
            <w:tcW w:w="3420" w:type="dxa"/>
            <w:tcBorders>
              <w:top w:val="nil"/>
              <w:left w:val="nil"/>
              <w:bottom w:val="nil"/>
              <w:right w:val="nil"/>
            </w:tcBorders>
            <w:shd w:val="clear" w:color="000000" w:fill="FFFFFF"/>
            <w:noWrap/>
            <w:vAlign w:val="bottom"/>
            <w:hideMark/>
          </w:tcPr>
          <w:p w14:paraId="00147A3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NC Biomass</w:t>
            </w:r>
          </w:p>
        </w:tc>
        <w:tc>
          <w:tcPr>
            <w:tcW w:w="880" w:type="dxa"/>
            <w:tcBorders>
              <w:top w:val="nil"/>
              <w:left w:val="nil"/>
              <w:bottom w:val="nil"/>
              <w:right w:val="nil"/>
            </w:tcBorders>
            <w:shd w:val="clear" w:color="000000" w:fill="FFFFFF"/>
            <w:noWrap/>
            <w:vAlign w:val="bottom"/>
            <w:hideMark/>
          </w:tcPr>
          <w:p w14:paraId="2CA19B5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4ED1797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552E241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662C9B3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584A902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3F88EA7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0298410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2602B8C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517775F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6EF5AD7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620CB08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r>
      <w:tr w:rsidR="00740AF0" w:rsidRPr="00740AF0" w14:paraId="783A4E45" w14:textId="77777777" w:rsidTr="00740AF0">
        <w:trPr>
          <w:trHeight w:val="300"/>
        </w:trPr>
        <w:tc>
          <w:tcPr>
            <w:tcW w:w="3420" w:type="dxa"/>
            <w:tcBorders>
              <w:top w:val="nil"/>
              <w:left w:val="nil"/>
              <w:bottom w:val="nil"/>
              <w:right w:val="nil"/>
            </w:tcBorders>
            <w:shd w:val="clear" w:color="000000" w:fill="FFFFFF"/>
            <w:noWrap/>
            <w:vAlign w:val="bottom"/>
            <w:hideMark/>
          </w:tcPr>
          <w:p w14:paraId="0E18E9D7"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Transport</w:t>
            </w:r>
          </w:p>
        </w:tc>
        <w:tc>
          <w:tcPr>
            <w:tcW w:w="880" w:type="dxa"/>
            <w:tcBorders>
              <w:top w:val="nil"/>
              <w:left w:val="nil"/>
              <w:bottom w:val="nil"/>
              <w:right w:val="nil"/>
            </w:tcBorders>
            <w:shd w:val="clear" w:color="000000" w:fill="FFFFFF"/>
            <w:noWrap/>
            <w:vAlign w:val="bottom"/>
            <w:hideMark/>
          </w:tcPr>
          <w:p w14:paraId="6CCF8B5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71213ED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0.04</w:t>
            </w:r>
          </w:p>
        </w:tc>
        <w:tc>
          <w:tcPr>
            <w:tcW w:w="880" w:type="dxa"/>
            <w:tcBorders>
              <w:top w:val="nil"/>
              <w:left w:val="nil"/>
              <w:bottom w:val="nil"/>
              <w:right w:val="nil"/>
            </w:tcBorders>
            <w:shd w:val="clear" w:color="000000" w:fill="FFFFFF"/>
            <w:noWrap/>
            <w:vAlign w:val="bottom"/>
            <w:hideMark/>
          </w:tcPr>
          <w:p w14:paraId="23751E8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0.15</w:t>
            </w:r>
          </w:p>
        </w:tc>
        <w:tc>
          <w:tcPr>
            <w:tcW w:w="880" w:type="dxa"/>
            <w:tcBorders>
              <w:top w:val="nil"/>
              <w:left w:val="nil"/>
              <w:bottom w:val="nil"/>
              <w:right w:val="nil"/>
            </w:tcBorders>
            <w:shd w:val="clear" w:color="000000" w:fill="FFFFFF"/>
            <w:noWrap/>
            <w:vAlign w:val="bottom"/>
            <w:hideMark/>
          </w:tcPr>
          <w:p w14:paraId="5F20886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7E1D476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4448596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2699FC4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7C6F733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0.14</w:t>
            </w:r>
          </w:p>
        </w:tc>
        <w:tc>
          <w:tcPr>
            <w:tcW w:w="880" w:type="dxa"/>
            <w:tcBorders>
              <w:top w:val="nil"/>
              <w:left w:val="nil"/>
              <w:bottom w:val="nil"/>
              <w:right w:val="nil"/>
            </w:tcBorders>
            <w:shd w:val="clear" w:color="000000" w:fill="FFFFFF"/>
            <w:noWrap/>
            <w:vAlign w:val="bottom"/>
            <w:hideMark/>
          </w:tcPr>
          <w:p w14:paraId="5AA5411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10BE8C9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792414A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0.15</w:t>
            </w:r>
          </w:p>
        </w:tc>
      </w:tr>
      <w:tr w:rsidR="00740AF0" w:rsidRPr="00740AF0" w14:paraId="6A8A5B37" w14:textId="77777777" w:rsidTr="00740AF0">
        <w:trPr>
          <w:trHeight w:val="300"/>
        </w:trPr>
        <w:tc>
          <w:tcPr>
            <w:tcW w:w="3420" w:type="dxa"/>
            <w:tcBorders>
              <w:top w:val="nil"/>
              <w:left w:val="nil"/>
              <w:bottom w:val="nil"/>
              <w:right w:val="nil"/>
            </w:tcBorders>
            <w:shd w:val="clear" w:color="000000" w:fill="FFFFFF"/>
            <w:noWrap/>
            <w:vAlign w:val="bottom"/>
            <w:hideMark/>
          </w:tcPr>
          <w:p w14:paraId="6FD99F08"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Res/Com</w:t>
            </w:r>
          </w:p>
        </w:tc>
        <w:tc>
          <w:tcPr>
            <w:tcW w:w="880" w:type="dxa"/>
            <w:tcBorders>
              <w:top w:val="nil"/>
              <w:left w:val="nil"/>
              <w:bottom w:val="nil"/>
              <w:right w:val="nil"/>
            </w:tcBorders>
            <w:shd w:val="clear" w:color="000000" w:fill="FFFFFF"/>
            <w:noWrap/>
            <w:vAlign w:val="bottom"/>
            <w:hideMark/>
          </w:tcPr>
          <w:p w14:paraId="0AB6DA6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0.15</w:t>
            </w:r>
          </w:p>
        </w:tc>
        <w:tc>
          <w:tcPr>
            <w:tcW w:w="880" w:type="dxa"/>
            <w:tcBorders>
              <w:top w:val="nil"/>
              <w:left w:val="nil"/>
              <w:bottom w:val="nil"/>
              <w:right w:val="nil"/>
            </w:tcBorders>
            <w:shd w:val="clear" w:color="000000" w:fill="FFFFFF"/>
            <w:noWrap/>
            <w:vAlign w:val="bottom"/>
            <w:hideMark/>
          </w:tcPr>
          <w:p w14:paraId="23E4D1C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0.28</w:t>
            </w:r>
          </w:p>
        </w:tc>
        <w:tc>
          <w:tcPr>
            <w:tcW w:w="880" w:type="dxa"/>
            <w:tcBorders>
              <w:top w:val="nil"/>
              <w:left w:val="nil"/>
              <w:bottom w:val="nil"/>
              <w:right w:val="nil"/>
            </w:tcBorders>
            <w:shd w:val="clear" w:color="000000" w:fill="FFFFFF"/>
            <w:noWrap/>
            <w:vAlign w:val="bottom"/>
            <w:hideMark/>
          </w:tcPr>
          <w:p w14:paraId="1C50493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4F14690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5D0D893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6B5680E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709C5AB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3951D44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c>
          <w:tcPr>
            <w:tcW w:w="880" w:type="dxa"/>
            <w:tcBorders>
              <w:top w:val="nil"/>
              <w:left w:val="nil"/>
              <w:bottom w:val="nil"/>
              <w:right w:val="nil"/>
            </w:tcBorders>
            <w:shd w:val="clear" w:color="000000" w:fill="FFFFFF"/>
            <w:noWrap/>
            <w:vAlign w:val="bottom"/>
            <w:hideMark/>
          </w:tcPr>
          <w:p w14:paraId="134AB7D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347B5E1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0.28</w:t>
            </w:r>
          </w:p>
        </w:tc>
        <w:tc>
          <w:tcPr>
            <w:tcW w:w="880" w:type="dxa"/>
            <w:tcBorders>
              <w:top w:val="nil"/>
              <w:left w:val="nil"/>
              <w:bottom w:val="nil"/>
              <w:right w:val="nil"/>
            </w:tcBorders>
            <w:shd w:val="clear" w:color="000000" w:fill="FFFFFF"/>
            <w:noWrap/>
            <w:vAlign w:val="bottom"/>
            <w:hideMark/>
          </w:tcPr>
          <w:p w14:paraId="7BD6626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0.33</w:t>
            </w:r>
          </w:p>
        </w:tc>
      </w:tr>
      <w:tr w:rsidR="00740AF0" w:rsidRPr="00740AF0" w14:paraId="7E7ED131" w14:textId="77777777" w:rsidTr="00740AF0">
        <w:trPr>
          <w:trHeight w:val="300"/>
        </w:trPr>
        <w:tc>
          <w:tcPr>
            <w:tcW w:w="3420" w:type="dxa"/>
            <w:tcBorders>
              <w:top w:val="nil"/>
              <w:left w:val="nil"/>
              <w:bottom w:val="nil"/>
              <w:right w:val="nil"/>
            </w:tcBorders>
            <w:shd w:val="clear" w:color="000000" w:fill="FFFFFF"/>
            <w:noWrap/>
            <w:vAlign w:val="bottom"/>
            <w:hideMark/>
          </w:tcPr>
          <w:p w14:paraId="58DA3D9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Industry</w:t>
            </w:r>
          </w:p>
        </w:tc>
        <w:tc>
          <w:tcPr>
            <w:tcW w:w="880" w:type="dxa"/>
            <w:tcBorders>
              <w:top w:val="nil"/>
              <w:left w:val="nil"/>
              <w:bottom w:val="nil"/>
              <w:right w:val="nil"/>
            </w:tcBorders>
            <w:shd w:val="clear" w:color="000000" w:fill="FFFFFF"/>
            <w:noWrap/>
            <w:vAlign w:val="bottom"/>
            <w:hideMark/>
          </w:tcPr>
          <w:p w14:paraId="4779F0A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2C11D08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42794B5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0.15</w:t>
            </w:r>
          </w:p>
        </w:tc>
        <w:tc>
          <w:tcPr>
            <w:tcW w:w="880" w:type="dxa"/>
            <w:tcBorders>
              <w:top w:val="nil"/>
              <w:left w:val="nil"/>
              <w:bottom w:val="nil"/>
              <w:right w:val="nil"/>
            </w:tcBorders>
            <w:shd w:val="clear" w:color="000000" w:fill="FFFFFF"/>
            <w:noWrap/>
            <w:vAlign w:val="bottom"/>
            <w:hideMark/>
          </w:tcPr>
          <w:p w14:paraId="424C3E5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01FF90F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0.15</w:t>
            </w:r>
          </w:p>
        </w:tc>
        <w:tc>
          <w:tcPr>
            <w:tcW w:w="880" w:type="dxa"/>
            <w:tcBorders>
              <w:top w:val="nil"/>
              <w:left w:val="nil"/>
              <w:bottom w:val="nil"/>
              <w:right w:val="nil"/>
            </w:tcBorders>
            <w:shd w:val="clear" w:color="000000" w:fill="FFFFFF"/>
            <w:noWrap/>
            <w:vAlign w:val="bottom"/>
            <w:hideMark/>
          </w:tcPr>
          <w:p w14:paraId="4469A1B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236D834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3B51580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3AAB420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57113B4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4B1BA46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r>
      <w:tr w:rsidR="00740AF0" w:rsidRPr="00740AF0" w14:paraId="72C35CB6" w14:textId="77777777" w:rsidTr="00740AF0">
        <w:trPr>
          <w:trHeight w:val="300"/>
        </w:trPr>
        <w:tc>
          <w:tcPr>
            <w:tcW w:w="3420" w:type="dxa"/>
            <w:tcBorders>
              <w:top w:val="nil"/>
              <w:left w:val="nil"/>
              <w:bottom w:val="nil"/>
              <w:right w:val="nil"/>
            </w:tcBorders>
            <w:shd w:val="clear" w:color="000000" w:fill="FFFFFF"/>
            <w:noWrap/>
            <w:vAlign w:val="bottom"/>
            <w:hideMark/>
          </w:tcPr>
          <w:p w14:paraId="622C3378"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Res/Com</w:t>
            </w:r>
          </w:p>
        </w:tc>
        <w:tc>
          <w:tcPr>
            <w:tcW w:w="880" w:type="dxa"/>
            <w:tcBorders>
              <w:top w:val="nil"/>
              <w:left w:val="nil"/>
              <w:bottom w:val="nil"/>
              <w:right w:val="nil"/>
            </w:tcBorders>
            <w:shd w:val="clear" w:color="000000" w:fill="FFFFFF"/>
            <w:noWrap/>
            <w:vAlign w:val="bottom"/>
            <w:hideMark/>
          </w:tcPr>
          <w:p w14:paraId="54BF675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0.42</w:t>
            </w:r>
          </w:p>
        </w:tc>
        <w:tc>
          <w:tcPr>
            <w:tcW w:w="880" w:type="dxa"/>
            <w:tcBorders>
              <w:top w:val="nil"/>
              <w:left w:val="nil"/>
              <w:bottom w:val="nil"/>
              <w:right w:val="nil"/>
            </w:tcBorders>
            <w:shd w:val="clear" w:color="000000" w:fill="FFFFFF"/>
            <w:noWrap/>
            <w:vAlign w:val="bottom"/>
            <w:hideMark/>
          </w:tcPr>
          <w:p w14:paraId="4DED8D1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2D4B771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c>
          <w:tcPr>
            <w:tcW w:w="880" w:type="dxa"/>
            <w:tcBorders>
              <w:top w:val="nil"/>
              <w:left w:val="nil"/>
              <w:bottom w:val="nil"/>
              <w:right w:val="nil"/>
            </w:tcBorders>
            <w:shd w:val="clear" w:color="000000" w:fill="FFFFFF"/>
            <w:noWrap/>
            <w:vAlign w:val="bottom"/>
            <w:hideMark/>
          </w:tcPr>
          <w:p w14:paraId="43237F5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0.22</w:t>
            </w:r>
          </w:p>
        </w:tc>
        <w:tc>
          <w:tcPr>
            <w:tcW w:w="880" w:type="dxa"/>
            <w:tcBorders>
              <w:top w:val="nil"/>
              <w:left w:val="nil"/>
              <w:bottom w:val="nil"/>
              <w:right w:val="nil"/>
            </w:tcBorders>
            <w:shd w:val="clear" w:color="000000" w:fill="FFFFFF"/>
            <w:noWrap/>
            <w:vAlign w:val="bottom"/>
            <w:hideMark/>
          </w:tcPr>
          <w:p w14:paraId="43DA423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0.58</w:t>
            </w:r>
          </w:p>
        </w:tc>
        <w:tc>
          <w:tcPr>
            <w:tcW w:w="880" w:type="dxa"/>
            <w:tcBorders>
              <w:top w:val="nil"/>
              <w:left w:val="nil"/>
              <w:bottom w:val="nil"/>
              <w:right w:val="nil"/>
            </w:tcBorders>
            <w:shd w:val="clear" w:color="000000" w:fill="FFFFFF"/>
            <w:noWrap/>
            <w:vAlign w:val="bottom"/>
            <w:hideMark/>
          </w:tcPr>
          <w:p w14:paraId="272A341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191DD5A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0.14</w:t>
            </w:r>
          </w:p>
        </w:tc>
        <w:tc>
          <w:tcPr>
            <w:tcW w:w="880" w:type="dxa"/>
            <w:tcBorders>
              <w:top w:val="nil"/>
              <w:left w:val="nil"/>
              <w:bottom w:val="nil"/>
              <w:right w:val="nil"/>
            </w:tcBorders>
            <w:shd w:val="clear" w:color="000000" w:fill="FFFFFF"/>
            <w:noWrap/>
            <w:vAlign w:val="bottom"/>
            <w:hideMark/>
          </w:tcPr>
          <w:p w14:paraId="2899A24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0.57</w:t>
            </w:r>
          </w:p>
        </w:tc>
        <w:tc>
          <w:tcPr>
            <w:tcW w:w="880" w:type="dxa"/>
            <w:tcBorders>
              <w:top w:val="nil"/>
              <w:left w:val="nil"/>
              <w:bottom w:val="nil"/>
              <w:right w:val="nil"/>
            </w:tcBorders>
            <w:shd w:val="clear" w:color="000000" w:fill="FFFFFF"/>
            <w:noWrap/>
            <w:vAlign w:val="bottom"/>
            <w:hideMark/>
          </w:tcPr>
          <w:p w14:paraId="28F39CB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24CFFC4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0.51</w:t>
            </w:r>
          </w:p>
        </w:tc>
        <w:tc>
          <w:tcPr>
            <w:tcW w:w="880" w:type="dxa"/>
            <w:tcBorders>
              <w:top w:val="nil"/>
              <w:left w:val="nil"/>
              <w:bottom w:val="nil"/>
              <w:right w:val="nil"/>
            </w:tcBorders>
            <w:shd w:val="clear" w:color="000000" w:fill="FFFFFF"/>
            <w:noWrap/>
            <w:vAlign w:val="bottom"/>
            <w:hideMark/>
          </w:tcPr>
          <w:p w14:paraId="5A0E544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0.18</w:t>
            </w:r>
          </w:p>
        </w:tc>
      </w:tr>
      <w:tr w:rsidR="00740AF0" w:rsidRPr="00740AF0" w14:paraId="2F4919B9" w14:textId="77777777" w:rsidTr="00740AF0">
        <w:trPr>
          <w:trHeight w:val="300"/>
        </w:trPr>
        <w:tc>
          <w:tcPr>
            <w:tcW w:w="3420" w:type="dxa"/>
            <w:tcBorders>
              <w:top w:val="nil"/>
              <w:left w:val="nil"/>
              <w:bottom w:val="nil"/>
              <w:right w:val="nil"/>
            </w:tcBorders>
            <w:shd w:val="clear" w:color="000000" w:fill="FFFFFF"/>
            <w:noWrap/>
            <w:vAlign w:val="bottom"/>
            <w:hideMark/>
          </w:tcPr>
          <w:p w14:paraId="4BC8B22B"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Feedstock Share Industry</w:t>
            </w:r>
          </w:p>
        </w:tc>
        <w:tc>
          <w:tcPr>
            <w:tcW w:w="880" w:type="dxa"/>
            <w:tcBorders>
              <w:top w:val="nil"/>
              <w:left w:val="nil"/>
              <w:bottom w:val="nil"/>
              <w:right w:val="nil"/>
            </w:tcBorders>
            <w:shd w:val="clear" w:color="000000" w:fill="FFFFFF"/>
            <w:noWrap/>
            <w:vAlign w:val="bottom"/>
            <w:hideMark/>
          </w:tcPr>
          <w:p w14:paraId="6D6805C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0.15</w:t>
            </w:r>
          </w:p>
        </w:tc>
        <w:tc>
          <w:tcPr>
            <w:tcW w:w="880" w:type="dxa"/>
            <w:tcBorders>
              <w:top w:val="nil"/>
              <w:left w:val="nil"/>
              <w:bottom w:val="nil"/>
              <w:right w:val="nil"/>
            </w:tcBorders>
            <w:shd w:val="clear" w:color="000000" w:fill="FFFFFF"/>
            <w:noWrap/>
            <w:vAlign w:val="bottom"/>
            <w:hideMark/>
          </w:tcPr>
          <w:p w14:paraId="4AB3255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0.22</w:t>
            </w:r>
          </w:p>
        </w:tc>
        <w:tc>
          <w:tcPr>
            <w:tcW w:w="880" w:type="dxa"/>
            <w:tcBorders>
              <w:top w:val="nil"/>
              <w:left w:val="nil"/>
              <w:bottom w:val="nil"/>
              <w:right w:val="nil"/>
            </w:tcBorders>
            <w:shd w:val="clear" w:color="000000" w:fill="FFFFFF"/>
            <w:noWrap/>
            <w:vAlign w:val="bottom"/>
            <w:hideMark/>
          </w:tcPr>
          <w:p w14:paraId="55AC90B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0.26</w:t>
            </w:r>
          </w:p>
        </w:tc>
        <w:tc>
          <w:tcPr>
            <w:tcW w:w="880" w:type="dxa"/>
            <w:tcBorders>
              <w:top w:val="nil"/>
              <w:left w:val="nil"/>
              <w:bottom w:val="nil"/>
              <w:right w:val="nil"/>
            </w:tcBorders>
            <w:shd w:val="clear" w:color="000000" w:fill="FFFFFF"/>
            <w:noWrap/>
            <w:vAlign w:val="bottom"/>
            <w:hideMark/>
          </w:tcPr>
          <w:p w14:paraId="5837831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0.26</w:t>
            </w:r>
          </w:p>
        </w:tc>
        <w:tc>
          <w:tcPr>
            <w:tcW w:w="880" w:type="dxa"/>
            <w:tcBorders>
              <w:top w:val="nil"/>
              <w:left w:val="nil"/>
              <w:bottom w:val="nil"/>
              <w:right w:val="nil"/>
            </w:tcBorders>
            <w:shd w:val="clear" w:color="000000" w:fill="FFFFFF"/>
            <w:noWrap/>
            <w:vAlign w:val="bottom"/>
            <w:hideMark/>
          </w:tcPr>
          <w:p w14:paraId="64AD947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0.18</w:t>
            </w:r>
          </w:p>
        </w:tc>
        <w:tc>
          <w:tcPr>
            <w:tcW w:w="880" w:type="dxa"/>
            <w:tcBorders>
              <w:top w:val="nil"/>
              <w:left w:val="nil"/>
              <w:bottom w:val="nil"/>
              <w:right w:val="nil"/>
            </w:tcBorders>
            <w:shd w:val="clear" w:color="000000" w:fill="FFFFFF"/>
            <w:noWrap/>
            <w:vAlign w:val="bottom"/>
            <w:hideMark/>
          </w:tcPr>
          <w:p w14:paraId="7225D4D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0.27</w:t>
            </w:r>
          </w:p>
        </w:tc>
        <w:tc>
          <w:tcPr>
            <w:tcW w:w="880" w:type="dxa"/>
            <w:tcBorders>
              <w:top w:val="nil"/>
              <w:left w:val="nil"/>
              <w:bottom w:val="nil"/>
              <w:right w:val="nil"/>
            </w:tcBorders>
            <w:shd w:val="clear" w:color="000000" w:fill="FFFFFF"/>
            <w:noWrap/>
            <w:vAlign w:val="bottom"/>
            <w:hideMark/>
          </w:tcPr>
          <w:p w14:paraId="3063827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0.32</w:t>
            </w:r>
          </w:p>
        </w:tc>
        <w:tc>
          <w:tcPr>
            <w:tcW w:w="880" w:type="dxa"/>
            <w:tcBorders>
              <w:top w:val="nil"/>
              <w:left w:val="nil"/>
              <w:bottom w:val="nil"/>
              <w:right w:val="nil"/>
            </w:tcBorders>
            <w:shd w:val="clear" w:color="000000" w:fill="FFFFFF"/>
            <w:noWrap/>
            <w:vAlign w:val="bottom"/>
            <w:hideMark/>
          </w:tcPr>
          <w:p w14:paraId="748FFB6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0.27</w:t>
            </w:r>
          </w:p>
        </w:tc>
        <w:tc>
          <w:tcPr>
            <w:tcW w:w="880" w:type="dxa"/>
            <w:tcBorders>
              <w:top w:val="nil"/>
              <w:left w:val="nil"/>
              <w:bottom w:val="nil"/>
              <w:right w:val="nil"/>
            </w:tcBorders>
            <w:shd w:val="clear" w:color="000000" w:fill="FFFFFF"/>
            <w:noWrap/>
            <w:vAlign w:val="bottom"/>
            <w:hideMark/>
          </w:tcPr>
          <w:p w14:paraId="52AC436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35A3C8F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0.22</w:t>
            </w:r>
          </w:p>
        </w:tc>
        <w:tc>
          <w:tcPr>
            <w:tcW w:w="880" w:type="dxa"/>
            <w:tcBorders>
              <w:top w:val="nil"/>
              <w:left w:val="nil"/>
              <w:bottom w:val="nil"/>
              <w:right w:val="nil"/>
            </w:tcBorders>
            <w:shd w:val="clear" w:color="000000" w:fill="FFFFFF"/>
            <w:noWrap/>
            <w:vAlign w:val="bottom"/>
            <w:hideMark/>
          </w:tcPr>
          <w:p w14:paraId="6761D58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0.27</w:t>
            </w:r>
          </w:p>
        </w:tc>
      </w:tr>
      <w:tr w:rsidR="00740AF0" w:rsidRPr="00740AF0" w14:paraId="53573806" w14:textId="77777777" w:rsidTr="00740AF0">
        <w:trPr>
          <w:trHeight w:val="300"/>
        </w:trPr>
        <w:tc>
          <w:tcPr>
            <w:tcW w:w="3420" w:type="dxa"/>
            <w:tcBorders>
              <w:top w:val="nil"/>
              <w:left w:val="nil"/>
              <w:bottom w:val="nil"/>
              <w:right w:val="nil"/>
            </w:tcBorders>
            <w:shd w:val="clear" w:color="000000" w:fill="FFFFFF"/>
            <w:noWrap/>
            <w:vAlign w:val="bottom"/>
            <w:hideMark/>
          </w:tcPr>
          <w:p w14:paraId="226C8FD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Industry</w:t>
            </w:r>
          </w:p>
        </w:tc>
        <w:tc>
          <w:tcPr>
            <w:tcW w:w="880" w:type="dxa"/>
            <w:tcBorders>
              <w:top w:val="nil"/>
              <w:left w:val="nil"/>
              <w:bottom w:val="nil"/>
              <w:right w:val="nil"/>
            </w:tcBorders>
            <w:shd w:val="clear" w:color="000000" w:fill="FFFFFF"/>
            <w:noWrap/>
            <w:vAlign w:val="bottom"/>
            <w:hideMark/>
          </w:tcPr>
          <w:p w14:paraId="39D72FC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0.39</w:t>
            </w:r>
          </w:p>
        </w:tc>
        <w:tc>
          <w:tcPr>
            <w:tcW w:w="880" w:type="dxa"/>
            <w:tcBorders>
              <w:top w:val="nil"/>
              <w:left w:val="nil"/>
              <w:bottom w:val="nil"/>
              <w:right w:val="nil"/>
            </w:tcBorders>
            <w:shd w:val="clear" w:color="000000" w:fill="FFFFFF"/>
            <w:noWrap/>
            <w:vAlign w:val="bottom"/>
            <w:hideMark/>
          </w:tcPr>
          <w:p w14:paraId="0F51BF9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0.38</w:t>
            </w:r>
          </w:p>
        </w:tc>
        <w:tc>
          <w:tcPr>
            <w:tcW w:w="880" w:type="dxa"/>
            <w:tcBorders>
              <w:top w:val="nil"/>
              <w:left w:val="nil"/>
              <w:bottom w:val="nil"/>
              <w:right w:val="nil"/>
            </w:tcBorders>
            <w:shd w:val="clear" w:color="000000" w:fill="FFFFFF"/>
            <w:noWrap/>
            <w:vAlign w:val="bottom"/>
            <w:hideMark/>
          </w:tcPr>
          <w:p w14:paraId="4E30B25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3D36984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727DED5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c>
          <w:tcPr>
            <w:tcW w:w="880" w:type="dxa"/>
            <w:tcBorders>
              <w:top w:val="nil"/>
              <w:left w:val="nil"/>
              <w:bottom w:val="nil"/>
              <w:right w:val="nil"/>
            </w:tcBorders>
            <w:shd w:val="clear" w:color="000000" w:fill="FFFFFF"/>
            <w:noWrap/>
            <w:vAlign w:val="bottom"/>
            <w:hideMark/>
          </w:tcPr>
          <w:p w14:paraId="6406BF8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71EE7C6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6526630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0CB158E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0AACAEE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0.43</w:t>
            </w:r>
          </w:p>
        </w:tc>
        <w:tc>
          <w:tcPr>
            <w:tcW w:w="880" w:type="dxa"/>
            <w:tcBorders>
              <w:top w:val="nil"/>
              <w:left w:val="nil"/>
              <w:bottom w:val="nil"/>
              <w:right w:val="nil"/>
            </w:tcBorders>
            <w:shd w:val="clear" w:color="000000" w:fill="FFFFFF"/>
            <w:noWrap/>
            <w:vAlign w:val="bottom"/>
            <w:hideMark/>
          </w:tcPr>
          <w:p w14:paraId="1DBF6A2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r>
      <w:tr w:rsidR="00740AF0" w:rsidRPr="00740AF0" w14:paraId="6241984E" w14:textId="77777777" w:rsidTr="00740AF0">
        <w:trPr>
          <w:trHeight w:val="300"/>
        </w:trPr>
        <w:tc>
          <w:tcPr>
            <w:tcW w:w="3420" w:type="dxa"/>
            <w:tcBorders>
              <w:top w:val="single" w:sz="4" w:space="0" w:color="auto"/>
              <w:left w:val="nil"/>
              <w:bottom w:val="single" w:sz="4" w:space="0" w:color="auto"/>
              <w:right w:val="nil"/>
            </w:tcBorders>
            <w:shd w:val="clear" w:color="000000" w:fill="FFFFFF"/>
            <w:noWrap/>
            <w:vAlign w:val="bottom"/>
            <w:hideMark/>
          </w:tcPr>
          <w:p w14:paraId="540D1552" w14:textId="77777777" w:rsidR="00740AF0" w:rsidRPr="00740AF0" w:rsidRDefault="00740AF0" w:rsidP="00740AF0">
            <w:pPr>
              <w:spacing w:after="0" w:line="240" w:lineRule="auto"/>
              <w:rPr>
                <w:rFonts w:ascii="Calibri" w:eastAsia="Times New Roman" w:hAnsi="Calibri" w:cs="Times New Roman"/>
                <w:i/>
                <w:iCs/>
                <w:color w:val="000000"/>
                <w:lang w:val="de-CH" w:eastAsia="de-CH"/>
              </w:rPr>
            </w:pPr>
            <w:r w:rsidRPr="00740AF0">
              <w:rPr>
                <w:rFonts w:ascii="Calibri" w:eastAsia="Times New Roman" w:hAnsi="Calibri" w:cs="Times New Roman"/>
                <w:i/>
                <w:iCs/>
                <w:color w:val="000000"/>
                <w:lang w:val="de-CH" w:eastAsia="de-CH"/>
              </w:rPr>
              <w:t>Convergence Income</w:t>
            </w:r>
          </w:p>
        </w:tc>
        <w:tc>
          <w:tcPr>
            <w:tcW w:w="880" w:type="dxa"/>
            <w:tcBorders>
              <w:top w:val="single" w:sz="4" w:space="0" w:color="auto"/>
              <w:left w:val="nil"/>
              <w:bottom w:val="single" w:sz="4" w:space="0" w:color="auto"/>
              <w:right w:val="nil"/>
            </w:tcBorders>
            <w:shd w:val="clear" w:color="000000" w:fill="FFFFFF"/>
            <w:noWrap/>
            <w:vAlign w:val="bottom"/>
            <w:hideMark/>
          </w:tcPr>
          <w:p w14:paraId="14F7CE2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1AC35B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696546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030A48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35238C0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2FBEE37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9295C0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2BBF51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FB68C4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9309BF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8DB5B1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r>
      <w:tr w:rsidR="00740AF0" w:rsidRPr="00740AF0" w14:paraId="4008E03C" w14:textId="77777777" w:rsidTr="00740AF0">
        <w:trPr>
          <w:trHeight w:val="300"/>
        </w:trPr>
        <w:tc>
          <w:tcPr>
            <w:tcW w:w="3420" w:type="dxa"/>
            <w:tcBorders>
              <w:top w:val="nil"/>
              <w:left w:val="nil"/>
              <w:bottom w:val="nil"/>
              <w:right w:val="nil"/>
            </w:tcBorders>
            <w:shd w:val="clear" w:color="000000" w:fill="FFFFFF"/>
            <w:noWrap/>
            <w:vAlign w:val="bottom"/>
            <w:hideMark/>
          </w:tcPr>
          <w:p w14:paraId="097CCF37"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Final Energy Intensity (FEI)</w:t>
            </w:r>
          </w:p>
        </w:tc>
        <w:tc>
          <w:tcPr>
            <w:tcW w:w="880" w:type="dxa"/>
            <w:tcBorders>
              <w:top w:val="nil"/>
              <w:left w:val="nil"/>
              <w:bottom w:val="nil"/>
              <w:right w:val="nil"/>
            </w:tcBorders>
            <w:shd w:val="clear" w:color="000000" w:fill="FFFFFF"/>
            <w:noWrap/>
            <w:vAlign w:val="bottom"/>
            <w:hideMark/>
          </w:tcPr>
          <w:p w14:paraId="1426338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200009</w:t>
            </w:r>
          </w:p>
        </w:tc>
        <w:tc>
          <w:tcPr>
            <w:tcW w:w="880" w:type="dxa"/>
            <w:tcBorders>
              <w:top w:val="nil"/>
              <w:left w:val="nil"/>
              <w:bottom w:val="nil"/>
              <w:right w:val="nil"/>
            </w:tcBorders>
            <w:shd w:val="clear" w:color="000000" w:fill="FFFFFF"/>
            <w:noWrap/>
            <w:vAlign w:val="bottom"/>
            <w:hideMark/>
          </w:tcPr>
          <w:p w14:paraId="1893342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200033</w:t>
            </w:r>
          </w:p>
        </w:tc>
        <w:tc>
          <w:tcPr>
            <w:tcW w:w="880" w:type="dxa"/>
            <w:tcBorders>
              <w:top w:val="nil"/>
              <w:left w:val="nil"/>
              <w:bottom w:val="nil"/>
              <w:right w:val="nil"/>
            </w:tcBorders>
            <w:shd w:val="clear" w:color="000000" w:fill="FFFFFF"/>
            <w:noWrap/>
            <w:vAlign w:val="bottom"/>
            <w:hideMark/>
          </w:tcPr>
          <w:p w14:paraId="6245B1C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299177</w:t>
            </w:r>
          </w:p>
        </w:tc>
        <w:tc>
          <w:tcPr>
            <w:tcW w:w="880" w:type="dxa"/>
            <w:tcBorders>
              <w:top w:val="nil"/>
              <w:left w:val="nil"/>
              <w:bottom w:val="nil"/>
              <w:right w:val="nil"/>
            </w:tcBorders>
            <w:shd w:val="clear" w:color="000000" w:fill="FFFFFF"/>
            <w:noWrap/>
            <w:vAlign w:val="bottom"/>
            <w:hideMark/>
          </w:tcPr>
          <w:p w14:paraId="26C152A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266179</w:t>
            </w:r>
          </w:p>
        </w:tc>
        <w:tc>
          <w:tcPr>
            <w:tcW w:w="880" w:type="dxa"/>
            <w:tcBorders>
              <w:top w:val="nil"/>
              <w:left w:val="nil"/>
              <w:bottom w:val="nil"/>
              <w:right w:val="nil"/>
            </w:tcBorders>
            <w:shd w:val="clear" w:color="000000" w:fill="FFFFFF"/>
            <w:noWrap/>
            <w:vAlign w:val="bottom"/>
            <w:hideMark/>
          </w:tcPr>
          <w:p w14:paraId="618C3E6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199975</w:t>
            </w:r>
          </w:p>
        </w:tc>
        <w:tc>
          <w:tcPr>
            <w:tcW w:w="880" w:type="dxa"/>
            <w:tcBorders>
              <w:top w:val="nil"/>
              <w:left w:val="nil"/>
              <w:bottom w:val="nil"/>
              <w:right w:val="nil"/>
            </w:tcBorders>
            <w:shd w:val="clear" w:color="000000" w:fill="FFFFFF"/>
            <w:noWrap/>
            <w:vAlign w:val="bottom"/>
            <w:hideMark/>
          </w:tcPr>
          <w:p w14:paraId="5C42298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139574</w:t>
            </w:r>
          </w:p>
        </w:tc>
        <w:tc>
          <w:tcPr>
            <w:tcW w:w="880" w:type="dxa"/>
            <w:tcBorders>
              <w:top w:val="nil"/>
              <w:left w:val="nil"/>
              <w:bottom w:val="nil"/>
              <w:right w:val="nil"/>
            </w:tcBorders>
            <w:shd w:val="clear" w:color="000000" w:fill="FFFFFF"/>
            <w:noWrap/>
            <w:vAlign w:val="bottom"/>
            <w:hideMark/>
          </w:tcPr>
          <w:p w14:paraId="713F86B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246036</w:t>
            </w:r>
          </w:p>
        </w:tc>
        <w:tc>
          <w:tcPr>
            <w:tcW w:w="880" w:type="dxa"/>
            <w:tcBorders>
              <w:top w:val="nil"/>
              <w:left w:val="nil"/>
              <w:bottom w:val="nil"/>
              <w:right w:val="nil"/>
            </w:tcBorders>
            <w:shd w:val="clear" w:color="000000" w:fill="FFFFFF"/>
            <w:noWrap/>
            <w:vAlign w:val="bottom"/>
            <w:hideMark/>
          </w:tcPr>
          <w:p w14:paraId="2D200B8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141506</w:t>
            </w:r>
          </w:p>
        </w:tc>
        <w:tc>
          <w:tcPr>
            <w:tcW w:w="880" w:type="dxa"/>
            <w:tcBorders>
              <w:top w:val="nil"/>
              <w:left w:val="nil"/>
              <w:bottom w:val="nil"/>
              <w:right w:val="nil"/>
            </w:tcBorders>
            <w:shd w:val="clear" w:color="000000" w:fill="FFFFFF"/>
            <w:noWrap/>
            <w:vAlign w:val="bottom"/>
            <w:hideMark/>
          </w:tcPr>
          <w:p w14:paraId="4167D77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199968</w:t>
            </w:r>
          </w:p>
        </w:tc>
        <w:tc>
          <w:tcPr>
            <w:tcW w:w="880" w:type="dxa"/>
            <w:tcBorders>
              <w:top w:val="nil"/>
              <w:left w:val="nil"/>
              <w:bottom w:val="nil"/>
              <w:right w:val="nil"/>
            </w:tcBorders>
            <w:shd w:val="clear" w:color="000000" w:fill="FFFFFF"/>
            <w:noWrap/>
            <w:vAlign w:val="bottom"/>
            <w:hideMark/>
          </w:tcPr>
          <w:p w14:paraId="47C1053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200002</w:t>
            </w:r>
          </w:p>
        </w:tc>
        <w:tc>
          <w:tcPr>
            <w:tcW w:w="880" w:type="dxa"/>
            <w:tcBorders>
              <w:top w:val="nil"/>
              <w:left w:val="nil"/>
              <w:bottom w:val="nil"/>
              <w:right w:val="nil"/>
            </w:tcBorders>
            <w:shd w:val="clear" w:color="000000" w:fill="FFFFFF"/>
            <w:noWrap/>
            <w:vAlign w:val="bottom"/>
            <w:hideMark/>
          </w:tcPr>
          <w:p w14:paraId="52F299F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199977</w:t>
            </w:r>
          </w:p>
        </w:tc>
      </w:tr>
      <w:tr w:rsidR="00740AF0" w:rsidRPr="00740AF0" w14:paraId="4689FA5B" w14:textId="77777777" w:rsidTr="00740AF0">
        <w:trPr>
          <w:trHeight w:val="300"/>
        </w:trPr>
        <w:tc>
          <w:tcPr>
            <w:tcW w:w="3420" w:type="dxa"/>
            <w:tcBorders>
              <w:top w:val="nil"/>
              <w:left w:val="nil"/>
              <w:bottom w:val="nil"/>
              <w:right w:val="nil"/>
            </w:tcBorders>
            <w:shd w:val="clear" w:color="000000" w:fill="FFFFFF"/>
            <w:noWrap/>
            <w:vAlign w:val="bottom"/>
            <w:hideMark/>
          </w:tcPr>
          <w:p w14:paraId="2F8F394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NC Biomass</w:t>
            </w:r>
          </w:p>
        </w:tc>
        <w:tc>
          <w:tcPr>
            <w:tcW w:w="880" w:type="dxa"/>
            <w:tcBorders>
              <w:top w:val="nil"/>
              <w:left w:val="nil"/>
              <w:bottom w:val="nil"/>
              <w:right w:val="nil"/>
            </w:tcBorders>
            <w:shd w:val="clear" w:color="000000" w:fill="FFFFFF"/>
            <w:noWrap/>
            <w:vAlign w:val="bottom"/>
            <w:hideMark/>
          </w:tcPr>
          <w:p w14:paraId="2495770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19935</w:t>
            </w:r>
          </w:p>
        </w:tc>
        <w:tc>
          <w:tcPr>
            <w:tcW w:w="880" w:type="dxa"/>
            <w:tcBorders>
              <w:top w:val="nil"/>
              <w:left w:val="nil"/>
              <w:bottom w:val="nil"/>
              <w:right w:val="nil"/>
            </w:tcBorders>
            <w:shd w:val="clear" w:color="000000" w:fill="FFFFFF"/>
            <w:noWrap/>
            <w:vAlign w:val="bottom"/>
            <w:hideMark/>
          </w:tcPr>
          <w:p w14:paraId="1504AC7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26294</w:t>
            </w:r>
          </w:p>
        </w:tc>
        <w:tc>
          <w:tcPr>
            <w:tcW w:w="880" w:type="dxa"/>
            <w:tcBorders>
              <w:top w:val="nil"/>
              <w:left w:val="nil"/>
              <w:bottom w:val="nil"/>
              <w:right w:val="nil"/>
            </w:tcBorders>
            <w:shd w:val="clear" w:color="000000" w:fill="FFFFFF"/>
            <w:noWrap/>
            <w:vAlign w:val="bottom"/>
            <w:hideMark/>
          </w:tcPr>
          <w:p w14:paraId="6F588E3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77786</w:t>
            </w:r>
          </w:p>
        </w:tc>
        <w:tc>
          <w:tcPr>
            <w:tcW w:w="880" w:type="dxa"/>
            <w:tcBorders>
              <w:top w:val="nil"/>
              <w:left w:val="nil"/>
              <w:bottom w:val="nil"/>
              <w:right w:val="nil"/>
            </w:tcBorders>
            <w:shd w:val="clear" w:color="000000" w:fill="FFFFFF"/>
            <w:noWrap/>
            <w:vAlign w:val="bottom"/>
            <w:hideMark/>
          </w:tcPr>
          <w:p w14:paraId="3355D1E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40951</w:t>
            </w:r>
          </w:p>
        </w:tc>
        <w:tc>
          <w:tcPr>
            <w:tcW w:w="880" w:type="dxa"/>
            <w:tcBorders>
              <w:top w:val="nil"/>
              <w:left w:val="nil"/>
              <w:bottom w:val="nil"/>
              <w:right w:val="nil"/>
            </w:tcBorders>
            <w:shd w:val="clear" w:color="000000" w:fill="FFFFFF"/>
            <w:noWrap/>
            <w:vAlign w:val="bottom"/>
            <w:hideMark/>
          </w:tcPr>
          <w:p w14:paraId="7E61EAE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20038</w:t>
            </w:r>
          </w:p>
        </w:tc>
        <w:tc>
          <w:tcPr>
            <w:tcW w:w="880" w:type="dxa"/>
            <w:tcBorders>
              <w:top w:val="nil"/>
              <w:left w:val="nil"/>
              <w:bottom w:val="nil"/>
              <w:right w:val="nil"/>
            </w:tcBorders>
            <w:shd w:val="clear" w:color="000000" w:fill="FFFFFF"/>
            <w:noWrap/>
            <w:vAlign w:val="bottom"/>
            <w:hideMark/>
          </w:tcPr>
          <w:p w14:paraId="0D7E4A7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94649</w:t>
            </w:r>
          </w:p>
        </w:tc>
        <w:tc>
          <w:tcPr>
            <w:tcW w:w="880" w:type="dxa"/>
            <w:tcBorders>
              <w:top w:val="nil"/>
              <w:left w:val="nil"/>
              <w:bottom w:val="nil"/>
              <w:right w:val="nil"/>
            </w:tcBorders>
            <w:shd w:val="clear" w:color="000000" w:fill="FFFFFF"/>
            <w:noWrap/>
            <w:vAlign w:val="bottom"/>
            <w:hideMark/>
          </w:tcPr>
          <w:p w14:paraId="40FA50F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94724</w:t>
            </w:r>
          </w:p>
        </w:tc>
        <w:tc>
          <w:tcPr>
            <w:tcW w:w="880" w:type="dxa"/>
            <w:tcBorders>
              <w:top w:val="nil"/>
              <w:left w:val="nil"/>
              <w:bottom w:val="nil"/>
              <w:right w:val="nil"/>
            </w:tcBorders>
            <w:shd w:val="clear" w:color="000000" w:fill="FFFFFF"/>
            <w:noWrap/>
            <w:vAlign w:val="bottom"/>
            <w:hideMark/>
          </w:tcPr>
          <w:p w14:paraId="5E0159B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132072</w:t>
            </w:r>
          </w:p>
        </w:tc>
        <w:tc>
          <w:tcPr>
            <w:tcW w:w="880" w:type="dxa"/>
            <w:tcBorders>
              <w:top w:val="nil"/>
              <w:left w:val="nil"/>
              <w:bottom w:val="nil"/>
              <w:right w:val="nil"/>
            </w:tcBorders>
            <w:shd w:val="clear" w:color="000000" w:fill="FFFFFF"/>
            <w:noWrap/>
            <w:vAlign w:val="bottom"/>
            <w:hideMark/>
          </w:tcPr>
          <w:p w14:paraId="74DAB11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12268</w:t>
            </w:r>
          </w:p>
        </w:tc>
        <w:tc>
          <w:tcPr>
            <w:tcW w:w="880" w:type="dxa"/>
            <w:tcBorders>
              <w:top w:val="nil"/>
              <w:left w:val="nil"/>
              <w:bottom w:val="nil"/>
              <w:right w:val="nil"/>
            </w:tcBorders>
            <w:shd w:val="clear" w:color="000000" w:fill="FFFFFF"/>
            <w:noWrap/>
            <w:vAlign w:val="bottom"/>
            <w:hideMark/>
          </w:tcPr>
          <w:p w14:paraId="04C8BEB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18046</w:t>
            </w:r>
          </w:p>
        </w:tc>
        <w:tc>
          <w:tcPr>
            <w:tcW w:w="880" w:type="dxa"/>
            <w:tcBorders>
              <w:top w:val="nil"/>
              <w:left w:val="nil"/>
              <w:bottom w:val="nil"/>
              <w:right w:val="nil"/>
            </w:tcBorders>
            <w:shd w:val="clear" w:color="000000" w:fill="FFFFFF"/>
            <w:noWrap/>
            <w:vAlign w:val="bottom"/>
            <w:hideMark/>
          </w:tcPr>
          <w:p w14:paraId="244A040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48153</w:t>
            </w:r>
          </w:p>
        </w:tc>
      </w:tr>
      <w:tr w:rsidR="00740AF0" w:rsidRPr="00740AF0" w14:paraId="3AAD15E7" w14:textId="77777777" w:rsidTr="00740AF0">
        <w:trPr>
          <w:trHeight w:val="300"/>
        </w:trPr>
        <w:tc>
          <w:tcPr>
            <w:tcW w:w="3420" w:type="dxa"/>
            <w:tcBorders>
              <w:top w:val="nil"/>
              <w:left w:val="nil"/>
              <w:bottom w:val="nil"/>
              <w:right w:val="nil"/>
            </w:tcBorders>
            <w:shd w:val="clear" w:color="000000" w:fill="FFFFFF"/>
            <w:noWrap/>
            <w:vAlign w:val="bottom"/>
            <w:hideMark/>
          </w:tcPr>
          <w:p w14:paraId="36563F2A"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Transport</w:t>
            </w:r>
          </w:p>
        </w:tc>
        <w:tc>
          <w:tcPr>
            <w:tcW w:w="880" w:type="dxa"/>
            <w:tcBorders>
              <w:top w:val="nil"/>
              <w:left w:val="nil"/>
              <w:bottom w:val="nil"/>
              <w:right w:val="nil"/>
            </w:tcBorders>
            <w:shd w:val="clear" w:color="000000" w:fill="FFFFFF"/>
            <w:noWrap/>
            <w:vAlign w:val="bottom"/>
            <w:hideMark/>
          </w:tcPr>
          <w:p w14:paraId="25C1FA6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49838</w:t>
            </w:r>
          </w:p>
        </w:tc>
        <w:tc>
          <w:tcPr>
            <w:tcW w:w="880" w:type="dxa"/>
            <w:tcBorders>
              <w:top w:val="nil"/>
              <w:left w:val="nil"/>
              <w:bottom w:val="nil"/>
              <w:right w:val="nil"/>
            </w:tcBorders>
            <w:shd w:val="clear" w:color="000000" w:fill="FFFFFF"/>
            <w:noWrap/>
            <w:vAlign w:val="bottom"/>
            <w:hideMark/>
          </w:tcPr>
          <w:p w14:paraId="1DAF706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105177</w:t>
            </w:r>
          </w:p>
        </w:tc>
        <w:tc>
          <w:tcPr>
            <w:tcW w:w="880" w:type="dxa"/>
            <w:tcBorders>
              <w:top w:val="nil"/>
              <w:left w:val="nil"/>
              <w:bottom w:val="nil"/>
              <w:right w:val="nil"/>
            </w:tcBorders>
            <w:shd w:val="clear" w:color="000000" w:fill="FFFFFF"/>
            <w:noWrap/>
            <w:vAlign w:val="bottom"/>
            <w:hideMark/>
          </w:tcPr>
          <w:p w14:paraId="6E78AB8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94540</w:t>
            </w:r>
          </w:p>
        </w:tc>
        <w:tc>
          <w:tcPr>
            <w:tcW w:w="880" w:type="dxa"/>
            <w:tcBorders>
              <w:top w:val="nil"/>
              <w:left w:val="nil"/>
              <w:bottom w:val="nil"/>
              <w:right w:val="nil"/>
            </w:tcBorders>
            <w:shd w:val="clear" w:color="000000" w:fill="FFFFFF"/>
            <w:noWrap/>
            <w:vAlign w:val="bottom"/>
            <w:hideMark/>
          </w:tcPr>
          <w:p w14:paraId="265896F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94596</w:t>
            </w:r>
          </w:p>
        </w:tc>
        <w:tc>
          <w:tcPr>
            <w:tcW w:w="880" w:type="dxa"/>
            <w:tcBorders>
              <w:top w:val="nil"/>
              <w:left w:val="nil"/>
              <w:bottom w:val="nil"/>
              <w:right w:val="nil"/>
            </w:tcBorders>
            <w:shd w:val="clear" w:color="000000" w:fill="FFFFFF"/>
            <w:noWrap/>
            <w:vAlign w:val="bottom"/>
            <w:hideMark/>
          </w:tcPr>
          <w:p w14:paraId="2FA505A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80150</w:t>
            </w:r>
          </w:p>
        </w:tc>
        <w:tc>
          <w:tcPr>
            <w:tcW w:w="880" w:type="dxa"/>
            <w:tcBorders>
              <w:top w:val="nil"/>
              <w:left w:val="nil"/>
              <w:bottom w:val="nil"/>
              <w:right w:val="nil"/>
            </w:tcBorders>
            <w:shd w:val="clear" w:color="000000" w:fill="FFFFFF"/>
            <w:noWrap/>
            <w:vAlign w:val="bottom"/>
            <w:hideMark/>
          </w:tcPr>
          <w:p w14:paraId="68D6DC2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94649</w:t>
            </w:r>
          </w:p>
        </w:tc>
        <w:tc>
          <w:tcPr>
            <w:tcW w:w="880" w:type="dxa"/>
            <w:tcBorders>
              <w:top w:val="nil"/>
              <w:left w:val="nil"/>
              <w:bottom w:val="nil"/>
              <w:right w:val="nil"/>
            </w:tcBorders>
            <w:shd w:val="clear" w:color="000000" w:fill="FFFFFF"/>
            <w:noWrap/>
            <w:vAlign w:val="bottom"/>
            <w:hideMark/>
          </w:tcPr>
          <w:p w14:paraId="15C8305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94724</w:t>
            </w:r>
          </w:p>
        </w:tc>
        <w:tc>
          <w:tcPr>
            <w:tcW w:w="880" w:type="dxa"/>
            <w:tcBorders>
              <w:top w:val="nil"/>
              <w:left w:val="nil"/>
              <w:bottom w:val="nil"/>
              <w:right w:val="nil"/>
            </w:tcBorders>
            <w:shd w:val="clear" w:color="000000" w:fill="FFFFFF"/>
            <w:noWrap/>
            <w:vAlign w:val="bottom"/>
            <w:hideMark/>
          </w:tcPr>
          <w:p w14:paraId="3BF241B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94652</w:t>
            </w:r>
          </w:p>
        </w:tc>
        <w:tc>
          <w:tcPr>
            <w:tcW w:w="880" w:type="dxa"/>
            <w:tcBorders>
              <w:top w:val="nil"/>
              <w:left w:val="nil"/>
              <w:bottom w:val="nil"/>
              <w:right w:val="nil"/>
            </w:tcBorders>
            <w:shd w:val="clear" w:color="000000" w:fill="FFFFFF"/>
            <w:noWrap/>
            <w:vAlign w:val="bottom"/>
            <w:hideMark/>
          </w:tcPr>
          <w:p w14:paraId="57D0868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81787</w:t>
            </w:r>
          </w:p>
        </w:tc>
        <w:tc>
          <w:tcPr>
            <w:tcW w:w="880" w:type="dxa"/>
            <w:tcBorders>
              <w:top w:val="nil"/>
              <w:left w:val="nil"/>
              <w:bottom w:val="nil"/>
              <w:right w:val="nil"/>
            </w:tcBorders>
            <w:shd w:val="clear" w:color="000000" w:fill="FFFFFF"/>
            <w:noWrap/>
            <w:vAlign w:val="bottom"/>
            <w:hideMark/>
          </w:tcPr>
          <w:p w14:paraId="75C538C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27763</w:t>
            </w:r>
          </w:p>
        </w:tc>
        <w:tc>
          <w:tcPr>
            <w:tcW w:w="880" w:type="dxa"/>
            <w:tcBorders>
              <w:top w:val="nil"/>
              <w:left w:val="nil"/>
              <w:bottom w:val="nil"/>
              <w:right w:val="nil"/>
            </w:tcBorders>
            <w:shd w:val="clear" w:color="000000" w:fill="FFFFFF"/>
            <w:noWrap/>
            <w:vAlign w:val="bottom"/>
            <w:hideMark/>
          </w:tcPr>
          <w:p w14:paraId="2A20781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99139</w:t>
            </w:r>
          </w:p>
        </w:tc>
      </w:tr>
      <w:tr w:rsidR="00740AF0" w:rsidRPr="00740AF0" w14:paraId="7D5261E9" w14:textId="77777777" w:rsidTr="00740AF0">
        <w:trPr>
          <w:trHeight w:val="300"/>
        </w:trPr>
        <w:tc>
          <w:tcPr>
            <w:tcW w:w="3420" w:type="dxa"/>
            <w:tcBorders>
              <w:top w:val="nil"/>
              <w:left w:val="nil"/>
              <w:bottom w:val="nil"/>
              <w:right w:val="nil"/>
            </w:tcBorders>
            <w:shd w:val="clear" w:color="000000" w:fill="FFFFFF"/>
            <w:noWrap/>
            <w:vAlign w:val="bottom"/>
            <w:hideMark/>
          </w:tcPr>
          <w:p w14:paraId="1D2E1430"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Res/Com</w:t>
            </w:r>
          </w:p>
        </w:tc>
        <w:tc>
          <w:tcPr>
            <w:tcW w:w="880" w:type="dxa"/>
            <w:tcBorders>
              <w:top w:val="nil"/>
              <w:left w:val="nil"/>
              <w:bottom w:val="nil"/>
              <w:right w:val="nil"/>
            </w:tcBorders>
            <w:shd w:val="clear" w:color="000000" w:fill="FFFFFF"/>
            <w:noWrap/>
            <w:vAlign w:val="bottom"/>
            <w:hideMark/>
          </w:tcPr>
          <w:p w14:paraId="0BC9440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119611</w:t>
            </w:r>
          </w:p>
        </w:tc>
        <w:tc>
          <w:tcPr>
            <w:tcW w:w="880" w:type="dxa"/>
            <w:tcBorders>
              <w:top w:val="nil"/>
              <w:left w:val="nil"/>
              <w:bottom w:val="nil"/>
              <w:right w:val="nil"/>
            </w:tcBorders>
            <w:shd w:val="clear" w:color="000000" w:fill="FFFFFF"/>
            <w:noWrap/>
            <w:vAlign w:val="bottom"/>
            <w:hideMark/>
          </w:tcPr>
          <w:p w14:paraId="4343FBD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65735</w:t>
            </w:r>
          </w:p>
        </w:tc>
        <w:tc>
          <w:tcPr>
            <w:tcW w:w="880" w:type="dxa"/>
            <w:tcBorders>
              <w:top w:val="nil"/>
              <w:left w:val="nil"/>
              <w:bottom w:val="nil"/>
              <w:right w:val="nil"/>
            </w:tcBorders>
            <w:shd w:val="clear" w:color="000000" w:fill="FFFFFF"/>
            <w:noWrap/>
            <w:vAlign w:val="bottom"/>
            <w:hideMark/>
          </w:tcPr>
          <w:p w14:paraId="22222B0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89753</w:t>
            </w:r>
          </w:p>
        </w:tc>
        <w:tc>
          <w:tcPr>
            <w:tcW w:w="880" w:type="dxa"/>
            <w:tcBorders>
              <w:top w:val="nil"/>
              <w:left w:val="nil"/>
              <w:bottom w:val="nil"/>
              <w:right w:val="nil"/>
            </w:tcBorders>
            <w:shd w:val="clear" w:color="000000" w:fill="FFFFFF"/>
            <w:noWrap/>
            <w:vAlign w:val="bottom"/>
            <w:hideMark/>
          </w:tcPr>
          <w:p w14:paraId="13D9419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71664</w:t>
            </w:r>
          </w:p>
        </w:tc>
        <w:tc>
          <w:tcPr>
            <w:tcW w:w="880" w:type="dxa"/>
            <w:tcBorders>
              <w:top w:val="nil"/>
              <w:left w:val="nil"/>
              <w:bottom w:val="nil"/>
              <w:right w:val="nil"/>
            </w:tcBorders>
            <w:shd w:val="clear" w:color="000000" w:fill="FFFFFF"/>
            <w:noWrap/>
            <w:vAlign w:val="bottom"/>
            <w:hideMark/>
          </w:tcPr>
          <w:p w14:paraId="10B5675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94577</w:t>
            </w:r>
          </w:p>
        </w:tc>
        <w:tc>
          <w:tcPr>
            <w:tcW w:w="880" w:type="dxa"/>
            <w:tcBorders>
              <w:top w:val="nil"/>
              <w:left w:val="nil"/>
              <w:bottom w:val="nil"/>
              <w:right w:val="nil"/>
            </w:tcBorders>
            <w:shd w:val="clear" w:color="000000" w:fill="FFFFFF"/>
            <w:noWrap/>
            <w:vAlign w:val="bottom"/>
            <w:hideMark/>
          </w:tcPr>
          <w:p w14:paraId="1A4949C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69787</w:t>
            </w:r>
          </w:p>
        </w:tc>
        <w:tc>
          <w:tcPr>
            <w:tcW w:w="880" w:type="dxa"/>
            <w:tcBorders>
              <w:top w:val="nil"/>
              <w:left w:val="nil"/>
              <w:bottom w:val="nil"/>
              <w:right w:val="nil"/>
            </w:tcBorders>
            <w:shd w:val="clear" w:color="000000" w:fill="FFFFFF"/>
            <w:noWrap/>
            <w:vAlign w:val="bottom"/>
            <w:hideMark/>
          </w:tcPr>
          <w:p w14:paraId="089FDF0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94724</w:t>
            </w:r>
          </w:p>
        </w:tc>
        <w:tc>
          <w:tcPr>
            <w:tcW w:w="880" w:type="dxa"/>
            <w:tcBorders>
              <w:top w:val="nil"/>
              <w:left w:val="nil"/>
              <w:bottom w:val="nil"/>
              <w:right w:val="nil"/>
            </w:tcBorders>
            <w:shd w:val="clear" w:color="000000" w:fill="FFFFFF"/>
            <w:noWrap/>
            <w:vAlign w:val="bottom"/>
            <w:hideMark/>
          </w:tcPr>
          <w:p w14:paraId="783B44C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110060</w:t>
            </w:r>
          </w:p>
        </w:tc>
        <w:tc>
          <w:tcPr>
            <w:tcW w:w="880" w:type="dxa"/>
            <w:tcBorders>
              <w:top w:val="nil"/>
              <w:left w:val="nil"/>
              <w:bottom w:val="nil"/>
              <w:right w:val="nil"/>
            </w:tcBorders>
            <w:shd w:val="clear" w:color="000000" w:fill="FFFFFF"/>
            <w:noWrap/>
            <w:vAlign w:val="bottom"/>
            <w:hideMark/>
          </w:tcPr>
          <w:p w14:paraId="14C9E26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81787</w:t>
            </w:r>
          </w:p>
        </w:tc>
        <w:tc>
          <w:tcPr>
            <w:tcW w:w="880" w:type="dxa"/>
            <w:tcBorders>
              <w:top w:val="nil"/>
              <w:left w:val="nil"/>
              <w:bottom w:val="nil"/>
              <w:right w:val="nil"/>
            </w:tcBorders>
            <w:shd w:val="clear" w:color="000000" w:fill="FFFFFF"/>
            <w:noWrap/>
            <w:vAlign w:val="bottom"/>
            <w:hideMark/>
          </w:tcPr>
          <w:p w14:paraId="1FFF631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83288</w:t>
            </w:r>
          </w:p>
        </w:tc>
        <w:tc>
          <w:tcPr>
            <w:tcW w:w="880" w:type="dxa"/>
            <w:tcBorders>
              <w:top w:val="nil"/>
              <w:left w:val="nil"/>
              <w:bottom w:val="nil"/>
              <w:right w:val="nil"/>
            </w:tcBorders>
            <w:shd w:val="clear" w:color="000000" w:fill="FFFFFF"/>
            <w:noWrap/>
            <w:vAlign w:val="bottom"/>
            <w:hideMark/>
          </w:tcPr>
          <w:p w14:paraId="2389ECE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113301</w:t>
            </w:r>
          </w:p>
        </w:tc>
      </w:tr>
      <w:tr w:rsidR="00740AF0" w:rsidRPr="00740AF0" w14:paraId="5391F520" w14:textId="77777777" w:rsidTr="00740AF0">
        <w:trPr>
          <w:trHeight w:val="300"/>
        </w:trPr>
        <w:tc>
          <w:tcPr>
            <w:tcW w:w="3420" w:type="dxa"/>
            <w:tcBorders>
              <w:top w:val="nil"/>
              <w:left w:val="nil"/>
              <w:bottom w:val="nil"/>
              <w:right w:val="nil"/>
            </w:tcBorders>
            <w:shd w:val="clear" w:color="000000" w:fill="FFFFFF"/>
            <w:noWrap/>
            <w:vAlign w:val="bottom"/>
            <w:hideMark/>
          </w:tcPr>
          <w:p w14:paraId="5C831B7B"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Industry</w:t>
            </w:r>
          </w:p>
        </w:tc>
        <w:tc>
          <w:tcPr>
            <w:tcW w:w="880" w:type="dxa"/>
            <w:tcBorders>
              <w:top w:val="nil"/>
              <w:left w:val="nil"/>
              <w:bottom w:val="nil"/>
              <w:right w:val="nil"/>
            </w:tcBorders>
            <w:shd w:val="clear" w:color="000000" w:fill="FFFFFF"/>
            <w:noWrap/>
            <w:vAlign w:val="bottom"/>
            <w:hideMark/>
          </w:tcPr>
          <w:p w14:paraId="2CC236F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31896</w:t>
            </w:r>
          </w:p>
        </w:tc>
        <w:tc>
          <w:tcPr>
            <w:tcW w:w="880" w:type="dxa"/>
            <w:tcBorders>
              <w:top w:val="nil"/>
              <w:left w:val="nil"/>
              <w:bottom w:val="nil"/>
              <w:right w:val="nil"/>
            </w:tcBorders>
            <w:shd w:val="clear" w:color="000000" w:fill="FFFFFF"/>
            <w:noWrap/>
            <w:vAlign w:val="bottom"/>
            <w:hideMark/>
          </w:tcPr>
          <w:p w14:paraId="31C48B0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105177</w:t>
            </w:r>
          </w:p>
        </w:tc>
        <w:tc>
          <w:tcPr>
            <w:tcW w:w="880" w:type="dxa"/>
            <w:tcBorders>
              <w:top w:val="nil"/>
              <w:left w:val="nil"/>
              <w:bottom w:val="nil"/>
              <w:right w:val="nil"/>
            </w:tcBorders>
            <w:shd w:val="clear" w:color="000000" w:fill="FFFFFF"/>
            <w:noWrap/>
            <w:vAlign w:val="bottom"/>
            <w:hideMark/>
          </w:tcPr>
          <w:p w14:paraId="5C16AD2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44877</w:t>
            </w:r>
          </w:p>
        </w:tc>
        <w:tc>
          <w:tcPr>
            <w:tcW w:w="880" w:type="dxa"/>
            <w:tcBorders>
              <w:top w:val="nil"/>
              <w:left w:val="nil"/>
              <w:bottom w:val="nil"/>
              <w:right w:val="nil"/>
            </w:tcBorders>
            <w:shd w:val="clear" w:color="000000" w:fill="FFFFFF"/>
            <w:noWrap/>
            <w:vAlign w:val="bottom"/>
            <w:hideMark/>
          </w:tcPr>
          <w:p w14:paraId="6CFDF66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102377</w:t>
            </w:r>
          </w:p>
        </w:tc>
        <w:tc>
          <w:tcPr>
            <w:tcW w:w="880" w:type="dxa"/>
            <w:tcBorders>
              <w:top w:val="nil"/>
              <w:left w:val="nil"/>
              <w:bottom w:val="nil"/>
              <w:right w:val="nil"/>
            </w:tcBorders>
            <w:shd w:val="clear" w:color="000000" w:fill="FFFFFF"/>
            <w:noWrap/>
            <w:vAlign w:val="bottom"/>
            <w:hideMark/>
          </w:tcPr>
          <w:p w14:paraId="65E1C41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100188</w:t>
            </w:r>
          </w:p>
        </w:tc>
        <w:tc>
          <w:tcPr>
            <w:tcW w:w="880" w:type="dxa"/>
            <w:tcBorders>
              <w:top w:val="nil"/>
              <w:left w:val="nil"/>
              <w:bottom w:val="nil"/>
              <w:right w:val="nil"/>
            </w:tcBorders>
            <w:shd w:val="clear" w:color="000000" w:fill="FFFFFF"/>
            <w:noWrap/>
            <w:vAlign w:val="bottom"/>
            <w:hideMark/>
          </w:tcPr>
          <w:p w14:paraId="212BE8D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78511</w:t>
            </w:r>
          </w:p>
        </w:tc>
        <w:tc>
          <w:tcPr>
            <w:tcW w:w="880" w:type="dxa"/>
            <w:tcBorders>
              <w:top w:val="nil"/>
              <w:left w:val="nil"/>
              <w:bottom w:val="nil"/>
              <w:right w:val="nil"/>
            </w:tcBorders>
            <w:shd w:val="clear" w:color="000000" w:fill="FFFFFF"/>
            <w:noWrap/>
            <w:vAlign w:val="bottom"/>
            <w:hideMark/>
          </w:tcPr>
          <w:p w14:paraId="2C90551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94724</w:t>
            </w:r>
          </w:p>
        </w:tc>
        <w:tc>
          <w:tcPr>
            <w:tcW w:w="880" w:type="dxa"/>
            <w:tcBorders>
              <w:top w:val="nil"/>
              <w:left w:val="nil"/>
              <w:bottom w:val="nil"/>
              <w:right w:val="nil"/>
            </w:tcBorders>
            <w:shd w:val="clear" w:color="000000" w:fill="FFFFFF"/>
            <w:noWrap/>
            <w:vAlign w:val="bottom"/>
            <w:hideMark/>
          </w:tcPr>
          <w:p w14:paraId="381C92F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141506</w:t>
            </w:r>
          </w:p>
        </w:tc>
        <w:tc>
          <w:tcPr>
            <w:tcW w:w="880" w:type="dxa"/>
            <w:tcBorders>
              <w:top w:val="nil"/>
              <w:left w:val="nil"/>
              <w:bottom w:val="nil"/>
              <w:right w:val="nil"/>
            </w:tcBorders>
            <w:shd w:val="clear" w:color="000000" w:fill="FFFFFF"/>
            <w:noWrap/>
            <w:vAlign w:val="bottom"/>
            <w:hideMark/>
          </w:tcPr>
          <w:p w14:paraId="3B3FF2F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98144</w:t>
            </w:r>
          </w:p>
        </w:tc>
        <w:tc>
          <w:tcPr>
            <w:tcW w:w="880" w:type="dxa"/>
            <w:tcBorders>
              <w:top w:val="nil"/>
              <w:left w:val="nil"/>
              <w:bottom w:val="nil"/>
              <w:right w:val="nil"/>
            </w:tcBorders>
            <w:shd w:val="clear" w:color="000000" w:fill="FFFFFF"/>
            <w:noWrap/>
            <w:vAlign w:val="bottom"/>
            <w:hideMark/>
          </w:tcPr>
          <w:p w14:paraId="1F59B02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13881</w:t>
            </w:r>
          </w:p>
        </w:tc>
        <w:tc>
          <w:tcPr>
            <w:tcW w:w="880" w:type="dxa"/>
            <w:tcBorders>
              <w:top w:val="nil"/>
              <w:left w:val="nil"/>
              <w:bottom w:val="nil"/>
              <w:right w:val="nil"/>
            </w:tcBorders>
            <w:shd w:val="clear" w:color="000000" w:fill="FFFFFF"/>
            <w:noWrap/>
            <w:vAlign w:val="bottom"/>
            <w:hideMark/>
          </w:tcPr>
          <w:p w14:paraId="4EC76C4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94607</w:t>
            </w:r>
          </w:p>
        </w:tc>
      </w:tr>
      <w:tr w:rsidR="00740AF0" w:rsidRPr="00740AF0" w14:paraId="75B463DF" w14:textId="77777777" w:rsidTr="00740AF0">
        <w:trPr>
          <w:trHeight w:val="300"/>
        </w:trPr>
        <w:tc>
          <w:tcPr>
            <w:tcW w:w="3420" w:type="dxa"/>
            <w:tcBorders>
              <w:top w:val="nil"/>
              <w:left w:val="nil"/>
              <w:bottom w:val="nil"/>
              <w:right w:val="nil"/>
            </w:tcBorders>
            <w:shd w:val="clear" w:color="000000" w:fill="FFFFFF"/>
            <w:noWrap/>
            <w:vAlign w:val="bottom"/>
            <w:hideMark/>
          </w:tcPr>
          <w:p w14:paraId="2175A6D7"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Res/Com</w:t>
            </w:r>
          </w:p>
        </w:tc>
        <w:tc>
          <w:tcPr>
            <w:tcW w:w="880" w:type="dxa"/>
            <w:tcBorders>
              <w:top w:val="nil"/>
              <w:left w:val="nil"/>
              <w:bottom w:val="nil"/>
              <w:right w:val="nil"/>
            </w:tcBorders>
            <w:shd w:val="clear" w:color="000000" w:fill="FFFFFF"/>
            <w:noWrap/>
            <w:vAlign w:val="bottom"/>
            <w:hideMark/>
          </w:tcPr>
          <w:p w14:paraId="398E544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69773</w:t>
            </w:r>
          </w:p>
        </w:tc>
        <w:tc>
          <w:tcPr>
            <w:tcW w:w="880" w:type="dxa"/>
            <w:tcBorders>
              <w:top w:val="nil"/>
              <w:left w:val="nil"/>
              <w:bottom w:val="nil"/>
              <w:right w:val="nil"/>
            </w:tcBorders>
            <w:shd w:val="clear" w:color="000000" w:fill="FFFFFF"/>
            <w:noWrap/>
            <w:vAlign w:val="bottom"/>
            <w:hideMark/>
          </w:tcPr>
          <w:p w14:paraId="24432CC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94593</w:t>
            </w:r>
          </w:p>
        </w:tc>
        <w:tc>
          <w:tcPr>
            <w:tcW w:w="880" w:type="dxa"/>
            <w:tcBorders>
              <w:top w:val="nil"/>
              <w:left w:val="nil"/>
              <w:bottom w:val="nil"/>
              <w:right w:val="nil"/>
            </w:tcBorders>
            <w:shd w:val="clear" w:color="000000" w:fill="FFFFFF"/>
            <w:noWrap/>
            <w:vAlign w:val="bottom"/>
            <w:hideMark/>
          </w:tcPr>
          <w:p w14:paraId="401904F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94540</w:t>
            </w:r>
          </w:p>
        </w:tc>
        <w:tc>
          <w:tcPr>
            <w:tcW w:w="880" w:type="dxa"/>
            <w:tcBorders>
              <w:top w:val="nil"/>
              <w:left w:val="nil"/>
              <w:bottom w:val="nil"/>
              <w:right w:val="nil"/>
            </w:tcBorders>
            <w:shd w:val="clear" w:color="000000" w:fill="FFFFFF"/>
            <w:noWrap/>
            <w:vAlign w:val="bottom"/>
            <w:hideMark/>
          </w:tcPr>
          <w:p w14:paraId="1ADF4BB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102377</w:t>
            </w:r>
          </w:p>
        </w:tc>
        <w:tc>
          <w:tcPr>
            <w:tcW w:w="880" w:type="dxa"/>
            <w:tcBorders>
              <w:top w:val="nil"/>
              <w:left w:val="nil"/>
              <w:bottom w:val="nil"/>
              <w:right w:val="nil"/>
            </w:tcBorders>
            <w:shd w:val="clear" w:color="000000" w:fill="FFFFFF"/>
            <w:noWrap/>
            <w:vAlign w:val="bottom"/>
            <w:hideMark/>
          </w:tcPr>
          <w:p w14:paraId="0367C3B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94577</w:t>
            </w:r>
          </w:p>
        </w:tc>
        <w:tc>
          <w:tcPr>
            <w:tcW w:w="880" w:type="dxa"/>
            <w:tcBorders>
              <w:top w:val="nil"/>
              <w:left w:val="nil"/>
              <w:bottom w:val="nil"/>
              <w:right w:val="nil"/>
            </w:tcBorders>
            <w:shd w:val="clear" w:color="000000" w:fill="FFFFFF"/>
            <w:noWrap/>
            <w:vAlign w:val="bottom"/>
            <w:hideMark/>
          </w:tcPr>
          <w:p w14:paraId="3ECBBAA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87234</w:t>
            </w:r>
          </w:p>
        </w:tc>
        <w:tc>
          <w:tcPr>
            <w:tcW w:w="880" w:type="dxa"/>
            <w:tcBorders>
              <w:top w:val="nil"/>
              <w:left w:val="nil"/>
              <w:bottom w:val="nil"/>
              <w:right w:val="nil"/>
            </w:tcBorders>
            <w:shd w:val="clear" w:color="000000" w:fill="FFFFFF"/>
            <w:noWrap/>
            <w:vAlign w:val="bottom"/>
            <w:hideMark/>
          </w:tcPr>
          <w:p w14:paraId="28C3EEC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123018</w:t>
            </w:r>
          </w:p>
        </w:tc>
        <w:tc>
          <w:tcPr>
            <w:tcW w:w="880" w:type="dxa"/>
            <w:tcBorders>
              <w:top w:val="nil"/>
              <w:left w:val="nil"/>
              <w:bottom w:val="nil"/>
              <w:right w:val="nil"/>
            </w:tcBorders>
            <w:shd w:val="clear" w:color="000000" w:fill="FFFFFF"/>
            <w:noWrap/>
            <w:vAlign w:val="bottom"/>
            <w:hideMark/>
          </w:tcPr>
          <w:p w14:paraId="7FAC5A4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141506</w:t>
            </w:r>
          </w:p>
        </w:tc>
        <w:tc>
          <w:tcPr>
            <w:tcW w:w="880" w:type="dxa"/>
            <w:tcBorders>
              <w:top w:val="nil"/>
              <w:left w:val="nil"/>
              <w:bottom w:val="nil"/>
              <w:right w:val="nil"/>
            </w:tcBorders>
            <w:shd w:val="clear" w:color="000000" w:fill="FFFFFF"/>
            <w:noWrap/>
            <w:vAlign w:val="bottom"/>
            <w:hideMark/>
          </w:tcPr>
          <w:p w14:paraId="120F432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94627</w:t>
            </w:r>
          </w:p>
        </w:tc>
        <w:tc>
          <w:tcPr>
            <w:tcW w:w="880" w:type="dxa"/>
            <w:tcBorders>
              <w:top w:val="nil"/>
              <w:left w:val="nil"/>
              <w:bottom w:val="nil"/>
              <w:right w:val="nil"/>
            </w:tcBorders>
            <w:shd w:val="clear" w:color="000000" w:fill="FFFFFF"/>
            <w:noWrap/>
            <w:vAlign w:val="bottom"/>
            <w:hideMark/>
          </w:tcPr>
          <w:p w14:paraId="6E9043C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55525</w:t>
            </w:r>
          </w:p>
        </w:tc>
        <w:tc>
          <w:tcPr>
            <w:tcW w:w="880" w:type="dxa"/>
            <w:tcBorders>
              <w:top w:val="nil"/>
              <w:left w:val="nil"/>
              <w:bottom w:val="nil"/>
              <w:right w:val="nil"/>
            </w:tcBorders>
            <w:shd w:val="clear" w:color="000000" w:fill="FFFFFF"/>
            <w:noWrap/>
            <w:vAlign w:val="bottom"/>
            <w:hideMark/>
          </w:tcPr>
          <w:p w14:paraId="2F83FE0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113301</w:t>
            </w:r>
          </w:p>
        </w:tc>
      </w:tr>
      <w:tr w:rsidR="00740AF0" w:rsidRPr="00740AF0" w14:paraId="0E675606" w14:textId="77777777" w:rsidTr="002F05DB">
        <w:trPr>
          <w:trHeight w:val="300"/>
        </w:trPr>
        <w:tc>
          <w:tcPr>
            <w:tcW w:w="3420" w:type="dxa"/>
            <w:tcBorders>
              <w:top w:val="nil"/>
              <w:left w:val="nil"/>
              <w:right w:val="nil"/>
            </w:tcBorders>
            <w:shd w:val="clear" w:color="000000" w:fill="FFFFFF"/>
            <w:noWrap/>
            <w:vAlign w:val="bottom"/>
            <w:hideMark/>
          </w:tcPr>
          <w:p w14:paraId="2468575A"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Feedstock Share Industry</w:t>
            </w:r>
          </w:p>
        </w:tc>
        <w:tc>
          <w:tcPr>
            <w:tcW w:w="880" w:type="dxa"/>
            <w:tcBorders>
              <w:top w:val="nil"/>
              <w:left w:val="nil"/>
              <w:right w:val="nil"/>
            </w:tcBorders>
            <w:shd w:val="clear" w:color="000000" w:fill="FFFFFF"/>
            <w:noWrap/>
            <w:vAlign w:val="bottom"/>
            <w:hideMark/>
          </w:tcPr>
          <w:p w14:paraId="51EBDC8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19935</w:t>
            </w:r>
          </w:p>
        </w:tc>
        <w:tc>
          <w:tcPr>
            <w:tcW w:w="880" w:type="dxa"/>
            <w:tcBorders>
              <w:top w:val="nil"/>
              <w:left w:val="nil"/>
              <w:right w:val="nil"/>
            </w:tcBorders>
            <w:shd w:val="clear" w:color="000000" w:fill="FFFFFF"/>
            <w:noWrap/>
            <w:vAlign w:val="bottom"/>
            <w:hideMark/>
          </w:tcPr>
          <w:p w14:paraId="60790AA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94593</w:t>
            </w:r>
          </w:p>
        </w:tc>
        <w:tc>
          <w:tcPr>
            <w:tcW w:w="880" w:type="dxa"/>
            <w:tcBorders>
              <w:top w:val="nil"/>
              <w:left w:val="nil"/>
              <w:right w:val="nil"/>
            </w:tcBorders>
            <w:shd w:val="clear" w:color="000000" w:fill="FFFFFF"/>
            <w:noWrap/>
            <w:vAlign w:val="bottom"/>
            <w:hideMark/>
          </w:tcPr>
          <w:p w14:paraId="1E9A850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94540</w:t>
            </w:r>
          </w:p>
        </w:tc>
        <w:tc>
          <w:tcPr>
            <w:tcW w:w="880" w:type="dxa"/>
            <w:tcBorders>
              <w:top w:val="nil"/>
              <w:left w:val="nil"/>
              <w:right w:val="nil"/>
            </w:tcBorders>
            <w:shd w:val="clear" w:color="000000" w:fill="FFFFFF"/>
            <w:noWrap/>
            <w:vAlign w:val="bottom"/>
            <w:hideMark/>
          </w:tcPr>
          <w:p w14:paraId="28EF428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94596</w:t>
            </w:r>
          </w:p>
        </w:tc>
        <w:tc>
          <w:tcPr>
            <w:tcW w:w="880" w:type="dxa"/>
            <w:tcBorders>
              <w:top w:val="nil"/>
              <w:left w:val="nil"/>
              <w:right w:val="nil"/>
            </w:tcBorders>
            <w:shd w:val="clear" w:color="000000" w:fill="FFFFFF"/>
            <w:noWrap/>
            <w:vAlign w:val="bottom"/>
            <w:hideMark/>
          </w:tcPr>
          <w:p w14:paraId="7DD70F3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94577</w:t>
            </w:r>
          </w:p>
        </w:tc>
        <w:tc>
          <w:tcPr>
            <w:tcW w:w="880" w:type="dxa"/>
            <w:tcBorders>
              <w:top w:val="nil"/>
              <w:left w:val="nil"/>
              <w:right w:val="nil"/>
            </w:tcBorders>
            <w:shd w:val="clear" w:color="000000" w:fill="FFFFFF"/>
            <w:noWrap/>
            <w:vAlign w:val="bottom"/>
            <w:hideMark/>
          </w:tcPr>
          <w:p w14:paraId="3E6FFF0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94649</w:t>
            </w:r>
          </w:p>
        </w:tc>
        <w:tc>
          <w:tcPr>
            <w:tcW w:w="880" w:type="dxa"/>
            <w:tcBorders>
              <w:top w:val="nil"/>
              <w:left w:val="nil"/>
              <w:right w:val="nil"/>
            </w:tcBorders>
            <w:shd w:val="clear" w:color="000000" w:fill="FFFFFF"/>
            <w:noWrap/>
            <w:vAlign w:val="bottom"/>
            <w:hideMark/>
          </w:tcPr>
          <w:p w14:paraId="6997C38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94724</w:t>
            </w:r>
          </w:p>
        </w:tc>
        <w:tc>
          <w:tcPr>
            <w:tcW w:w="880" w:type="dxa"/>
            <w:tcBorders>
              <w:top w:val="nil"/>
              <w:left w:val="nil"/>
              <w:right w:val="nil"/>
            </w:tcBorders>
            <w:shd w:val="clear" w:color="000000" w:fill="FFFFFF"/>
            <w:noWrap/>
            <w:vAlign w:val="bottom"/>
            <w:hideMark/>
          </w:tcPr>
          <w:p w14:paraId="7E34E1E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94652</w:t>
            </w:r>
          </w:p>
        </w:tc>
        <w:tc>
          <w:tcPr>
            <w:tcW w:w="880" w:type="dxa"/>
            <w:tcBorders>
              <w:top w:val="nil"/>
              <w:left w:val="nil"/>
              <w:right w:val="nil"/>
            </w:tcBorders>
            <w:shd w:val="clear" w:color="000000" w:fill="FFFFFF"/>
            <w:noWrap/>
            <w:vAlign w:val="bottom"/>
            <w:hideMark/>
          </w:tcPr>
          <w:p w14:paraId="4DCBBFF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94627</w:t>
            </w:r>
          </w:p>
        </w:tc>
        <w:tc>
          <w:tcPr>
            <w:tcW w:w="880" w:type="dxa"/>
            <w:tcBorders>
              <w:top w:val="nil"/>
              <w:left w:val="nil"/>
              <w:right w:val="nil"/>
            </w:tcBorders>
            <w:shd w:val="clear" w:color="000000" w:fill="FFFFFF"/>
            <w:noWrap/>
            <w:vAlign w:val="bottom"/>
            <w:hideMark/>
          </w:tcPr>
          <w:p w14:paraId="1C9097F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94615</w:t>
            </w:r>
          </w:p>
        </w:tc>
        <w:tc>
          <w:tcPr>
            <w:tcW w:w="880" w:type="dxa"/>
            <w:tcBorders>
              <w:top w:val="nil"/>
              <w:left w:val="nil"/>
              <w:right w:val="nil"/>
            </w:tcBorders>
            <w:shd w:val="clear" w:color="000000" w:fill="FFFFFF"/>
            <w:noWrap/>
            <w:vAlign w:val="bottom"/>
            <w:hideMark/>
          </w:tcPr>
          <w:p w14:paraId="72219BE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94607</w:t>
            </w:r>
          </w:p>
        </w:tc>
      </w:tr>
      <w:tr w:rsidR="00740AF0" w:rsidRPr="00740AF0" w14:paraId="5FC36A12" w14:textId="77777777" w:rsidTr="002F05DB">
        <w:trPr>
          <w:trHeight w:val="315"/>
        </w:trPr>
        <w:tc>
          <w:tcPr>
            <w:tcW w:w="3420" w:type="dxa"/>
            <w:tcBorders>
              <w:top w:val="nil"/>
              <w:left w:val="nil"/>
              <w:bottom w:val="single" w:sz="4" w:space="0" w:color="auto"/>
              <w:right w:val="nil"/>
            </w:tcBorders>
            <w:shd w:val="clear" w:color="000000" w:fill="FFFFFF"/>
            <w:noWrap/>
            <w:vAlign w:val="bottom"/>
            <w:hideMark/>
          </w:tcPr>
          <w:p w14:paraId="2D5BDAF4"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Industry</w:t>
            </w:r>
          </w:p>
        </w:tc>
        <w:tc>
          <w:tcPr>
            <w:tcW w:w="880" w:type="dxa"/>
            <w:tcBorders>
              <w:top w:val="nil"/>
              <w:left w:val="nil"/>
              <w:bottom w:val="single" w:sz="4" w:space="0" w:color="auto"/>
              <w:right w:val="nil"/>
            </w:tcBorders>
            <w:shd w:val="clear" w:color="000000" w:fill="FFFFFF"/>
            <w:noWrap/>
            <w:vAlign w:val="bottom"/>
            <w:hideMark/>
          </w:tcPr>
          <w:p w14:paraId="37EB940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200009</w:t>
            </w:r>
          </w:p>
        </w:tc>
        <w:tc>
          <w:tcPr>
            <w:tcW w:w="880" w:type="dxa"/>
            <w:tcBorders>
              <w:top w:val="nil"/>
              <w:left w:val="nil"/>
              <w:bottom w:val="single" w:sz="4" w:space="0" w:color="auto"/>
              <w:right w:val="nil"/>
            </w:tcBorders>
            <w:shd w:val="clear" w:color="000000" w:fill="FFFFFF"/>
            <w:noWrap/>
            <w:vAlign w:val="bottom"/>
            <w:hideMark/>
          </w:tcPr>
          <w:p w14:paraId="639A1AF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200033</w:t>
            </w:r>
          </w:p>
        </w:tc>
        <w:tc>
          <w:tcPr>
            <w:tcW w:w="880" w:type="dxa"/>
            <w:tcBorders>
              <w:top w:val="nil"/>
              <w:left w:val="nil"/>
              <w:bottom w:val="single" w:sz="4" w:space="0" w:color="auto"/>
              <w:right w:val="nil"/>
            </w:tcBorders>
            <w:shd w:val="clear" w:color="000000" w:fill="FFFFFF"/>
            <w:noWrap/>
            <w:vAlign w:val="bottom"/>
            <w:hideMark/>
          </w:tcPr>
          <w:p w14:paraId="2A097AC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299177</w:t>
            </w:r>
          </w:p>
        </w:tc>
        <w:tc>
          <w:tcPr>
            <w:tcW w:w="880" w:type="dxa"/>
            <w:tcBorders>
              <w:top w:val="nil"/>
              <w:left w:val="nil"/>
              <w:bottom w:val="single" w:sz="4" w:space="0" w:color="auto"/>
              <w:right w:val="nil"/>
            </w:tcBorders>
            <w:shd w:val="clear" w:color="000000" w:fill="FFFFFF"/>
            <w:noWrap/>
            <w:vAlign w:val="bottom"/>
            <w:hideMark/>
          </w:tcPr>
          <w:p w14:paraId="48B8FB1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266179</w:t>
            </w:r>
          </w:p>
        </w:tc>
        <w:tc>
          <w:tcPr>
            <w:tcW w:w="880" w:type="dxa"/>
            <w:tcBorders>
              <w:top w:val="nil"/>
              <w:left w:val="nil"/>
              <w:bottom w:val="single" w:sz="4" w:space="0" w:color="auto"/>
              <w:right w:val="nil"/>
            </w:tcBorders>
            <w:shd w:val="clear" w:color="000000" w:fill="FFFFFF"/>
            <w:noWrap/>
            <w:vAlign w:val="bottom"/>
            <w:hideMark/>
          </w:tcPr>
          <w:p w14:paraId="7B857B6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199975</w:t>
            </w:r>
          </w:p>
        </w:tc>
        <w:tc>
          <w:tcPr>
            <w:tcW w:w="880" w:type="dxa"/>
            <w:tcBorders>
              <w:top w:val="nil"/>
              <w:left w:val="nil"/>
              <w:bottom w:val="single" w:sz="4" w:space="0" w:color="auto"/>
              <w:right w:val="nil"/>
            </w:tcBorders>
            <w:shd w:val="clear" w:color="000000" w:fill="FFFFFF"/>
            <w:noWrap/>
            <w:vAlign w:val="bottom"/>
            <w:hideMark/>
          </w:tcPr>
          <w:p w14:paraId="4ADC9E7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139574</w:t>
            </w:r>
          </w:p>
        </w:tc>
        <w:tc>
          <w:tcPr>
            <w:tcW w:w="880" w:type="dxa"/>
            <w:tcBorders>
              <w:top w:val="nil"/>
              <w:left w:val="nil"/>
              <w:bottom w:val="single" w:sz="4" w:space="0" w:color="auto"/>
              <w:right w:val="nil"/>
            </w:tcBorders>
            <w:shd w:val="clear" w:color="000000" w:fill="FFFFFF"/>
            <w:noWrap/>
            <w:vAlign w:val="bottom"/>
            <w:hideMark/>
          </w:tcPr>
          <w:p w14:paraId="0CB76EE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246036</w:t>
            </w:r>
          </w:p>
        </w:tc>
        <w:tc>
          <w:tcPr>
            <w:tcW w:w="880" w:type="dxa"/>
            <w:tcBorders>
              <w:top w:val="nil"/>
              <w:left w:val="nil"/>
              <w:bottom w:val="single" w:sz="4" w:space="0" w:color="auto"/>
              <w:right w:val="nil"/>
            </w:tcBorders>
            <w:shd w:val="clear" w:color="000000" w:fill="FFFFFF"/>
            <w:noWrap/>
            <w:vAlign w:val="bottom"/>
            <w:hideMark/>
          </w:tcPr>
          <w:p w14:paraId="7425840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141506</w:t>
            </w:r>
          </w:p>
        </w:tc>
        <w:tc>
          <w:tcPr>
            <w:tcW w:w="880" w:type="dxa"/>
            <w:tcBorders>
              <w:top w:val="nil"/>
              <w:left w:val="nil"/>
              <w:bottom w:val="single" w:sz="4" w:space="0" w:color="auto"/>
              <w:right w:val="nil"/>
            </w:tcBorders>
            <w:shd w:val="clear" w:color="000000" w:fill="FFFFFF"/>
            <w:noWrap/>
            <w:vAlign w:val="bottom"/>
            <w:hideMark/>
          </w:tcPr>
          <w:p w14:paraId="5E47F08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199968</w:t>
            </w:r>
          </w:p>
        </w:tc>
        <w:tc>
          <w:tcPr>
            <w:tcW w:w="880" w:type="dxa"/>
            <w:tcBorders>
              <w:top w:val="nil"/>
              <w:left w:val="nil"/>
              <w:bottom w:val="single" w:sz="4" w:space="0" w:color="auto"/>
              <w:right w:val="nil"/>
            </w:tcBorders>
            <w:shd w:val="clear" w:color="000000" w:fill="FFFFFF"/>
            <w:noWrap/>
            <w:vAlign w:val="bottom"/>
            <w:hideMark/>
          </w:tcPr>
          <w:p w14:paraId="08E2D34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200002</w:t>
            </w:r>
          </w:p>
        </w:tc>
        <w:tc>
          <w:tcPr>
            <w:tcW w:w="880" w:type="dxa"/>
            <w:tcBorders>
              <w:top w:val="nil"/>
              <w:left w:val="nil"/>
              <w:bottom w:val="single" w:sz="4" w:space="0" w:color="auto"/>
              <w:right w:val="nil"/>
            </w:tcBorders>
            <w:shd w:val="clear" w:color="000000" w:fill="FFFFFF"/>
            <w:noWrap/>
            <w:vAlign w:val="bottom"/>
            <w:hideMark/>
          </w:tcPr>
          <w:p w14:paraId="00D0A7D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199977</w:t>
            </w:r>
          </w:p>
        </w:tc>
      </w:tr>
    </w:tbl>
    <w:p w14:paraId="4A7EC923" w14:textId="16095BE4" w:rsidR="00740AF0" w:rsidRDefault="00740AF0" w:rsidP="00AC0B4E">
      <w:pPr>
        <w:rPr>
          <w:lang w:val="en-GB"/>
        </w:rPr>
      </w:pPr>
    </w:p>
    <w:p w14:paraId="0016EDD5" w14:textId="77777777" w:rsidR="00740AF0" w:rsidRDefault="00740AF0">
      <w:pPr>
        <w:spacing w:line="259" w:lineRule="auto"/>
        <w:rPr>
          <w:lang w:val="en-GB"/>
        </w:rPr>
      </w:pPr>
      <w:r>
        <w:rPr>
          <w:lang w:val="en-GB"/>
        </w:rPr>
        <w:br w:type="page"/>
      </w:r>
    </w:p>
    <w:p w14:paraId="001FF979" w14:textId="1AC185BA" w:rsidR="00740AF0" w:rsidRDefault="00740AF0" w:rsidP="00740AF0">
      <w:pPr>
        <w:pStyle w:val="Caption"/>
        <w:keepNext/>
        <w:spacing w:after="40"/>
        <w:rPr>
          <w:lang w:val="en-GB"/>
        </w:rPr>
      </w:pPr>
      <w:r>
        <w:rPr>
          <w:lang w:val="en-GB"/>
        </w:rPr>
        <w:lastRenderedPageBreak/>
        <w:t>Table S1 – part3: Convergence quantile and income for each parameter and region for SSP3</w:t>
      </w:r>
    </w:p>
    <w:tbl>
      <w:tblPr>
        <w:tblW w:w="13100" w:type="dxa"/>
        <w:tblCellMar>
          <w:left w:w="70" w:type="dxa"/>
          <w:right w:w="70" w:type="dxa"/>
        </w:tblCellMar>
        <w:tblLook w:val="04A0" w:firstRow="1" w:lastRow="0" w:firstColumn="1" w:lastColumn="0" w:noHBand="0" w:noVBand="1"/>
      </w:tblPr>
      <w:tblGrid>
        <w:gridCol w:w="3420"/>
        <w:gridCol w:w="880"/>
        <w:gridCol w:w="880"/>
        <w:gridCol w:w="880"/>
        <w:gridCol w:w="880"/>
        <w:gridCol w:w="880"/>
        <w:gridCol w:w="880"/>
        <w:gridCol w:w="880"/>
        <w:gridCol w:w="880"/>
        <w:gridCol w:w="880"/>
        <w:gridCol w:w="880"/>
        <w:gridCol w:w="880"/>
      </w:tblGrid>
      <w:tr w:rsidR="00740AF0" w:rsidRPr="00740AF0" w14:paraId="1F40F611" w14:textId="77777777" w:rsidTr="00740AF0">
        <w:trPr>
          <w:trHeight w:val="300"/>
        </w:trPr>
        <w:tc>
          <w:tcPr>
            <w:tcW w:w="3420" w:type="dxa"/>
            <w:tcBorders>
              <w:top w:val="single" w:sz="8" w:space="0" w:color="auto"/>
              <w:left w:val="nil"/>
              <w:bottom w:val="nil"/>
              <w:right w:val="nil"/>
            </w:tcBorders>
            <w:shd w:val="clear" w:color="000000" w:fill="FFFFFF"/>
            <w:noWrap/>
            <w:vAlign w:val="bottom"/>
            <w:hideMark/>
          </w:tcPr>
          <w:p w14:paraId="458705B0" w14:textId="77777777" w:rsidR="00740AF0" w:rsidRPr="00740AF0" w:rsidRDefault="00740AF0" w:rsidP="00740AF0">
            <w:pPr>
              <w:spacing w:after="0" w:line="240" w:lineRule="auto"/>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SSP3</w:t>
            </w:r>
          </w:p>
        </w:tc>
        <w:tc>
          <w:tcPr>
            <w:tcW w:w="880" w:type="dxa"/>
            <w:tcBorders>
              <w:top w:val="single" w:sz="8" w:space="0" w:color="auto"/>
              <w:left w:val="nil"/>
              <w:bottom w:val="nil"/>
              <w:right w:val="nil"/>
            </w:tcBorders>
            <w:shd w:val="clear" w:color="000000" w:fill="FFFFFF"/>
            <w:noWrap/>
            <w:vAlign w:val="bottom"/>
            <w:hideMark/>
          </w:tcPr>
          <w:p w14:paraId="67F1FDF6"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AFR</w:t>
            </w:r>
          </w:p>
        </w:tc>
        <w:tc>
          <w:tcPr>
            <w:tcW w:w="880" w:type="dxa"/>
            <w:tcBorders>
              <w:top w:val="single" w:sz="8" w:space="0" w:color="auto"/>
              <w:left w:val="nil"/>
              <w:bottom w:val="nil"/>
              <w:right w:val="nil"/>
            </w:tcBorders>
            <w:shd w:val="clear" w:color="000000" w:fill="FFFFFF"/>
            <w:noWrap/>
            <w:vAlign w:val="bottom"/>
            <w:hideMark/>
          </w:tcPr>
          <w:p w14:paraId="49A8BC14"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CPA</w:t>
            </w:r>
          </w:p>
        </w:tc>
        <w:tc>
          <w:tcPr>
            <w:tcW w:w="880" w:type="dxa"/>
            <w:tcBorders>
              <w:top w:val="single" w:sz="8" w:space="0" w:color="auto"/>
              <w:left w:val="nil"/>
              <w:bottom w:val="nil"/>
              <w:right w:val="nil"/>
            </w:tcBorders>
            <w:shd w:val="clear" w:color="000000" w:fill="FFFFFF"/>
            <w:noWrap/>
            <w:vAlign w:val="bottom"/>
            <w:hideMark/>
          </w:tcPr>
          <w:p w14:paraId="694432D0"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EEU</w:t>
            </w:r>
          </w:p>
        </w:tc>
        <w:tc>
          <w:tcPr>
            <w:tcW w:w="880" w:type="dxa"/>
            <w:tcBorders>
              <w:top w:val="single" w:sz="8" w:space="0" w:color="auto"/>
              <w:left w:val="nil"/>
              <w:bottom w:val="nil"/>
              <w:right w:val="nil"/>
            </w:tcBorders>
            <w:shd w:val="clear" w:color="000000" w:fill="FFFFFF"/>
            <w:noWrap/>
            <w:vAlign w:val="bottom"/>
            <w:hideMark/>
          </w:tcPr>
          <w:p w14:paraId="785E56D0"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FSU</w:t>
            </w:r>
          </w:p>
        </w:tc>
        <w:tc>
          <w:tcPr>
            <w:tcW w:w="880" w:type="dxa"/>
            <w:tcBorders>
              <w:top w:val="single" w:sz="8" w:space="0" w:color="auto"/>
              <w:left w:val="nil"/>
              <w:bottom w:val="nil"/>
              <w:right w:val="nil"/>
            </w:tcBorders>
            <w:shd w:val="clear" w:color="000000" w:fill="FFFFFF"/>
            <w:noWrap/>
            <w:vAlign w:val="bottom"/>
            <w:hideMark/>
          </w:tcPr>
          <w:p w14:paraId="56355010"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LAM</w:t>
            </w:r>
          </w:p>
        </w:tc>
        <w:tc>
          <w:tcPr>
            <w:tcW w:w="880" w:type="dxa"/>
            <w:tcBorders>
              <w:top w:val="single" w:sz="8" w:space="0" w:color="auto"/>
              <w:left w:val="nil"/>
              <w:bottom w:val="nil"/>
              <w:right w:val="nil"/>
            </w:tcBorders>
            <w:shd w:val="clear" w:color="000000" w:fill="FFFFFF"/>
            <w:noWrap/>
            <w:vAlign w:val="bottom"/>
            <w:hideMark/>
          </w:tcPr>
          <w:p w14:paraId="564D623C"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MEA</w:t>
            </w:r>
          </w:p>
        </w:tc>
        <w:tc>
          <w:tcPr>
            <w:tcW w:w="880" w:type="dxa"/>
            <w:tcBorders>
              <w:top w:val="single" w:sz="8" w:space="0" w:color="auto"/>
              <w:left w:val="nil"/>
              <w:bottom w:val="nil"/>
              <w:right w:val="nil"/>
            </w:tcBorders>
            <w:shd w:val="clear" w:color="000000" w:fill="FFFFFF"/>
            <w:noWrap/>
            <w:vAlign w:val="bottom"/>
            <w:hideMark/>
          </w:tcPr>
          <w:p w14:paraId="71BE6B44"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NAM</w:t>
            </w:r>
          </w:p>
        </w:tc>
        <w:tc>
          <w:tcPr>
            <w:tcW w:w="880" w:type="dxa"/>
            <w:tcBorders>
              <w:top w:val="single" w:sz="8" w:space="0" w:color="auto"/>
              <w:left w:val="nil"/>
              <w:bottom w:val="nil"/>
              <w:right w:val="nil"/>
            </w:tcBorders>
            <w:shd w:val="clear" w:color="000000" w:fill="FFFFFF"/>
            <w:noWrap/>
            <w:vAlign w:val="bottom"/>
            <w:hideMark/>
          </w:tcPr>
          <w:p w14:paraId="3125F6E1"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PAO</w:t>
            </w:r>
          </w:p>
        </w:tc>
        <w:tc>
          <w:tcPr>
            <w:tcW w:w="880" w:type="dxa"/>
            <w:tcBorders>
              <w:top w:val="single" w:sz="8" w:space="0" w:color="auto"/>
              <w:left w:val="nil"/>
              <w:bottom w:val="nil"/>
              <w:right w:val="nil"/>
            </w:tcBorders>
            <w:shd w:val="clear" w:color="000000" w:fill="FFFFFF"/>
            <w:noWrap/>
            <w:vAlign w:val="bottom"/>
            <w:hideMark/>
          </w:tcPr>
          <w:p w14:paraId="187CF43A"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PAS</w:t>
            </w:r>
          </w:p>
        </w:tc>
        <w:tc>
          <w:tcPr>
            <w:tcW w:w="880" w:type="dxa"/>
            <w:tcBorders>
              <w:top w:val="single" w:sz="8" w:space="0" w:color="auto"/>
              <w:left w:val="nil"/>
              <w:bottom w:val="nil"/>
              <w:right w:val="nil"/>
            </w:tcBorders>
            <w:shd w:val="clear" w:color="000000" w:fill="FFFFFF"/>
            <w:noWrap/>
            <w:vAlign w:val="bottom"/>
            <w:hideMark/>
          </w:tcPr>
          <w:p w14:paraId="0CB20A6C"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SAS</w:t>
            </w:r>
          </w:p>
        </w:tc>
        <w:tc>
          <w:tcPr>
            <w:tcW w:w="880" w:type="dxa"/>
            <w:tcBorders>
              <w:top w:val="single" w:sz="8" w:space="0" w:color="auto"/>
              <w:left w:val="nil"/>
              <w:bottom w:val="nil"/>
              <w:right w:val="nil"/>
            </w:tcBorders>
            <w:shd w:val="clear" w:color="000000" w:fill="FFFFFF"/>
            <w:noWrap/>
            <w:vAlign w:val="bottom"/>
            <w:hideMark/>
          </w:tcPr>
          <w:p w14:paraId="2546914D" w14:textId="77777777" w:rsidR="00740AF0" w:rsidRPr="00740AF0" w:rsidRDefault="00740AF0" w:rsidP="00740AF0">
            <w:pPr>
              <w:spacing w:after="0" w:line="240" w:lineRule="auto"/>
              <w:jc w:val="center"/>
              <w:rPr>
                <w:rFonts w:ascii="Calibri" w:eastAsia="Times New Roman" w:hAnsi="Calibri" w:cs="Times New Roman"/>
                <w:b/>
                <w:bCs/>
                <w:color w:val="000000"/>
                <w:lang w:val="de-CH" w:eastAsia="de-CH"/>
              </w:rPr>
            </w:pPr>
            <w:r w:rsidRPr="00740AF0">
              <w:rPr>
                <w:rFonts w:ascii="Calibri" w:eastAsia="Times New Roman" w:hAnsi="Calibri" w:cs="Times New Roman"/>
                <w:b/>
                <w:bCs/>
                <w:color w:val="000000"/>
                <w:lang w:val="de-CH" w:eastAsia="de-CH"/>
              </w:rPr>
              <w:t>WEU</w:t>
            </w:r>
          </w:p>
        </w:tc>
      </w:tr>
      <w:tr w:rsidR="00740AF0" w:rsidRPr="00740AF0" w14:paraId="633911AF" w14:textId="77777777" w:rsidTr="00740AF0">
        <w:trPr>
          <w:trHeight w:val="300"/>
        </w:trPr>
        <w:tc>
          <w:tcPr>
            <w:tcW w:w="3420" w:type="dxa"/>
            <w:tcBorders>
              <w:top w:val="single" w:sz="4" w:space="0" w:color="auto"/>
              <w:left w:val="nil"/>
              <w:bottom w:val="single" w:sz="4" w:space="0" w:color="auto"/>
              <w:right w:val="nil"/>
            </w:tcBorders>
            <w:shd w:val="clear" w:color="000000" w:fill="FFFFFF"/>
            <w:noWrap/>
            <w:vAlign w:val="bottom"/>
            <w:hideMark/>
          </w:tcPr>
          <w:p w14:paraId="1A2C9B68" w14:textId="77777777" w:rsidR="00740AF0" w:rsidRPr="00740AF0" w:rsidRDefault="00740AF0" w:rsidP="00740AF0">
            <w:pPr>
              <w:spacing w:after="0" w:line="240" w:lineRule="auto"/>
              <w:rPr>
                <w:rFonts w:ascii="Calibri" w:eastAsia="Times New Roman" w:hAnsi="Calibri" w:cs="Times New Roman"/>
                <w:i/>
                <w:iCs/>
                <w:color w:val="000000"/>
                <w:lang w:val="de-CH" w:eastAsia="de-CH"/>
              </w:rPr>
            </w:pPr>
            <w:r w:rsidRPr="00740AF0">
              <w:rPr>
                <w:rFonts w:ascii="Calibri" w:eastAsia="Times New Roman" w:hAnsi="Calibri" w:cs="Times New Roman"/>
                <w:i/>
                <w:iCs/>
                <w:color w:val="000000"/>
                <w:lang w:val="de-CH" w:eastAsia="de-CH"/>
              </w:rPr>
              <w:t>Convergence Quantile</w:t>
            </w:r>
          </w:p>
        </w:tc>
        <w:tc>
          <w:tcPr>
            <w:tcW w:w="880" w:type="dxa"/>
            <w:tcBorders>
              <w:top w:val="single" w:sz="4" w:space="0" w:color="auto"/>
              <w:left w:val="nil"/>
              <w:bottom w:val="single" w:sz="4" w:space="0" w:color="auto"/>
              <w:right w:val="nil"/>
            </w:tcBorders>
            <w:shd w:val="clear" w:color="000000" w:fill="FFFFFF"/>
            <w:noWrap/>
            <w:vAlign w:val="bottom"/>
            <w:hideMark/>
          </w:tcPr>
          <w:p w14:paraId="3C52A53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999374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5EA61C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BB5F7F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EF6B56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99A98E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AE9617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364DC46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6073EAD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5A055B5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A8E615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r>
      <w:tr w:rsidR="00740AF0" w:rsidRPr="00740AF0" w14:paraId="3A6348C5" w14:textId="77777777" w:rsidTr="00740AF0">
        <w:trPr>
          <w:trHeight w:val="300"/>
        </w:trPr>
        <w:tc>
          <w:tcPr>
            <w:tcW w:w="3420" w:type="dxa"/>
            <w:tcBorders>
              <w:top w:val="nil"/>
              <w:left w:val="nil"/>
              <w:bottom w:val="nil"/>
              <w:right w:val="nil"/>
            </w:tcBorders>
            <w:shd w:val="clear" w:color="000000" w:fill="FFFFFF"/>
            <w:noWrap/>
            <w:vAlign w:val="bottom"/>
            <w:hideMark/>
          </w:tcPr>
          <w:p w14:paraId="1F684091"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FEI</w:t>
            </w:r>
          </w:p>
        </w:tc>
        <w:tc>
          <w:tcPr>
            <w:tcW w:w="880" w:type="dxa"/>
            <w:tcBorders>
              <w:top w:val="nil"/>
              <w:left w:val="nil"/>
              <w:bottom w:val="nil"/>
              <w:right w:val="nil"/>
            </w:tcBorders>
            <w:shd w:val="clear" w:color="000000" w:fill="FFFFFF"/>
            <w:noWrap/>
            <w:vAlign w:val="bottom"/>
            <w:hideMark/>
          </w:tcPr>
          <w:p w14:paraId="7D81B3E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73E035E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0.55</w:t>
            </w:r>
          </w:p>
        </w:tc>
        <w:tc>
          <w:tcPr>
            <w:tcW w:w="880" w:type="dxa"/>
            <w:tcBorders>
              <w:top w:val="nil"/>
              <w:left w:val="nil"/>
              <w:bottom w:val="nil"/>
              <w:right w:val="nil"/>
            </w:tcBorders>
            <w:shd w:val="clear" w:color="000000" w:fill="FFFFFF"/>
            <w:noWrap/>
            <w:vAlign w:val="bottom"/>
            <w:hideMark/>
          </w:tcPr>
          <w:p w14:paraId="7B7FEE2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75E019E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c>
          <w:tcPr>
            <w:tcW w:w="880" w:type="dxa"/>
            <w:tcBorders>
              <w:top w:val="nil"/>
              <w:left w:val="nil"/>
              <w:bottom w:val="nil"/>
              <w:right w:val="nil"/>
            </w:tcBorders>
            <w:shd w:val="clear" w:color="000000" w:fill="FFFFFF"/>
            <w:noWrap/>
            <w:vAlign w:val="bottom"/>
            <w:hideMark/>
          </w:tcPr>
          <w:p w14:paraId="314F3EC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c>
          <w:tcPr>
            <w:tcW w:w="880" w:type="dxa"/>
            <w:tcBorders>
              <w:top w:val="nil"/>
              <w:left w:val="nil"/>
              <w:bottom w:val="nil"/>
              <w:right w:val="nil"/>
            </w:tcBorders>
            <w:shd w:val="clear" w:color="000000" w:fill="FFFFFF"/>
            <w:noWrap/>
            <w:vAlign w:val="bottom"/>
            <w:hideMark/>
          </w:tcPr>
          <w:p w14:paraId="48288CF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56B3F74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c>
          <w:tcPr>
            <w:tcW w:w="880" w:type="dxa"/>
            <w:tcBorders>
              <w:top w:val="nil"/>
              <w:left w:val="nil"/>
              <w:bottom w:val="nil"/>
              <w:right w:val="nil"/>
            </w:tcBorders>
            <w:shd w:val="clear" w:color="000000" w:fill="FFFFFF"/>
            <w:noWrap/>
            <w:vAlign w:val="bottom"/>
            <w:hideMark/>
          </w:tcPr>
          <w:p w14:paraId="5122570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2D727C0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1C0C8DA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c>
          <w:tcPr>
            <w:tcW w:w="880" w:type="dxa"/>
            <w:tcBorders>
              <w:top w:val="nil"/>
              <w:left w:val="nil"/>
              <w:bottom w:val="nil"/>
              <w:right w:val="nil"/>
            </w:tcBorders>
            <w:shd w:val="clear" w:color="000000" w:fill="FFFFFF"/>
            <w:noWrap/>
            <w:vAlign w:val="bottom"/>
            <w:hideMark/>
          </w:tcPr>
          <w:p w14:paraId="28A4191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r>
      <w:tr w:rsidR="00740AF0" w:rsidRPr="00740AF0" w14:paraId="5807BE68" w14:textId="77777777" w:rsidTr="00740AF0">
        <w:trPr>
          <w:trHeight w:val="300"/>
        </w:trPr>
        <w:tc>
          <w:tcPr>
            <w:tcW w:w="3420" w:type="dxa"/>
            <w:tcBorders>
              <w:top w:val="nil"/>
              <w:left w:val="nil"/>
              <w:bottom w:val="nil"/>
              <w:right w:val="nil"/>
            </w:tcBorders>
            <w:shd w:val="clear" w:color="000000" w:fill="FFFFFF"/>
            <w:noWrap/>
            <w:vAlign w:val="bottom"/>
            <w:hideMark/>
          </w:tcPr>
          <w:p w14:paraId="0DEB7700"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Share NC Biomass</w:t>
            </w:r>
          </w:p>
        </w:tc>
        <w:tc>
          <w:tcPr>
            <w:tcW w:w="880" w:type="dxa"/>
            <w:tcBorders>
              <w:top w:val="nil"/>
              <w:left w:val="nil"/>
              <w:bottom w:val="nil"/>
              <w:right w:val="nil"/>
            </w:tcBorders>
            <w:shd w:val="clear" w:color="000000" w:fill="FFFFFF"/>
            <w:noWrap/>
            <w:vAlign w:val="bottom"/>
            <w:hideMark/>
          </w:tcPr>
          <w:p w14:paraId="1D40EEC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0.9</w:t>
            </w:r>
          </w:p>
        </w:tc>
        <w:tc>
          <w:tcPr>
            <w:tcW w:w="880" w:type="dxa"/>
            <w:tcBorders>
              <w:top w:val="nil"/>
              <w:left w:val="nil"/>
              <w:bottom w:val="nil"/>
              <w:right w:val="nil"/>
            </w:tcBorders>
            <w:shd w:val="clear" w:color="000000" w:fill="FFFFFF"/>
            <w:noWrap/>
            <w:vAlign w:val="bottom"/>
            <w:hideMark/>
          </w:tcPr>
          <w:p w14:paraId="5F150F7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45FF843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768074C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390D73C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541F5FA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52A552A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2B60810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c>
          <w:tcPr>
            <w:tcW w:w="880" w:type="dxa"/>
            <w:tcBorders>
              <w:top w:val="nil"/>
              <w:left w:val="nil"/>
              <w:bottom w:val="nil"/>
              <w:right w:val="nil"/>
            </w:tcBorders>
            <w:shd w:val="clear" w:color="000000" w:fill="FFFFFF"/>
            <w:noWrap/>
            <w:vAlign w:val="bottom"/>
            <w:hideMark/>
          </w:tcPr>
          <w:p w14:paraId="3041968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5F393F8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0.9</w:t>
            </w:r>
          </w:p>
        </w:tc>
        <w:tc>
          <w:tcPr>
            <w:tcW w:w="880" w:type="dxa"/>
            <w:tcBorders>
              <w:top w:val="nil"/>
              <w:left w:val="nil"/>
              <w:bottom w:val="nil"/>
              <w:right w:val="nil"/>
            </w:tcBorders>
            <w:shd w:val="clear" w:color="000000" w:fill="FFFFFF"/>
            <w:noWrap/>
            <w:vAlign w:val="bottom"/>
            <w:hideMark/>
          </w:tcPr>
          <w:p w14:paraId="32468FC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0.75</w:t>
            </w:r>
          </w:p>
        </w:tc>
      </w:tr>
      <w:tr w:rsidR="00740AF0" w:rsidRPr="00740AF0" w14:paraId="252C1030" w14:textId="77777777" w:rsidTr="00740AF0">
        <w:trPr>
          <w:trHeight w:val="300"/>
        </w:trPr>
        <w:tc>
          <w:tcPr>
            <w:tcW w:w="3420" w:type="dxa"/>
            <w:tcBorders>
              <w:top w:val="nil"/>
              <w:left w:val="nil"/>
              <w:bottom w:val="nil"/>
              <w:right w:val="nil"/>
            </w:tcBorders>
            <w:shd w:val="clear" w:color="000000" w:fill="FFFFFF"/>
            <w:noWrap/>
            <w:vAlign w:val="bottom"/>
            <w:hideMark/>
          </w:tcPr>
          <w:p w14:paraId="3C207D30"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Share Transport</w:t>
            </w:r>
          </w:p>
        </w:tc>
        <w:tc>
          <w:tcPr>
            <w:tcW w:w="880" w:type="dxa"/>
            <w:tcBorders>
              <w:top w:val="nil"/>
              <w:left w:val="nil"/>
              <w:bottom w:val="nil"/>
              <w:right w:val="nil"/>
            </w:tcBorders>
            <w:shd w:val="clear" w:color="000000" w:fill="FFFFFF"/>
            <w:noWrap/>
            <w:vAlign w:val="bottom"/>
            <w:hideMark/>
          </w:tcPr>
          <w:p w14:paraId="456F795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609010A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0.05</w:t>
            </w:r>
          </w:p>
        </w:tc>
        <w:tc>
          <w:tcPr>
            <w:tcW w:w="880" w:type="dxa"/>
            <w:tcBorders>
              <w:top w:val="nil"/>
              <w:left w:val="nil"/>
              <w:bottom w:val="nil"/>
              <w:right w:val="nil"/>
            </w:tcBorders>
            <w:shd w:val="clear" w:color="000000" w:fill="FFFFFF"/>
            <w:noWrap/>
            <w:vAlign w:val="bottom"/>
            <w:hideMark/>
          </w:tcPr>
          <w:p w14:paraId="11DC643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c>
          <w:tcPr>
            <w:tcW w:w="880" w:type="dxa"/>
            <w:tcBorders>
              <w:top w:val="nil"/>
              <w:left w:val="nil"/>
              <w:bottom w:val="nil"/>
              <w:right w:val="nil"/>
            </w:tcBorders>
            <w:shd w:val="clear" w:color="000000" w:fill="FFFFFF"/>
            <w:noWrap/>
            <w:vAlign w:val="bottom"/>
            <w:hideMark/>
          </w:tcPr>
          <w:p w14:paraId="4EFC46C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3F3402C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495A845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30951DA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c>
          <w:tcPr>
            <w:tcW w:w="880" w:type="dxa"/>
            <w:tcBorders>
              <w:top w:val="nil"/>
              <w:left w:val="nil"/>
              <w:bottom w:val="nil"/>
              <w:right w:val="nil"/>
            </w:tcBorders>
            <w:shd w:val="clear" w:color="000000" w:fill="FFFFFF"/>
            <w:noWrap/>
            <w:vAlign w:val="bottom"/>
            <w:hideMark/>
          </w:tcPr>
          <w:p w14:paraId="63A08F0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219AD75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4C4393A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5785056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0.7</w:t>
            </w:r>
          </w:p>
        </w:tc>
      </w:tr>
      <w:tr w:rsidR="00740AF0" w:rsidRPr="00740AF0" w14:paraId="2A55A913" w14:textId="77777777" w:rsidTr="00740AF0">
        <w:trPr>
          <w:trHeight w:val="300"/>
        </w:trPr>
        <w:tc>
          <w:tcPr>
            <w:tcW w:w="3420" w:type="dxa"/>
            <w:tcBorders>
              <w:top w:val="nil"/>
              <w:left w:val="nil"/>
              <w:bottom w:val="nil"/>
              <w:right w:val="nil"/>
            </w:tcBorders>
            <w:shd w:val="clear" w:color="000000" w:fill="FFFFFF"/>
            <w:noWrap/>
            <w:vAlign w:val="bottom"/>
            <w:hideMark/>
          </w:tcPr>
          <w:p w14:paraId="2675D2E3"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Share Res/Com</w:t>
            </w:r>
          </w:p>
        </w:tc>
        <w:tc>
          <w:tcPr>
            <w:tcW w:w="880" w:type="dxa"/>
            <w:tcBorders>
              <w:top w:val="nil"/>
              <w:left w:val="nil"/>
              <w:bottom w:val="nil"/>
              <w:right w:val="nil"/>
            </w:tcBorders>
            <w:shd w:val="clear" w:color="000000" w:fill="FFFFFF"/>
            <w:noWrap/>
            <w:vAlign w:val="bottom"/>
            <w:hideMark/>
          </w:tcPr>
          <w:p w14:paraId="112812F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496BCED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47EBE54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0.55</w:t>
            </w:r>
          </w:p>
        </w:tc>
        <w:tc>
          <w:tcPr>
            <w:tcW w:w="880" w:type="dxa"/>
            <w:tcBorders>
              <w:top w:val="nil"/>
              <w:left w:val="nil"/>
              <w:bottom w:val="nil"/>
              <w:right w:val="nil"/>
            </w:tcBorders>
            <w:shd w:val="clear" w:color="000000" w:fill="FFFFFF"/>
            <w:noWrap/>
            <w:vAlign w:val="bottom"/>
            <w:hideMark/>
          </w:tcPr>
          <w:p w14:paraId="3FC7AB5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0.55</w:t>
            </w:r>
          </w:p>
        </w:tc>
        <w:tc>
          <w:tcPr>
            <w:tcW w:w="880" w:type="dxa"/>
            <w:tcBorders>
              <w:top w:val="nil"/>
              <w:left w:val="nil"/>
              <w:bottom w:val="nil"/>
              <w:right w:val="nil"/>
            </w:tcBorders>
            <w:shd w:val="clear" w:color="000000" w:fill="FFFFFF"/>
            <w:noWrap/>
            <w:vAlign w:val="bottom"/>
            <w:hideMark/>
          </w:tcPr>
          <w:p w14:paraId="6A04D43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564E10E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c>
          <w:tcPr>
            <w:tcW w:w="880" w:type="dxa"/>
            <w:tcBorders>
              <w:top w:val="nil"/>
              <w:left w:val="nil"/>
              <w:bottom w:val="nil"/>
              <w:right w:val="nil"/>
            </w:tcBorders>
            <w:shd w:val="clear" w:color="000000" w:fill="FFFFFF"/>
            <w:noWrap/>
            <w:vAlign w:val="bottom"/>
            <w:hideMark/>
          </w:tcPr>
          <w:p w14:paraId="0BEA6BD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c>
          <w:tcPr>
            <w:tcW w:w="880" w:type="dxa"/>
            <w:tcBorders>
              <w:top w:val="nil"/>
              <w:left w:val="nil"/>
              <w:bottom w:val="nil"/>
              <w:right w:val="nil"/>
            </w:tcBorders>
            <w:shd w:val="clear" w:color="000000" w:fill="FFFFFF"/>
            <w:noWrap/>
            <w:vAlign w:val="bottom"/>
            <w:hideMark/>
          </w:tcPr>
          <w:p w14:paraId="3B380AB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7000191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4ECFAF4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1083C62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0.5</w:t>
            </w:r>
          </w:p>
        </w:tc>
      </w:tr>
      <w:tr w:rsidR="00740AF0" w:rsidRPr="00740AF0" w14:paraId="0E127922" w14:textId="77777777" w:rsidTr="00740AF0">
        <w:trPr>
          <w:trHeight w:val="300"/>
        </w:trPr>
        <w:tc>
          <w:tcPr>
            <w:tcW w:w="3420" w:type="dxa"/>
            <w:tcBorders>
              <w:top w:val="nil"/>
              <w:left w:val="nil"/>
              <w:bottom w:val="nil"/>
              <w:right w:val="nil"/>
            </w:tcBorders>
            <w:shd w:val="clear" w:color="000000" w:fill="FFFFFF"/>
            <w:noWrap/>
            <w:vAlign w:val="bottom"/>
            <w:hideMark/>
          </w:tcPr>
          <w:p w14:paraId="33440EC0"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Share Industry</w:t>
            </w:r>
          </w:p>
        </w:tc>
        <w:tc>
          <w:tcPr>
            <w:tcW w:w="880" w:type="dxa"/>
            <w:tcBorders>
              <w:top w:val="nil"/>
              <w:left w:val="nil"/>
              <w:bottom w:val="nil"/>
              <w:right w:val="nil"/>
            </w:tcBorders>
            <w:shd w:val="clear" w:color="000000" w:fill="FFFFFF"/>
            <w:noWrap/>
            <w:vAlign w:val="bottom"/>
            <w:hideMark/>
          </w:tcPr>
          <w:p w14:paraId="54F6B53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1792D42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76E289F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6BD42E8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460A1B3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0CC2873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1DC9FCF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68FB0545"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c>
          <w:tcPr>
            <w:tcW w:w="880" w:type="dxa"/>
            <w:tcBorders>
              <w:top w:val="nil"/>
              <w:left w:val="nil"/>
              <w:bottom w:val="nil"/>
              <w:right w:val="nil"/>
            </w:tcBorders>
            <w:shd w:val="clear" w:color="000000" w:fill="FFFFFF"/>
            <w:noWrap/>
            <w:vAlign w:val="bottom"/>
            <w:hideMark/>
          </w:tcPr>
          <w:p w14:paraId="01060AF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5FDFC34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265460C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0.1</w:t>
            </w:r>
          </w:p>
        </w:tc>
      </w:tr>
      <w:tr w:rsidR="00740AF0" w:rsidRPr="00740AF0" w14:paraId="44015E59" w14:textId="77777777" w:rsidTr="00740AF0">
        <w:trPr>
          <w:trHeight w:val="300"/>
        </w:trPr>
        <w:tc>
          <w:tcPr>
            <w:tcW w:w="3420" w:type="dxa"/>
            <w:tcBorders>
              <w:top w:val="nil"/>
              <w:left w:val="nil"/>
              <w:bottom w:val="nil"/>
              <w:right w:val="nil"/>
            </w:tcBorders>
            <w:shd w:val="clear" w:color="000000" w:fill="FFFFFF"/>
            <w:noWrap/>
            <w:vAlign w:val="bottom"/>
            <w:hideMark/>
          </w:tcPr>
          <w:p w14:paraId="75BDCCF6"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Elec Share Res/Com</w:t>
            </w:r>
          </w:p>
        </w:tc>
        <w:tc>
          <w:tcPr>
            <w:tcW w:w="880" w:type="dxa"/>
            <w:tcBorders>
              <w:top w:val="nil"/>
              <w:left w:val="nil"/>
              <w:bottom w:val="nil"/>
              <w:right w:val="nil"/>
            </w:tcBorders>
            <w:shd w:val="clear" w:color="000000" w:fill="FFFFFF"/>
            <w:noWrap/>
            <w:vAlign w:val="bottom"/>
            <w:hideMark/>
          </w:tcPr>
          <w:p w14:paraId="0D6D01B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29E8799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568E609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2F1C518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6C71801C"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0.9</w:t>
            </w:r>
          </w:p>
        </w:tc>
        <w:tc>
          <w:tcPr>
            <w:tcW w:w="880" w:type="dxa"/>
            <w:tcBorders>
              <w:top w:val="nil"/>
              <w:left w:val="nil"/>
              <w:bottom w:val="nil"/>
              <w:right w:val="nil"/>
            </w:tcBorders>
            <w:shd w:val="clear" w:color="000000" w:fill="FFFFFF"/>
            <w:noWrap/>
            <w:vAlign w:val="bottom"/>
            <w:hideMark/>
          </w:tcPr>
          <w:p w14:paraId="594CB5F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0.9</w:t>
            </w:r>
          </w:p>
        </w:tc>
        <w:tc>
          <w:tcPr>
            <w:tcW w:w="880" w:type="dxa"/>
            <w:tcBorders>
              <w:top w:val="nil"/>
              <w:left w:val="nil"/>
              <w:bottom w:val="nil"/>
              <w:right w:val="nil"/>
            </w:tcBorders>
            <w:shd w:val="clear" w:color="000000" w:fill="FFFFFF"/>
            <w:noWrap/>
            <w:vAlign w:val="bottom"/>
            <w:hideMark/>
          </w:tcPr>
          <w:p w14:paraId="6EEDD86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0.25</w:t>
            </w:r>
          </w:p>
        </w:tc>
        <w:tc>
          <w:tcPr>
            <w:tcW w:w="880" w:type="dxa"/>
            <w:tcBorders>
              <w:top w:val="nil"/>
              <w:left w:val="nil"/>
              <w:bottom w:val="nil"/>
              <w:right w:val="nil"/>
            </w:tcBorders>
            <w:shd w:val="clear" w:color="000000" w:fill="FFFFFF"/>
            <w:noWrap/>
            <w:vAlign w:val="bottom"/>
            <w:hideMark/>
          </w:tcPr>
          <w:p w14:paraId="359434D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0.65</w:t>
            </w:r>
          </w:p>
        </w:tc>
        <w:tc>
          <w:tcPr>
            <w:tcW w:w="880" w:type="dxa"/>
            <w:tcBorders>
              <w:top w:val="nil"/>
              <w:left w:val="nil"/>
              <w:bottom w:val="nil"/>
              <w:right w:val="nil"/>
            </w:tcBorders>
            <w:shd w:val="clear" w:color="000000" w:fill="FFFFFF"/>
            <w:noWrap/>
            <w:vAlign w:val="bottom"/>
            <w:hideMark/>
          </w:tcPr>
          <w:p w14:paraId="11BD2B4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0.9</w:t>
            </w:r>
          </w:p>
        </w:tc>
        <w:tc>
          <w:tcPr>
            <w:tcW w:w="880" w:type="dxa"/>
            <w:tcBorders>
              <w:top w:val="nil"/>
              <w:left w:val="nil"/>
              <w:bottom w:val="nil"/>
              <w:right w:val="nil"/>
            </w:tcBorders>
            <w:shd w:val="clear" w:color="000000" w:fill="FFFFFF"/>
            <w:noWrap/>
            <w:vAlign w:val="bottom"/>
            <w:hideMark/>
          </w:tcPr>
          <w:p w14:paraId="213100B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0.6</w:t>
            </w:r>
          </w:p>
        </w:tc>
        <w:tc>
          <w:tcPr>
            <w:tcW w:w="880" w:type="dxa"/>
            <w:tcBorders>
              <w:top w:val="nil"/>
              <w:left w:val="nil"/>
              <w:bottom w:val="nil"/>
              <w:right w:val="nil"/>
            </w:tcBorders>
            <w:shd w:val="clear" w:color="000000" w:fill="FFFFFF"/>
            <w:noWrap/>
            <w:vAlign w:val="bottom"/>
            <w:hideMark/>
          </w:tcPr>
          <w:p w14:paraId="6FF5CE8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0.33</w:t>
            </w:r>
          </w:p>
        </w:tc>
      </w:tr>
      <w:tr w:rsidR="00740AF0" w:rsidRPr="00740AF0" w14:paraId="3425AB02" w14:textId="77777777" w:rsidTr="00740AF0">
        <w:trPr>
          <w:trHeight w:val="300"/>
        </w:trPr>
        <w:tc>
          <w:tcPr>
            <w:tcW w:w="3420" w:type="dxa"/>
            <w:tcBorders>
              <w:top w:val="nil"/>
              <w:left w:val="nil"/>
              <w:bottom w:val="nil"/>
              <w:right w:val="nil"/>
            </w:tcBorders>
            <w:shd w:val="clear" w:color="000000" w:fill="FFFFFF"/>
            <w:noWrap/>
            <w:vAlign w:val="bottom"/>
            <w:hideMark/>
          </w:tcPr>
          <w:p w14:paraId="038D4A7C"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Feedstock Share Industry</w:t>
            </w:r>
          </w:p>
        </w:tc>
        <w:tc>
          <w:tcPr>
            <w:tcW w:w="880" w:type="dxa"/>
            <w:tcBorders>
              <w:top w:val="nil"/>
              <w:left w:val="nil"/>
              <w:bottom w:val="nil"/>
              <w:right w:val="nil"/>
            </w:tcBorders>
            <w:shd w:val="clear" w:color="000000" w:fill="FFFFFF"/>
            <w:noWrap/>
            <w:vAlign w:val="bottom"/>
            <w:hideMark/>
          </w:tcPr>
          <w:p w14:paraId="5E6F3BD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6C572A7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0.22</w:t>
            </w:r>
          </w:p>
        </w:tc>
        <w:tc>
          <w:tcPr>
            <w:tcW w:w="880" w:type="dxa"/>
            <w:tcBorders>
              <w:top w:val="nil"/>
              <w:left w:val="nil"/>
              <w:bottom w:val="nil"/>
              <w:right w:val="nil"/>
            </w:tcBorders>
            <w:shd w:val="clear" w:color="000000" w:fill="FFFFFF"/>
            <w:noWrap/>
            <w:vAlign w:val="bottom"/>
            <w:hideMark/>
          </w:tcPr>
          <w:p w14:paraId="67056AD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0.26</w:t>
            </w:r>
          </w:p>
        </w:tc>
        <w:tc>
          <w:tcPr>
            <w:tcW w:w="880" w:type="dxa"/>
            <w:tcBorders>
              <w:top w:val="nil"/>
              <w:left w:val="nil"/>
              <w:bottom w:val="nil"/>
              <w:right w:val="nil"/>
            </w:tcBorders>
            <w:shd w:val="clear" w:color="000000" w:fill="FFFFFF"/>
            <w:noWrap/>
            <w:vAlign w:val="bottom"/>
            <w:hideMark/>
          </w:tcPr>
          <w:p w14:paraId="55E01F0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0.24</w:t>
            </w:r>
          </w:p>
        </w:tc>
        <w:tc>
          <w:tcPr>
            <w:tcW w:w="880" w:type="dxa"/>
            <w:tcBorders>
              <w:top w:val="nil"/>
              <w:left w:val="nil"/>
              <w:bottom w:val="nil"/>
              <w:right w:val="nil"/>
            </w:tcBorders>
            <w:shd w:val="clear" w:color="000000" w:fill="FFFFFF"/>
            <w:noWrap/>
            <w:vAlign w:val="bottom"/>
            <w:hideMark/>
          </w:tcPr>
          <w:p w14:paraId="1214465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w:t>
            </w:r>
          </w:p>
        </w:tc>
        <w:tc>
          <w:tcPr>
            <w:tcW w:w="880" w:type="dxa"/>
            <w:tcBorders>
              <w:top w:val="nil"/>
              <w:left w:val="nil"/>
              <w:bottom w:val="nil"/>
              <w:right w:val="nil"/>
            </w:tcBorders>
            <w:shd w:val="clear" w:color="000000" w:fill="FFFFFF"/>
            <w:noWrap/>
            <w:vAlign w:val="bottom"/>
            <w:hideMark/>
          </w:tcPr>
          <w:p w14:paraId="2EDB1A7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2692730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0.32</w:t>
            </w:r>
          </w:p>
        </w:tc>
        <w:tc>
          <w:tcPr>
            <w:tcW w:w="880" w:type="dxa"/>
            <w:tcBorders>
              <w:top w:val="nil"/>
              <w:left w:val="nil"/>
              <w:bottom w:val="nil"/>
              <w:right w:val="nil"/>
            </w:tcBorders>
            <w:shd w:val="clear" w:color="000000" w:fill="FFFFFF"/>
            <w:noWrap/>
            <w:vAlign w:val="bottom"/>
            <w:hideMark/>
          </w:tcPr>
          <w:p w14:paraId="5B530DA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0.29</w:t>
            </w:r>
          </w:p>
        </w:tc>
        <w:tc>
          <w:tcPr>
            <w:tcW w:w="880" w:type="dxa"/>
            <w:tcBorders>
              <w:top w:val="nil"/>
              <w:left w:val="nil"/>
              <w:bottom w:val="nil"/>
              <w:right w:val="nil"/>
            </w:tcBorders>
            <w:shd w:val="clear" w:color="000000" w:fill="FFFFFF"/>
            <w:noWrap/>
            <w:vAlign w:val="bottom"/>
            <w:hideMark/>
          </w:tcPr>
          <w:p w14:paraId="1C3EEE0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353D29E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0.22</w:t>
            </w:r>
          </w:p>
        </w:tc>
        <w:tc>
          <w:tcPr>
            <w:tcW w:w="880" w:type="dxa"/>
            <w:tcBorders>
              <w:top w:val="nil"/>
              <w:left w:val="nil"/>
              <w:bottom w:val="nil"/>
              <w:right w:val="nil"/>
            </w:tcBorders>
            <w:shd w:val="clear" w:color="000000" w:fill="FFFFFF"/>
            <w:noWrap/>
            <w:vAlign w:val="bottom"/>
            <w:hideMark/>
          </w:tcPr>
          <w:p w14:paraId="067E3E3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0.27</w:t>
            </w:r>
          </w:p>
        </w:tc>
      </w:tr>
      <w:tr w:rsidR="00740AF0" w:rsidRPr="00740AF0" w14:paraId="584F8110" w14:textId="77777777" w:rsidTr="00740AF0">
        <w:trPr>
          <w:trHeight w:val="300"/>
        </w:trPr>
        <w:tc>
          <w:tcPr>
            <w:tcW w:w="3420" w:type="dxa"/>
            <w:tcBorders>
              <w:top w:val="nil"/>
              <w:left w:val="nil"/>
              <w:bottom w:val="nil"/>
              <w:right w:val="nil"/>
            </w:tcBorders>
            <w:shd w:val="clear" w:color="000000" w:fill="FFFFFF"/>
            <w:noWrap/>
            <w:vAlign w:val="bottom"/>
            <w:hideMark/>
          </w:tcPr>
          <w:p w14:paraId="241E3C34"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Quantile: Elec Share Industry</w:t>
            </w:r>
          </w:p>
        </w:tc>
        <w:tc>
          <w:tcPr>
            <w:tcW w:w="880" w:type="dxa"/>
            <w:tcBorders>
              <w:top w:val="nil"/>
              <w:left w:val="nil"/>
              <w:bottom w:val="nil"/>
              <w:right w:val="nil"/>
            </w:tcBorders>
            <w:shd w:val="clear" w:color="000000" w:fill="FFFFFF"/>
            <w:noWrap/>
            <w:vAlign w:val="bottom"/>
            <w:hideMark/>
          </w:tcPr>
          <w:p w14:paraId="36F84D8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6EC28463"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0.43</w:t>
            </w:r>
          </w:p>
        </w:tc>
        <w:tc>
          <w:tcPr>
            <w:tcW w:w="880" w:type="dxa"/>
            <w:tcBorders>
              <w:top w:val="nil"/>
              <w:left w:val="nil"/>
              <w:bottom w:val="nil"/>
              <w:right w:val="nil"/>
            </w:tcBorders>
            <w:shd w:val="clear" w:color="000000" w:fill="FFFFFF"/>
            <w:noWrap/>
            <w:vAlign w:val="bottom"/>
            <w:hideMark/>
          </w:tcPr>
          <w:p w14:paraId="375DB61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0.37</w:t>
            </w:r>
          </w:p>
        </w:tc>
        <w:tc>
          <w:tcPr>
            <w:tcW w:w="880" w:type="dxa"/>
            <w:tcBorders>
              <w:top w:val="nil"/>
              <w:left w:val="nil"/>
              <w:bottom w:val="nil"/>
              <w:right w:val="nil"/>
            </w:tcBorders>
            <w:shd w:val="clear" w:color="000000" w:fill="FFFFFF"/>
            <w:noWrap/>
            <w:vAlign w:val="bottom"/>
            <w:hideMark/>
          </w:tcPr>
          <w:p w14:paraId="211F4808"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481B0CCF"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w:t>
            </w:r>
          </w:p>
        </w:tc>
        <w:tc>
          <w:tcPr>
            <w:tcW w:w="880" w:type="dxa"/>
            <w:tcBorders>
              <w:top w:val="nil"/>
              <w:left w:val="nil"/>
              <w:bottom w:val="nil"/>
              <w:right w:val="nil"/>
            </w:tcBorders>
            <w:shd w:val="clear" w:color="000000" w:fill="FFFFFF"/>
            <w:noWrap/>
            <w:vAlign w:val="bottom"/>
            <w:hideMark/>
          </w:tcPr>
          <w:p w14:paraId="50C739F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0608821E"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c>
          <w:tcPr>
            <w:tcW w:w="880" w:type="dxa"/>
            <w:tcBorders>
              <w:top w:val="nil"/>
              <w:left w:val="nil"/>
              <w:bottom w:val="nil"/>
              <w:right w:val="nil"/>
            </w:tcBorders>
            <w:shd w:val="clear" w:color="000000" w:fill="FFFFFF"/>
            <w:noWrap/>
            <w:vAlign w:val="bottom"/>
            <w:hideMark/>
          </w:tcPr>
          <w:p w14:paraId="0F747F4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0.45</w:t>
            </w:r>
          </w:p>
        </w:tc>
        <w:tc>
          <w:tcPr>
            <w:tcW w:w="880" w:type="dxa"/>
            <w:tcBorders>
              <w:top w:val="nil"/>
              <w:left w:val="nil"/>
              <w:bottom w:val="nil"/>
              <w:right w:val="nil"/>
            </w:tcBorders>
            <w:shd w:val="clear" w:color="000000" w:fill="FFFFFF"/>
            <w:noWrap/>
            <w:vAlign w:val="bottom"/>
            <w:hideMark/>
          </w:tcPr>
          <w:p w14:paraId="0342CFF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c>
          <w:tcPr>
            <w:tcW w:w="880" w:type="dxa"/>
            <w:tcBorders>
              <w:top w:val="nil"/>
              <w:left w:val="nil"/>
              <w:bottom w:val="nil"/>
              <w:right w:val="nil"/>
            </w:tcBorders>
            <w:shd w:val="clear" w:color="000000" w:fill="FFFFFF"/>
            <w:noWrap/>
            <w:vAlign w:val="bottom"/>
            <w:hideMark/>
          </w:tcPr>
          <w:p w14:paraId="3530C0B2"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0.35</w:t>
            </w:r>
          </w:p>
        </w:tc>
        <w:tc>
          <w:tcPr>
            <w:tcW w:w="880" w:type="dxa"/>
            <w:tcBorders>
              <w:top w:val="nil"/>
              <w:left w:val="nil"/>
              <w:bottom w:val="nil"/>
              <w:right w:val="nil"/>
            </w:tcBorders>
            <w:shd w:val="clear" w:color="000000" w:fill="FFFFFF"/>
            <w:noWrap/>
            <w:vAlign w:val="bottom"/>
            <w:hideMark/>
          </w:tcPr>
          <w:p w14:paraId="2A5D4C9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0.4</w:t>
            </w:r>
          </w:p>
        </w:tc>
      </w:tr>
      <w:tr w:rsidR="00740AF0" w:rsidRPr="00740AF0" w14:paraId="49AF523E" w14:textId="77777777" w:rsidTr="00740AF0">
        <w:trPr>
          <w:trHeight w:val="300"/>
        </w:trPr>
        <w:tc>
          <w:tcPr>
            <w:tcW w:w="3420" w:type="dxa"/>
            <w:tcBorders>
              <w:top w:val="single" w:sz="4" w:space="0" w:color="auto"/>
              <w:left w:val="nil"/>
              <w:bottom w:val="single" w:sz="4" w:space="0" w:color="auto"/>
              <w:right w:val="nil"/>
            </w:tcBorders>
            <w:shd w:val="clear" w:color="000000" w:fill="FFFFFF"/>
            <w:noWrap/>
            <w:vAlign w:val="bottom"/>
            <w:hideMark/>
          </w:tcPr>
          <w:p w14:paraId="7D171E99" w14:textId="77777777" w:rsidR="00740AF0" w:rsidRPr="00740AF0" w:rsidRDefault="00740AF0" w:rsidP="00740AF0">
            <w:pPr>
              <w:spacing w:after="0" w:line="240" w:lineRule="auto"/>
              <w:rPr>
                <w:rFonts w:ascii="Calibri" w:eastAsia="Times New Roman" w:hAnsi="Calibri" w:cs="Times New Roman"/>
                <w:i/>
                <w:iCs/>
                <w:color w:val="000000"/>
                <w:lang w:val="de-CH" w:eastAsia="de-CH"/>
              </w:rPr>
            </w:pPr>
            <w:r w:rsidRPr="00740AF0">
              <w:rPr>
                <w:rFonts w:ascii="Calibri" w:eastAsia="Times New Roman" w:hAnsi="Calibri" w:cs="Times New Roman"/>
                <w:i/>
                <w:iCs/>
                <w:color w:val="000000"/>
                <w:lang w:val="de-CH" w:eastAsia="de-CH"/>
              </w:rPr>
              <w:t>Convergence Income</w:t>
            </w:r>
          </w:p>
        </w:tc>
        <w:tc>
          <w:tcPr>
            <w:tcW w:w="880" w:type="dxa"/>
            <w:tcBorders>
              <w:top w:val="single" w:sz="4" w:space="0" w:color="auto"/>
              <w:left w:val="nil"/>
              <w:bottom w:val="single" w:sz="4" w:space="0" w:color="auto"/>
              <w:right w:val="nil"/>
            </w:tcBorders>
            <w:shd w:val="clear" w:color="000000" w:fill="FFFFFF"/>
            <w:noWrap/>
            <w:vAlign w:val="bottom"/>
            <w:hideMark/>
          </w:tcPr>
          <w:p w14:paraId="7AFDC0F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73E1182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D686836"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972A394"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DFA34F0"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2CDC2AB"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7AB1C7AD"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11462279"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AA541B7"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40D6E771"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c>
          <w:tcPr>
            <w:tcW w:w="880" w:type="dxa"/>
            <w:tcBorders>
              <w:top w:val="single" w:sz="4" w:space="0" w:color="auto"/>
              <w:left w:val="nil"/>
              <w:bottom w:val="single" w:sz="4" w:space="0" w:color="auto"/>
              <w:right w:val="nil"/>
            </w:tcBorders>
            <w:shd w:val="clear" w:color="000000" w:fill="FFFFFF"/>
            <w:noWrap/>
            <w:vAlign w:val="bottom"/>
            <w:hideMark/>
          </w:tcPr>
          <w:p w14:paraId="0F79AB5A" w14:textId="77777777" w:rsidR="00740AF0" w:rsidRPr="00740AF0" w:rsidRDefault="00740AF0" w:rsidP="00740AF0">
            <w:pPr>
              <w:spacing w:after="0" w:line="240" w:lineRule="auto"/>
              <w:jc w:val="center"/>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 </w:t>
            </w:r>
          </w:p>
        </w:tc>
      </w:tr>
      <w:tr w:rsidR="00740AF0" w:rsidRPr="00740AF0" w14:paraId="4AF45E03" w14:textId="77777777" w:rsidTr="00740AF0">
        <w:trPr>
          <w:trHeight w:val="300"/>
        </w:trPr>
        <w:tc>
          <w:tcPr>
            <w:tcW w:w="3420" w:type="dxa"/>
            <w:tcBorders>
              <w:top w:val="nil"/>
              <w:left w:val="nil"/>
              <w:bottom w:val="nil"/>
              <w:right w:val="nil"/>
            </w:tcBorders>
            <w:shd w:val="clear" w:color="000000" w:fill="FFFFFF"/>
            <w:noWrap/>
            <w:vAlign w:val="bottom"/>
            <w:hideMark/>
          </w:tcPr>
          <w:p w14:paraId="65F2F75A"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Final Energy Intensity (FEI)</w:t>
            </w:r>
          </w:p>
        </w:tc>
        <w:tc>
          <w:tcPr>
            <w:tcW w:w="880" w:type="dxa"/>
            <w:tcBorders>
              <w:top w:val="nil"/>
              <w:left w:val="nil"/>
              <w:bottom w:val="nil"/>
              <w:right w:val="nil"/>
            </w:tcBorders>
            <w:shd w:val="clear" w:color="000000" w:fill="FFFFFF"/>
            <w:noWrap/>
            <w:vAlign w:val="bottom"/>
            <w:hideMark/>
          </w:tcPr>
          <w:p w14:paraId="350827F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200009</w:t>
            </w:r>
          </w:p>
        </w:tc>
        <w:tc>
          <w:tcPr>
            <w:tcW w:w="880" w:type="dxa"/>
            <w:tcBorders>
              <w:top w:val="nil"/>
              <w:left w:val="nil"/>
              <w:bottom w:val="nil"/>
              <w:right w:val="nil"/>
            </w:tcBorders>
            <w:shd w:val="clear" w:color="000000" w:fill="FFFFFF"/>
            <w:noWrap/>
            <w:vAlign w:val="bottom"/>
            <w:hideMark/>
          </w:tcPr>
          <w:p w14:paraId="14F0FFC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200033</w:t>
            </w:r>
          </w:p>
        </w:tc>
        <w:tc>
          <w:tcPr>
            <w:tcW w:w="880" w:type="dxa"/>
            <w:tcBorders>
              <w:top w:val="nil"/>
              <w:left w:val="nil"/>
              <w:bottom w:val="nil"/>
              <w:right w:val="nil"/>
            </w:tcBorders>
            <w:shd w:val="clear" w:color="000000" w:fill="FFFFFF"/>
            <w:noWrap/>
            <w:vAlign w:val="bottom"/>
            <w:hideMark/>
          </w:tcPr>
          <w:p w14:paraId="7C9123B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200000</w:t>
            </w:r>
          </w:p>
        </w:tc>
        <w:tc>
          <w:tcPr>
            <w:tcW w:w="880" w:type="dxa"/>
            <w:tcBorders>
              <w:top w:val="nil"/>
              <w:left w:val="nil"/>
              <w:bottom w:val="nil"/>
              <w:right w:val="nil"/>
            </w:tcBorders>
            <w:shd w:val="clear" w:color="000000" w:fill="FFFFFF"/>
            <w:noWrap/>
            <w:vAlign w:val="bottom"/>
            <w:hideMark/>
          </w:tcPr>
          <w:p w14:paraId="671547E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200044</w:t>
            </w:r>
          </w:p>
        </w:tc>
        <w:tc>
          <w:tcPr>
            <w:tcW w:w="880" w:type="dxa"/>
            <w:tcBorders>
              <w:top w:val="nil"/>
              <w:left w:val="nil"/>
              <w:bottom w:val="nil"/>
              <w:right w:val="nil"/>
            </w:tcBorders>
            <w:shd w:val="clear" w:color="000000" w:fill="FFFFFF"/>
            <w:noWrap/>
            <w:vAlign w:val="bottom"/>
            <w:hideMark/>
          </w:tcPr>
          <w:p w14:paraId="367449F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199975</w:t>
            </w:r>
          </w:p>
        </w:tc>
        <w:tc>
          <w:tcPr>
            <w:tcW w:w="880" w:type="dxa"/>
            <w:tcBorders>
              <w:top w:val="nil"/>
              <w:left w:val="nil"/>
              <w:bottom w:val="nil"/>
              <w:right w:val="nil"/>
            </w:tcBorders>
            <w:shd w:val="clear" w:color="000000" w:fill="FFFFFF"/>
            <w:noWrap/>
            <w:vAlign w:val="bottom"/>
            <w:hideMark/>
          </w:tcPr>
          <w:p w14:paraId="2645D1B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200027</w:t>
            </w:r>
          </w:p>
        </w:tc>
        <w:tc>
          <w:tcPr>
            <w:tcW w:w="880" w:type="dxa"/>
            <w:tcBorders>
              <w:top w:val="nil"/>
              <w:left w:val="nil"/>
              <w:bottom w:val="nil"/>
              <w:right w:val="nil"/>
            </w:tcBorders>
            <w:shd w:val="clear" w:color="000000" w:fill="FFFFFF"/>
            <w:noWrap/>
            <w:vAlign w:val="bottom"/>
            <w:hideMark/>
          </w:tcPr>
          <w:p w14:paraId="5F8BE6B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200109</w:t>
            </w:r>
          </w:p>
        </w:tc>
        <w:tc>
          <w:tcPr>
            <w:tcW w:w="880" w:type="dxa"/>
            <w:tcBorders>
              <w:top w:val="nil"/>
              <w:left w:val="nil"/>
              <w:bottom w:val="nil"/>
              <w:right w:val="nil"/>
            </w:tcBorders>
            <w:shd w:val="clear" w:color="000000" w:fill="FFFFFF"/>
            <w:noWrap/>
            <w:vAlign w:val="bottom"/>
            <w:hideMark/>
          </w:tcPr>
          <w:p w14:paraId="151E2CD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199995</w:t>
            </w:r>
          </w:p>
        </w:tc>
        <w:tc>
          <w:tcPr>
            <w:tcW w:w="880" w:type="dxa"/>
            <w:tcBorders>
              <w:top w:val="nil"/>
              <w:left w:val="nil"/>
              <w:bottom w:val="nil"/>
              <w:right w:val="nil"/>
            </w:tcBorders>
            <w:shd w:val="clear" w:color="000000" w:fill="FFFFFF"/>
            <w:noWrap/>
            <w:vAlign w:val="bottom"/>
            <w:hideMark/>
          </w:tcPr>
          <w:p w14:paraId="41ABA08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199968</w:t>
            </w:r>
          </w:p>
        </w:tc>
        <w:tc>
          <w:tcPr>
            <w:tcW w:w="880" w:type="dxa"/>
            <w:tcBorders>
              <w:top w:val="nil"/>
              <w:left w:val="nil"/>
              <w:bottom w:val="nil"/>
              <w:right w:val="nil"/>
            </w:tcBorders>
            <w:shd w:val="clear" w:color="000000" w:fill="FFFFFF"/>
            <w:noWrap/>
            <w:vAlign w:val="bottom"/>
            <w:hideMark/>
          </w:tcPr>
          <w:p w14:paraId="7039519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200002</w:t>
            </w:r>
          </w:p>
        </w:tc>
        <w:tc>
          <w:tcPr>
            <w:tcW w:w="880" w:type="dxa"/>
            <w:tcBorders>
              <w:top w:val="nil"/>
              <w:left w:val="nil"/>
              <w:bottom w:val="nil"/>
              <w:right w:val="nil"/>
            </w:tcBorders>
            <w:shd w:val="clear" w:color="000000" w:fill="FFFFFF"/>
            <w:noWrap/>
            <w:vAlign w:val="bottom"/>
            <w:hideMark/>
          </w:tcPr>
          <w:p w14:paraId="61FD3C0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199977</w:t>
            </w:r>
          </w:p>
        </w:tc>
      </w:tr>
      <w:tr w:rsidR="00740AF0" w:rsidRPr="00740AF0" w14:paraId="65ACBA5D" w14:textId="77777777" w:rsidTr="00740AF0">
        <w:trPr>
          <w:trHeight w:val="300"/>
        </w:trPr>
        <w:tc>
          <w:tcPr>
            <w:tcW w:w="3420" w:type="dxa"/>
            <w:tcBorders>
              <w:top w:val="nil"/>
              <w:left w:val="nil"/>
              <w:bottom w:val="nil"/>
              <w:right w:val="nil"/>
            </w:tcBorders>
            <w:shd w:val="clear" w:color="000000" w:fill="FFFFFF"/>
            <w:noWrap/>
            <w:vAlign w:val="bottom"/>
            <w:hideMark/>
          </w:tcPr>
          <w:p w14:paraId="1BC77CE6"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NC Biomass</w:t>
            </w:r>
          </w:p>
        </w:tc>
        <w:tc>
          <w:tcPr>
            <w:tcW w:w="880" w:type="dxa"/>
            <w:tcBorders>
              <w:top w:val="nil"/>
              <w:left w:val="nil"/>
              <w:bottom w:val="nil"/>
              <w:right w:val="nil"/>
            </w:tcBorders>
            <w:shd w:val="clear" w:color="000000" w:fill="FFFFFF"/>
            <w:noWrap/>
            <w:vAlign w:val="bottom"/>
            <w:hideMark/>
          </w:tcPr>
          <w:p w14:paraId="4F0F34E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13955</w:t>
            </w:r>
          </w:p>
        </w:tc>
        <w:tc>
          <w:tcPr>
            <w:tcW w:w="880" w:type="dxa"/>
            <w:tcBorders>
              <w:top w:val="nil"/>
              <w:left w:val="nil"/>
              <w:bottom w:val="nil"/>
              <w:right w:val="nil"/>
            </w:tcBorders>
            <w:shd w:val="clear" w:color="000000" w:fill="FFFFFF"/>
            <w:noWrap/>
            <w:vAlign w:val="bottom"/>
            <w:hideMark/>
          </w:tcPr>
          <w:p w14:paraId="156E833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26294</w:t>
            </w:r>
          </w:p>
        </w:tc>
        <w:tc>
          <w:tcPr>
            <w:tcW w:w="880" w:type="dxa"/>
            <w:tcBorders>
              <w:top w:val="nil"/>
              <w:left w:val="nil"/>
              <w:bottom w:val="nil"/>
              <w:right w:val="nil"/>
            </w:tcBorders>
            <w:shd w:val="clear" w:color="000000" w:fill="FFFFFF"/>
            <w:noWrap/>
            <w:vAlign w:val="bottom"/>
            <w:hideMark/>
          </w:tcPr>
          <w:p w14:paraId="4BAC153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80927</w:t>
            </w:r>
          </w:p>
        </w:tc>
        <w:tc>
          <w:tcPr>
            <w:tcW w:w="880" w:type="dxa"/>
            <w:tcBorders>
              <w:top w:val="nil"/>
              <w:left w:val="nil"/>
              <w:bottom w:val="nil"/>
              <w:right w:val="nil"/>
            </w:tcBorders>
            <w:shd w:val="clear" w:color="000000" w:fill="FFFFFF"/>
            <w:noWrap/>
            <w:vAlign w:val="bottom"/>
            <w:hideMark/>
          </w:tcPr>
          <w:p w14:paraId="23B6C91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40951</w:t>
            </w:r>
          </w:p>
        </w:tc>
        <w:tc>
          <w:tcPr>
            <w:tcW w:w="880" w:type="dxa"/>
            <w:tcBorders>
              <w:top w:val="nil"/>
              <w:left w:val="nil"/>
              <w:bottom w:val="nil"/>
              <w:right w:val="nil"/>
            </w:tcBorders>
            <w:shd w:val="clear" w:color="000000" w:fill="FFFFFF"/>
            <w:noWrap/>
            <w:vAlign w:val="bottom"/>
            <w:hideMark/>
          </w:tcPr>
          <w:p w14:paraId="364CE5E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12023</w:t>
            </w:r>
          </w:p>
        </w:tc>
        <w:tc>
          <w:tcPr>
            <w:tcW w:w="880" w:type="dxa"/>
            <w:tcBorders>
              <w:top w:val="nil"/>
              <w:left w:val="nil"/>
              <w:bottom w:val="nil"/>
              <w:right w:val="nil"/>
            </w:tcBorders>
            <w:shd w:val="clear" w:color="000000" w:fill="FFFFFF"/>
            <w:noWrap/>
            <w:vAlign w:val="bottom"/>
            <w:hideMark/>
          </w:tcPr>
          <w:p w14:paraId="3F1C760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80953</w:t>
            </w:r>
          </w:p>
        </w:tc>
        <w:tc>
          <w:tcPr>
            <w:tcW w:w="880" w:type="dxa"/>
            <w:tcBorders>
              <w:top w:val="nil"/>
              <w:left w:val="nil"/>
              <w:bottom w:val="nil"/>
              <w:right w:val="nil"/>
            </w:tcBorders>
            <w:shd w:val="clear" w:color="000000" w:fill="FFFFFF"/>
            <w:noWrap/>
            <w:vAlign w:val="bottom"/>
            <w:hideMark/>
          </w:tcPr>
          <w:p w14:paraId="41E8E3B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80782</w:t>
            </w:r>
          </w:p>
        </w:tc>
        <w:tc>
          <w:tcPr>
            <w:tcW w:w="880" w:type="dxa"/>
            <w:tcBorders>
              <w:top w:val="nil"/>
              <w:left w:val="nil"/>
              <w:bottom w:val="nil"/>
              <w:right w:val="nil"/>
            </w:tcBorders>
            <w:shd w:val="clear" w:color="000000" w:fill="FFFFFF"/>
            <w:noWrap/>
            <w:vAlign w:val="bottom"/>
            <w:hideMark/>
          </w:tcPr>
          <w:p w14:paraId="1E743F3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132072</w:t>
            </w:r>
          </w:p>
        </w:tc>
        <w:tc>
          <w:tcPr>
            <w:tcW w:w="880" w:type="dxa"/>
            <w:tcBorders>
              <w:top w:val="nil"/>
              <w:left w:val="nil"/>
              <w:bottom w:val="nil"/>
              <w:right w:val="nil"/>
            </w:tcBorders>
            <w:shd w:val="clear" w:color="000000" w:fill="FFFFFF"/>
            <w:noWrap/>
            <w:vAlign w:val="bottom"/>
            <w:hideMark/>
          </w:tcPr>
          <w:p w14:paraId="6CA9FE1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12268</w:t>
            </w:r>
          </w:p>
        </w:tc>
        <w:tc>
          <w:tcPr>
            <w:tcW w:w="880" w:type="dxa"/>
            <w:tcBorders>
              <w:top w:val="nil"/>
              <w:left w:val="nil"/>
              <w:bottom w:val="nil"/>
              <w:right w:val="nil"/>
            </w:tcBorders>
            <w:shd w:val="clear" w:color="000000" w:fill="FFFFFF"/>
            <w:noWrap/>
            <w:vAlign w:val="bottom"/>
            <w:hideMark/>
          </w:tcPr>
          <w:p w14:paraId="5086964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12771</w:t>
            </w:r>
          </w:p>
        </w:tc>
        <w:tc>
          <w:tcPr>
            <w:tcW w:w="880" w:type="dxa"/>
            <w:tcBorders>
              <w:top w:val="nil"/>
              <w:left w:val="nil"/>
              <w:bottom w:val="nil"/>
              <w:right w:val="nil"/>
            </w:tcBorders>
            <w:shd w:val="clear" w:color="000000" w:fill="FFFFFF"/>
            <w:noWrap/>
            <w:vAlign w:val="bottom"/>
            <w:hideMark/>
          </w:tcPr>
          <w:p w14:paraId="563FB91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48153</w:t>
            </w:r>
          </w:p>
        </w:tc>
      </w:tr>
      <w:tr w:rsidR="00740AF0" w:rsidRPr="00740AF0" w14:paraId="23F80015" w14:textId="77777777" w:rsidTr="00740AF0">
        <w:trPr>
          <w:trHeight w:val="300"/>
        </w:trPr>
        <w:tc>
          <w:tcPr>
            <w:tcW w:w="3420" w:type="dxa"/>
            <w:tcBorders>
              <w:top w:val="nil"/>
              <w:left w:val="nil"/>
              <w:bottom w:val="nil"/>
              <w:right w:val="nil"/>
            </w:tcBorders>
            <w:shd w:val="clear" w:color="000000" w:fill="FFFFFF"/>
            <w:noWrap/>
            <w:vAlign w:val="bottom"/>
            <w:hideMark/>
          </w:tcPr>
          <w:p w14:paraId="2E766A29"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Transport</w:t>
            </w:r>
          </w:p>
        </w:tc>
        <w:tc>
          <w:tcPr>
            <w:tcW w:w="880" w:type="dxa"/>
            <w:tcBorders>
              <w:top w:val="nil"/>
              <w:left w:val="nil"/>
              <w:bottom w:val="nil"/>
              <w:right w:val="nil"/>
            </w:tcBorders>
            <w:shd w:val="clear" w:color="000000" w:fill="FFFFFF"/>
            <w:noWrap/>
            <w:vAlign w:val="bottom"/>
            <w:hideMark/>
          </w:tcPr>
          <w:p w14:paraId="0FD381B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13955</w:t>
            </w:r>
          </w:p>
        </w:tc>
        <w:tc>
          <w:tcPr>
            <w:tcW w:w="880" w:type="dxa"/>
            <w:tcBorders>
              <w:top w:val="nil"/>
              <w:left w:val="nil"/>
              <w:bottom w:val="nil"/>
              <w:right w:val="nil"/>
            </w:tcBorders>
            <w:shd w:val="clear" w:color="000000" w:fill="FFFFFF"/>
            <w:noWrap/>
            <w:vAlign w:val="bottom"/>
            <w:hideMark/>
          </w:tcPr>
          <w:p w14:paraId="4023DC4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46015</w:t>
            </w:r>
          </w:p>
        </w:tc>
        <w:tc>
          <w:tcPr>
            <w:tcW w:w="880" w:type="dxa"/>
            <w:tcBorders>
              <w:top w:val="nil"/>
              <w:left w:val="nil"/>
              <w:bottom w:val="nil"/>
              <w:right w:val="nil"/>
            </w:tcBorders>
            <w:shd w:val="clear" w:color="000000" w:fill="FFFFFF"/>
            <w:noWrap/>
            <w:vAlign w:val="bottom"/>
            <w:hideMark/>
          </w:tcPr>
          <w:p w14:paraId="3AC6CD1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59835</w:t>
            </w:r>
          </w:p>
        </w:tc>
        <w:tc>
          <w:tcPr>
            <w:tcW w:w="880" w:type="dxa"/>
            <w:tcBorders>
              <w:top w:val="nil"/>
              <w:left w:val="nil"/>
              <w:bottom w:val="nil"/>
              <w:right w:val="nil"/>
            </w:tcBorders>
            <w:shd w:val="clear" w:color="000000" w:fill="FFFFFF"/>
            <w:noWrap/>
            <w:vAlign w:val="bottom"/>
            <w:hideMark/>
          </w:tcPr>
          <w:p w14:paraId="77B5B1E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51188</w:t>
            </w:r>
          </w:p>
        </w:tc>
        <w:tc>
          <w:tcPr>
            <w:tcW w:w="880" w:type="dxa"/>
            <w:tcBorders>
              <w:top w:val="nil"/>
              <w:left w:val="nil"/>
              <w:bottom w:val="nil"/>
              <w:right w:val="nil"/>
            </w:tcBorders>
            <w:shd w:val="clear" w:color="000000" w:fill="FFFFFF"/>
            <w:noWrap/>
            <w:vAlign w:val="bottom"/>
            <w:hideMark/>
          </w:tcPr>
          <w:p w14:paraId="1076FBF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70131</w:t>
            </w:r>
          </w:p>
        </w:tc>
        <w:tc>
          <w:tcPr>
            <w:tcW w:w="880" w:type="dxa"/>
            <w:tcBorders>
              <w:top w:val="nil"/>
              <w:left w:val="nil"/>
              <w:bottom w:val="nil"/>
              <w:right w:val="nil"/>
            </w:tcBorders>
            <w:shd w:val="clear" w:color="000000" w:fill="FFFFFF"/>
            <w:noWrap/>
            <w:vAlign w:val="bottom"/>
            <w:hideMark/>
          </w:tcPr>
          <w:p w14:paraId="3FAD98D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69787</w:t>
            </w:r>
          </w:p>
        </w:tc>
        <w:tc>
          <w:tcPr>
            <w:tcW w:w="880" w:type="dxa"/>
            <w:tcBorders>
              <w:top w:val="nil"/>
              <w:left w:val="nil"/>
              <w:bottom w:val="nil"/>
              <w:right w:val="nil"/>
            </w:tcBorders>
            <w:shd w:val="clear" w:color="000000" w:fill="FFFFFF"/>
            <w:noWrap/>
            <w:vAlign w:val="bottom"/>
            <w:hideMark/>
          </w:tcPr>
          <w:p w14:paraId="01CD1C9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80782</w:t>
            </w:r>
          </w:p>
        </w:tc>
        <w:tc>
          <w:tcPr>
            <w:tcW w:w="880" w:type="dxa"/>
            <w:tcBorders>
              <w:top w:val="nil"/>
              <w:left w:val="nil"/>
              <w:bottom w:val="nil"/>
              <w:right w:val="nil"/>
            </w:tcBorders>
            <w:shd w:val="clear" w:color="000000" w:fill="FFFFFF"/>
            <w:noWrap/>
            <w:vAlign w:val="bottom"/>
            <w:hideMark/>
          </w:tcPr>
          <w:p w14:paraId="34CF88D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132072</w:t>
            </w:r>
          </w:p>
        </w:tc>
        <w:tc>
          <w:tcPr>
            <w:tcW w:w="880" w:type="dxa"/>
            <w:tcBorders>
              <w:top w:val="nil"/>
              <w:left w:val="nil"/>
              <w:bottom w:val="nil"/>
              <w:right w:val="nil"/>
            </w:tcBorders>
            <w:shd w:val="clear" w:color="000000" w:fill="FFFFFF"/>
            <w:noWrap/>
            <w:vAlign w:val="bottom"/>
            <w:hideMark/>
          </w:tcPr>
          <w:p w14:paraId="18C1060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32715</w:t>
            </w:r>
          </w:p>
        </w:tc>
        <w:tc>
          <w:tcPr>
            <w:tcW w:w="880" w:type="dxa"/>
            <w:tcBorders>
              <w:top w:val="nil"/>
              <w:left w:val="nil"/>
              <w:bottom w:val="nil"/>
              <w:right w:val="nil"/>
            </w:tcBorders>
            <w:shd w:val="clear" w:color="000000" w:fill="FFFFFF"/>
            <w:noWrap/>
            <w:vAlign w:val="bottom"/>
            <w:hideMark/>
          </w:tcPr>
          <w:p w14:paraId="401149A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55525</w:t>
            </w:r>
          </w:p>
        </w:tc>
        <w:tc>
          <w:tcPr>
            <w:tcW w:w="880" w:type="dxa"/>
            <w:tcBorders>
              <w:top w:val="nil"/>
              <w:left w:val="nil"/>
              <w:bottom w:val="nil"/>
              <w:right w:val="nil"/>
            </w:tcBorders>
            <w:shd w:val="clear" w:color="000000" w:fill="FFFFFF"/>
            <w:noWrap/>
            <w:vAlign w:val="bottom"/>
            <w:hideMark/>
          </w:tcPr>
          <w:p w14:paraId="7243895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81010</w:t>
            </w:r>
          </w:p>
        </w:tc>
      </w:tr>
      <w:tr w:rsidR="00740AF0" w:rsidRPr="00740AF0" w14:paraId="1F9BC6C7" w14:textId="77777777" w:rsidTr="00740AF0">
        <w:trPr>
          <w:trHeight w:val="300"/>
        </w:trPr>
        <w:tc>
          <w:tcPr>
            <w:tcW w:w="3420" w:type="dxa"/>
            <w:tcBorders>
              <w:top w:val="nil"/>
              <w:left w:val="nil"/>
              <w:bottom w:val="nil"/>
              <w:right w:val="nil"/>
            </w:tcBorders>
            <w:shd w:val="clear" w:color="000000" w:fill="FFFFFF"/>
            <w:noWrap/>
            <w:vAlign w:val="bottom"/>
            <w:hideMark/>
          </w:tcPr>
          <w:p w14:paraId="7C27F1AE"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Res/Com</w:t>
            </w:r>
          </w:p>
        </w:tc>
        <w:tc>
          <w:tcPr>
            <w:tcW w:w="880" w:type="dxa"/>
            <w:tcBorders>
              <w:top w:val="nil"/>
              <w:left w:val="nil"/>
              <w:bottom w:val="nil"/>
              <w:right w:val="nil"/>
            </w:tcBorders>
            <w:shd w:val="clear" w:color="000000" w:fill="FFFFFF"/>
            <w:noWrap/>
            <w:vAlign w:val="bottom"/>
            <w:hideMark/>
          </w:tcPr>
          <w:p w14:paraId="236F881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23922</w:t>
            </w:r>
          </w:p>
        </w:tc>
        <w:tc>
          <w:tcPr>
            <w:tcW w:w="880" w:type="dxa"/>
            <w:tcBorders>
              <w:top w:val="nil"/>
              <w:left w:val="nil"/>
              <w:bottom w:val="nil"/>
              <w:right w:val="nil"/>
            </w:tcBorders>
            <w:shd w:val="clear" w:color="000000" w:fill="FFFFFF"/>
            <w:noWrap/>
            <w:vAlign w:val="bottom"/>
            <w:hideMark/>
          </w:tcPr>
          <w:p w14:paraId="08C39E5D"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65735</w:t>
            </w:r>
          </w:p>
        </w:tc>
        <w:tc>
          <w:tcPr>
            <w:tcW w:w="880" w:type="dxa"/>
            <w:tcBorders>
              <w:top w:val="nil"/>
              <w:left w:val="nil"/>
              <w:bottom w:val="nil"/>
              <w:right w:val="nil"/>
            </w:tcBorders>
            <w:shd w:val="clear" w:color="000000" w:fill="FFFFFF"/>
            <w:noWrap/>
            <w:vAlign w:val="bottom"/>
            <w:hideMark/>
          </w:tcPr>
          <w:p w14:paraId="539F136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59835</w:t>
            </w:r>
          </w:p>
        </w:tc>
        <w:tc>
          <w:tcPr>
            <w:tcW w:w="880" w:type="dxa"/>
            <w:tcBorders>
              <w:top w:val="nil"/>
              <w:left w:val="nil"/>
              <w:bottom w:val="nil"/>
              <w:right w:val="nil"/>
            </w:tcBorders>
            <w:shd w:val="clear" w:color="000000" w:fill="FFFFFF"/>
            <w:noWrap/>
            <w:vAlign w:val="bottom"/>
            <w:hideMark/>
          </w:tcPr>
          <w:p w14:paraId="18B72F8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61426</w:t>
            </w:r>
          </w:p>
        </w:tc>
        <w:tc>
          <w:tcPr>
            <w:tcW w:w="880" w:type="dxa"/>
            <w:tcBorders>
              <w:top w:val="nil"/>
              <w:left w:val="nil"/>
              <w:bottom w:val="nil"/>
              <w:right w:val="nil"/>
            </w:tcBorders>
            <w:shd w:val="clear" w:color="000000" w:fill="FFFFFF"/>
            <w:noWrap/>
            <w:vAlign w:val="bottom"/>
            <w:hideMark/>
          </w:tcPr>
          <w:p w14:paraId="46A820B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80952</w:t>
            </w:r>
          </w:p>
        </w:tc>
        <w:tc>
          <w:tcPr>
            <w:tcW w:w="880" w:type="dxa"/>
            <w:tcBorders>
              <w:top w:val="nil"/>
              <w:left w:val="nil"/>
              <w:bottom w:val="nil"/>
              <w:right w:val="nil"/>
            </w:tcBorders>
            <w:shd w:val="clear" w:color="000000" w:fill="FFFFFF"/>
            <w:noWrap/>
            <w:vAlign w:val="bottom"/>
            <w:hideMark/>
          </w:tcPr>
          <w:p w14:paraId="3AFC0D4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52340</w:t>
            </w:r>
          </w:p>
        </w:tc>
        <w:tc>
          <w:tcPr>
            <w:tcW w:w="880" w:type="dxa"/>
            <w:tcBorders>
              <w:top w:val="nil"/>
              <w:left w:val="nil"/>
              <w:bottom w:val="nil"/>
              <w:right w:val="nil"/>
            </w:tcBorders>
            <w:shd w:val="clear" w:color="000000" w:fill="FFFFFF"/>
            <w:noWrap/>
            <w:vAlign w:val="bottom"/>
            <w:hideMark/>
          </w:tcPr>
          <w:p w14:paraId="7296663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80782</w:t>
            </w:r>
          </w:p>
        </w:tc>
        <w:tc>
          <w:tcPr>
            <w:tcW w:w="880" w:type="dxa"/>
            <w:tcBorders>
              <w:top w:val="nil"/>
              <w:left w:val="nil"/>
              <w:bottom w:val="nil"/>
              <w:right w:val="nil"/>
            </w:tcBorders>
            <w:shd w:val="clear" w:color="000000" w:fill="FFFFFF"/>
            <w:noWrap/>
            <w:vAlign w:val="bottom"/>
            <w:hideMark/>
          </w:tcPr>
          <w:p w14:paraId="0EDC046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80816</w:t>
            </w:r>
          </w:p>
        </w:tc>
        <w:tc>
          <w:tcPr>
            <w:tcW w:w="880" w:type="dxa"/>
            <w:tcBorders>
              <w:top w:val="nil"/>
              <w:left w:val="nil"/>
              <w:bottom w:val="nil"/>
              <w:right w:val="nil"/>
            </w:tcBorders>
            <w:shd w:val="clear" w:color="000000" w:fill="FFFFFF"/>
            <w:noWrap/>
            <w:vAlign w:val="bottom"/>
            <w:hideMark/>
          </w:tcPr>
          <w:p w14:paraId="29A1B4B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199968</w:t>
            </w:r>
          </w:p>
        </w:tc>
        <w:tc>
          <w:tcPr>
            <w:tcW w:w="880" w:type="dxa"/>
            <w:tcBorders>
              <w:top w:val="nil"/>
              <w:left w:val="nil"/>
              <w:bottom w:val="nil"/>
              <w:right w:val="nil"/>
            </w:tcBorders>
            <w:shd w:val="clear" w:color="000000" w:fill="FFFFFF"/>
            <w:noWrap/>
            <w:vAlign w:val="bottom"/>
            <w:hideMark/>
          </w:tcPr>
          <w:p w14:paraId="3B9EAD6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80512</w:t>
            </w:r>
          </w:p>
        </w:tc>
        <w:tc>
          <w:tcPr>
            <w:tcW w:w="880" w:type="dxa"/>
            <w:tcBorders>
              <w:top w:val="nil"/>
              <w:left w:val="nil"/>
              <w:bottom w:val="nil"/>
              <w:right w:val="nil"/>
            </w:tcBorders>
            <w:shd w:val="clear" w:color="000000" w:fill="FFFFFF"/>
            <w:noWrap/>
            <w:vAlign w:val="bottom"/>
            <w:hideMark/>
          </w:tcPr>
          <w:p w14:paraId="516EB82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81010</w:t>
            </w:r>
          </w:p>
        </w:tc>
      </w:tr>
      <w:tr w:rsidR="00740AF0" w:rsidRPr="00740AF0" w14:paraId="036E2C40" w14:textId="77777777" w:rsidTr="00740AF0">
        <w:trPr>
          <w:trHeight w:val="300"/>
        </w:trPr>
        <w:tc>
          <w:tcPr>
            <w:tcW w:w="3420" w:type="dxa"/>
            <w:tcBorders>
              <w:top w:val="nil"/>
              <w:left w:val="nil"/>
              <w:bottom w:val="nil"/>
              <w:right w:val="nil"/>
            </w:tcBorders>
            <w:shd w:val="clear" w:color="000000" w:fill="FFFFFF"/>
            <w:noWrap/>
            <w:vAlign w:val="bottom"/>
            <w:hideMark/>
          </w:tcPr>
          <w:p w14:paraId="36257784"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Share Industry</w:t>
            </w:r>
          </w:p>
        </w:tc>
        <w:tc>
          <w:tcPr>
            <w:tcW w:w="880" w:type="dxa"/>
            <w:tcBorders>
              <w:top w:val="nil"/>
              <w:left w:val="nil"/>
              <w:bottom w:val="nil"/>
              <w:right w:val="nil"/>
            </w:tcBorders>
            <w:shd w:val="clear" w:color="000000" w:fill="FFFFFF"/>
            <w:noWrap/>
            <w:vAlign w:val="bottom"/>
            <w:hideMark/>
          </w:tcPr>
          <w:p w14:paraId="5666D7C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5981</w:t>
            </w:r>
          </w:p>
        </w:tc>
        <w:tc>
          <w:tcPr>
            <w:tcW w:w="880" w:type="dxa"/>
            <w:tcBorders>
              <w:top w:val="nil"/>
              <w:left w:val="nil"/>
              <w:bottom w:val="nil"/>
              <w:right w:val="nil"/>
            </w:tcBorders>
            <w:shd w:val="clear" w:color="000000" w:fill="FFFFFF"/>
            <w:noWrap/>
            <w:vAlign w:val="bottom"/>
            <w:hideMark/>
          </w:tcPr>
          <w:p w14:paraId="4270921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52588</w:t>
            </w:r>
          </w:p>
        </w:tc>
        <w:tc>
          <w:tcPr>
            <w:tcW w:w="880" w:type="dxa"/>
            <w:tcBorders>
              <w:top w:val="nil"/>
              <w:left w:val="nil"/>
              <w:bottom w:val="nil"/>
              <w:right w:val="nil"/>
            </w:tcBorders>
            <w:shd w:val="clear" w:color="000000" w:fill="FFFFFF"/>
            <w:noWrap/>
            <w:vAlign w:val="bottom"/>
            <w:hideMark/>
          </w:tcPr>
          <w:p w14:paraId="73A1109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200000</w:t>
            </w:r>
          </w:p>
        </w:tc>
        <w:tc>
          <w:tcPr>
            <w:tcW w:w="880" w:type="dxa"/>
            <w:tcBorders>
              <w:top w:val="nil"/>
              <w:left w:val="nil"/>
              <w:bottom w:val="nil"/>
              <w:right w:val="nil"/>
            </w:tcBorders>
            <w:shd w:val="clear" w:color="000000" w:fill="FFFFFF"/>
            <w:noWrap/>
            <w:vAlign w:val="bottom"/>
            <w:hideMark/>
          </w:tcPr>
          <w:p w14:paraId="050625F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122852</w:t>
            </w:r>
          </w:p>
        </w:tc>
        <w:tc>
          <w:tcPr>
            <w:tcW w:w="880" w:type="dxa"/>
            <w:tcBorders>
              <w:top w:val="nil"/>
              <w:left w:val="nil"/>
              <w:bottom w:val="nil"/>
              <w:right w:val="nil"/>
            </w:tcBorders>
            <w:shd w:val="clear" w:color="000000" w:fill="FFFFFF"/>
            <w:noWrap/>
            <w:vAlign w:val="bottom"/>
            <w:hideMark/>
          </w:tcPr>
          <w:p w14:paraId="57EBDFC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18034</w:t>
            </w:r>
          </w:p>
        </w:tc>
        <w:tc>
          <w:tcPr>
            <w:tcW w:w="880" w:type="dxa"/>
            <w:tcBorders>
              <w:top w:val="nil"/>
              <w:left w:val="nil"/>
              <w:bottom w:val="nil"/>
              <w:right w:val="nil"/>
            </w:tcBorders>
            <w:shd w:val="clear" w:color="000000" w:fill="FFFFFF"/>
            <w:noWrap/>
            <w:vAlign w:val="bottom"/>
            <w:hideMark/>
          </w:tcPr>
          <w:p w14:paraId="0EF4CE1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43617</w:t>
            </w:r>
          </w:p>
        </w:tc>
        <w:tc>
          <w:tcPr>
            <w:tcW w:w="880" w:type="dxa"/>
            <w:tcBorders>
              <w:top w:val="nil"/>
              <w:left w:val="nil"/>
              <w:bottom w:val="nil"/>
              <w:right w:val="nil"/>
            </w:tcBorders>
            <w:shd w:val="clear" w:color="000000" w:fill="FFFFFF"/>
            <w:noWrap/>
            <w:vAlign w:val="bottom"/>
            <w:hideMark/>
          </w:tcPr>
          <w:p w14:paraId="6092A79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200109</w:t>
            </w:r>
          </w:p>
        </w:tc>
        <w:tc>
          <w:tcPr>
            <w:tcW w:w="880" w:type="dxa"/>
            <w:tcBorders>
              <w:top w:val="nil"/>
              <w:left w:val="nil"/>
              <w:bottom w:val="nil"/>
              <w:right w:val="nil"/>
            </w:tcBorders>
            <w:shd w:val="clear" w:color="000000" w:fill="FFFFFF"/>
            <w:noWrap/>
            <w:vAlign w:val="bottom"/>
            <w:hideMark/>
          </w:tcPr>
          <w:p w14:paraId="7534FD6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199995</w:t>
            </w:r>
          </w:p>
        </w:tc>
        <w:tc>
          <w:tcPr>
            <w:tcW w:w="880" w:type="dxa"/>
            <w:tcBorders>
              <w:top w:val="nil"/>
              <w:left w:val="nil"/>
              <w:bottom w:val="nil"/>
              <w:right w:val="nil"/>
            </w:tcBorders>
            <w:shd w:val="clear" w:color="000000" w:fill="FFFFFF"/>
            <w:noWrap/>
            <w:vAlign w:val="bottom"/>
            <w:hideMark/>
          </w:tcPr>
          <w:p w14:paraId="0CEA9B03"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81787</w:t>
            </w:r>
          </w:p>
        </w:tc>
        <w:tc>
          <w:tcPr>
            <w:tcW w:w="880" w:type="dxa"/>
            <w:tcBorders>
              <w:top w:val="nil"/>
              <w:left w:val="nil"/>
              <w:bottom w:val="nil"/>
              <w:right w:val="nil"/>
            </w:tcBorders>
            <w:shd w:val="clear" w:color="000000" w:fill="FFFFFF"/>
            <w:noWrap/>
            <w:vAlign w:val="bottom"/>
            <w:hideMark/>
          </w:tcPr>
          <w:p w14:paraId="1F496AE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30539</w:t>
            </w:r>
          </w:p>
        </w:tc>
        <w:tc>
          <w:tcPr>
            <w:tcW w:w="880" w:type="dxa"/>
            <w:tcBorders>
              <w:top w:val="nil"/>
              <w:left w:val="nil"/>
              <w:bottom w:val="nil"/>
              <w:right w:val="nil"/>
            </w:tcBorders>
            <w:shd w:val="clear" w:color="000000" w:fill="FFFFFF"/>
            <w:noWrap/>
            <w:vAlign w:val="bottom"/>
            <w:hideMark/>
          </w:tcPr>
          <w:p w14:paraId="5E97DFB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198277</w:t>
            </w:r>
          </w:p>
        </w:tc>
      </w:tr>
      <w:tr w:rsidR="00740AF0" w:rsidRPr="00740AF0" w14:paraId="413E453B" w14:textId="77777777" w:rsidTr="00740AF0">
        <w:trPr>
          <w:trHeight w:val="300"/>
        </w:trPr>
        <w:tc>
          <w:tcPr>
            <w:tcW w:w="3420" w:type="dxa"/>
            <w:tcBorders>
              <w:top w:val="nil"/>
              <w:left w:val="nil"/>
              <w:bottom w:val="nil"/>
              <w:right w:val="nil"/>
            </w:tcBorders>
            <w:shd w:val="clear" w:color="000000" w:fill="FFFFFF"/>
            <w:noWrap/>
            <w:vAlign w:val="bottom"/>
            <w:hideMark/>
          </w:tcPr>
          <w:p w14:paraId="34A452A4"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Res/Com</w:t>
            </w:r>
          </w:p>
        </w:tc>
        <w:tc>
          <w:tcPr>
            <w:tcW w:w="880" w:type="dxa"/>
            <w:tcBorders>
              <w:top w:val="nil"/>
              <w:left w:val="nil"/>
              <w:bottom w:val="nil"/>
              <w:right w:val="nil"/>
            </w:tcBorders>
            <w:shd w:val="clear" w:color="000000" w:fill="FFFFFF"/>
            <w:noWrap/>
            <w:vAlign w:val="bottom"/>
            <w:hideMark/>
          </w:tcPr>
          <w:p w14:paraId="1F032AAF"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80976</w:t>
            </w:r>
          </w:p>
        </w:tc>
        <w:tc>
          <w:tcPr>
            <w:tcW w:w="880" w:type="dxa"/>
            <w:tcBorders>
              <w:top w:val="nil"/>
              <w:left w:val="nil"/>
              <w:bottom w:val="nil"/>
              <w:right w:val="nil"/>
            </w:tcBorders>
            <w:shd w:val="clear" w:color="000000" w:fill="FFFFFF"/>
            <w:noWrap/>
            <w:vAlign w:val="bottom"/>
            <w:hideMark/>
          </w:tcPr>
          <w:p w14:paraId="57892B8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80986</w:t>
            </w:r>
          </w:p>
        </w:tc>
        <w:tc>
          <w:tcPr>
            <w:tcW w:w="880" w:type="dxa"/>
            <w:tcBorders>
              <w:top w:val="nil"/>
              <w:left w:val="nil"/>
              <w:bottom w:val="nil"/>
              <w:right w:val="nil"/>
            </w:tcBorders>
            <w:shd w:val="clear" w:color="000000" w:fill="FFFFFF"/>
            <w:noWrap/>
            <w:vAlign w:val="bottom"/>
            <w:hideMark/>
          </w:tcPr>
          <w:p w14:paraId="4457BD7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80927</w:t>
            </w:r>
          </w:p>
        </w:tc>
        <w:tc>
          <w:tcPr>
            <w:tcW w:w="880" w:type="dxa"/>
            <w:tcBorders>
              <w:top w:val="nil"/>
              <w:left w:val="nil"/>
              <w:bottom w:val="nil"/>
              <w:right w:val="nil"/>
            </w:tcBorders>
            <w:shd w:val="clear" w:color="000000" w:fill="FFFFFF"/>
            <w:noWrap/>
            <w:vAlign w:val="bottom"/>
            <w:hideMark/>
          </w:tcPr>
          <w:p w14:paraId="750CA63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61426</w:t>
            </w:r>
          </w:p>
        </w:tc>
        <w:tc>
          <w:tcPr>
            <w:tcW w:w="880" w:type="dxa"/>
            <w:tcBorders>
              <w:top w:val="nil"/>
              <w:left w:val="nil"/>
              <w:bottom w:val="nil"/>
              <w:right w:val="nil"/>
            </w:tcBorders>
            <w:shd w:val="clear" w:color="000000" w:fill="FFFFFF"/>
            <w:noWrap/>
            <w:vAlign w:val="bottom"/>
            <w:hideMark/>
          </w:tcPr>
          <w:p w14:paraId="0151955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80952</w:t>
            </w:r>
          </w:p>
        </w:tc>
        <w:tc>
          <w:tcPr>
            <w:tcW w:w="880" w:type="dxa"/>
            <w:tcBorders>
              <w:top w:val="nil"/>
              <w:left w:val="nil"/>
              <w:bottom w:val="nil"/>
              <w:right w:val="nil"/>
            </w:tcBorders>
            <w:shd w:val="clear" w:color="000000" w:fill="FFFFFF"/>
            <w:noWrap/>
            <w:vAlign w:val="bottom"/>
            <w:hideMark/>
          </w:tcPr>
          <w:p w14:paraId="31DA690B"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69787</w:t>
            </w:r>
          </w:p>
        </w:tc>
        <w:tc>
          <w:tcPr>
            <w:tcW w:w="880" w:type="dxa"/>
            <w:tcBorders>
              <w:top w:val="nil"/>
              <w:left w:val="nil"/>
              <w:bottom w:val="nil"/>
              <w:right w:val="nil"/>
            </w:tcBorders>
            <w:shd w:val="clear" w:color="000000" w:fill="FFFFFF"/>
            <w:noWrap/>
            <w:vAlign w:val="bottom"/>
            <w:hideMark/>
          </w:tcPr>
          <w:p w14:paraId="22FCA75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80782</w:t>
            </w:r>
          </w:p>
        </w:tc>
        <w:tc>
          <w:tcPr>
            <w:tcW w:w="880" w:type="dxa"/>
            <w:tcBorders>
              <w:top w:val="nil"/>
              <w:left w:val="nil"/>
              <w:bottom w:val="nil"/>
              <w:right w:val="nil"/>
            </w:tcBorders>
            <w:shd w:val="clear" w:color="000000" w:fill="FFFFFF"/>
            <w:noWrap/>
            <w:vAlign w:val="bottom"/>
            <w:hideMark/>
          </w:tcPr>
          <w:p w14:paraId="51AB5EA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80816</w:t>
            </w:r>
          </w:p>
        </w:tc>
        <w:tc>
          <w:tcPr>
            <w:tcW w:w="880" w:type="dxa"/>
            <w:tcBorders>
              <w:top w:val="nil"/>
              <w:left w:val="nil"/>
              <w:bottom w:val="nil"/>
              <w:right w:val="nil"/>
            </w:tcBorders>
            <w:shd w:val="clear" w:color="000000" w:fill="FFFFFF"/>
            <w:noWrap/>
            <w:vAlign w:val="bottom"/>
            <w:hideMark/>
          </w:tcPr>
          <w:p w14:paraId="365AD97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80969</w:t>
            </w:r>
          </w:p>
        </w:tc>
        <w:tc>
          <w:tcPr>
            <w:tcW w:w="880" w:type="dxa"/>
            <w:tcBorders>
              <w:top w:val="nil"/>
              <w:left w:val="nil"/>
              <w:bottom w:val="nil"/>
              <w:right w:val="nil"/>
            </w:tcBorders>
            <w:shd w:val="clear" w:color="000000" w:fill="FFFFFF"/>
            <w:noWrap/>
            <w:vAlign w:val="bottom"/>
            <w:hideMark/>
          </w:tcPr>
          <w:p w14:paraId="565478A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80956</w:t>
            </w:r>
          </w:p>
        </w:tc>
        <w:tc>
          <w:tcPr>
            <w:tcW w:w="880" w:type="dxa"/>
            <w:tcBorders>
              <w:top w:val="nil"/>
              <w:left w:val="nil"/>
              <w:bottom w:val="nil"/>
              <w:right w:val="nil"/>
            </w:tcBorders>
            <w:shd w:val="clear" w:color="000000" w:fill="FFFFFF"/>
            <w:noWrap/>
            <w:vAlign w:val="bottom"/>
            <w:hideMark/>
          </w:tcPr>
          <w:p w14:paraId="01A565C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81010</w:t>
            </w:r>
          </w:p>
        </w:tc>
      </w:tr>
      <w:tr w:rsidR="00740AF0" w:rsidRPr="00740AF0" w14:paraId="66E713DE" w14:textId="77777777" w:rsidTr="00740AF0">
        <w:trPr>
          <w:trHeight w:val="300"/>
        </w:trPr>
        <w:tc>
          <w:tcPr>
            <w:tcW w:w="3420" w:type="dxa"/>
            <w:tcBorders>
              <w:top w:val="nil"/>
              <w:left w:val="nil"/>
              <w:bottom w:val="nil"/>
              <w:right w:val="nil"/>
            </w:tcBorders>
            <w:shd w:val="clear" w:color="000000" w:fill="FFFFFF"/>
            <w:noWrap/>
            <w:vAlign w:val="bottom"/>
            <w:hideMark/>
          </w:tcPr>
          <w:p w14:paraId="0CF2BC48"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Feedstock Share Industry</w:t>
            </w:r>
          </w:p>
        </w:tc>
        <w:tc>
          <w:tcPr>
            <w:tcW w:w="880" w:type="dxa"/>
            <w:tcBorders>
              <w:top w:val="nil"/>
              <w:left w:val="nil"/>
              <w:bottom w:val="nil"/>
              <w:right w:val="nil"/>
            </w:tcBorders>
            <w:shd w:val="clear" w:color="000000" w:fill="FFFFFF"/>
            <w:noWrap/>
            <w:vAlign w:val="bottom"/>
            <w:hideMark/>
          </w:tcPr>
          <w:p w14:paraId="572DDEE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19935</w:t>
            </w:r>
          </w:p>
        </w:tc>
        <w:tc>
          <w:tcPr>
            <w:tcW w:w="880" w:type="dxa"/>
            <w:tcBorders>
              <w:top w:val="nil"/>
              <w:left w:val="nil"/>
              <w:bottom w:val="nil"/>
              <w:right w:val="nil"/>
            </w:tcBorders>
            <w:shd w:val="clear" w:color="000000" w:fill="FFFFFF"/>
            <w:noWrap/>
            <w:vAlign w:val="bottom"/>
            <w:hideMark/>
          </w:tcPr>
          <w:p w14:paraId="15CD78C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26294</w:t>
            </w:r>
          </w:p>
        </w:tc>
        <w:tc>
          <w:tcPr>
            <w:tcW w:w="880" w:type="dxa"/>
            <w:tcBorders>
              <w:top w:val="nil"/>
              <w:left w:val="nil"/>
              <w:bottom w:val="nil"/>
              <w:right w:val="nil"/>
            </w:tcBorders>
            <w:shd w:val="clear" w:color="000000" w:fill="FFFFFF"/>
            <w:noWrap/>
            <w:vAlign w:val="bottom"/>
            <w:hideMark/>
          </w:tcPr>
          <w:p w14:paraId="069FF00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80927</w:t>
            </w:r>
          </w:p>
        </w:tc>
        <w:tc>
          <w:tcPr>
            <w:tcW w:w="880" w:type="dxa"/>
            <w:tcBorders>
              <w:top w:val="nil"/>
              <w:left w:val="nil"/>
              <w:bottom w:val="nil"/>
              <w:right w:val="nil"/>
            </w:tcBorders>
            <w:shd w:val="clear" w:color="000000" w:fill="FFFFFF"/>
            <w:noWrap/>
            <w:vAlign w:val="bottom"/>
            <w:hideMark/>
          </w:tcPr>
          <w:p w14:paraId="40C7B55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80980</w:t>
            </w:r>
          </w:p>
        </w:tc>
        <w:tc>
          <w:tcPr>
            <w:tcW w:w="880" w:type="dxa"/>
            <w:tcBorders>
              <w:top w:val="nil"/>
              <w:left w:val="nil"/>
              <w:bottom w:val="nil"/>
              <w:right w:val="nil"/>
            </w:tcBorders>
            <w:shd w:val="clear" w:color="000000" w:fill="FFFFFF"/>
            <w:noWrap/>
            <w:vAlign w:val="bottom"/>
            <w:hideMark/>
          </w:tcPr>
          <w:p w14:paraId="488506C0"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80952</w:t>
            </w:r>
          </w:p>
        </w:tc>
        <w:tc>
          <w:tcPr>
            <w:tcW w:w="880" w:type="dxa"/>
            <w:tcBorders>
              <w:top w:val="nil"/>
              <w:left w:val="nil"/>
              <w:bottom w:val="nil"/>
              <w:right w:val="nil"/>
            </w:tcBorders>
            <w:shd w:val="clear" w:color="000000" w:fill="FFFFFF"/>
            <w:noWrap/>
            <w:vAlign w:val="bottom"/>
            <w:hideMark/>
          </w:tcPr>
          <w:p w14:paraId="3260D16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80953</w:t>
            </w:r>
          </w:p>
        </w:tc>
        <w:tc>
          <w:tcPr>
            <w:tcW w:w="880" w:type="dxa"/>
            <w:tcBorders>
              <w:top w:val="nil"/>
              <w:left w:val="nil"/>
              <w:bottom w:val="nil"/>
              <w:right w:val="nil"/>
            </w:tcBorders>
            <w:shd w:val="clear" w:color="000000" w:fill="FFFFFF"/>
            <w:noWrap/>
            <w:vAlign w:val="bottom"/>
            <w:hideMark/>
          </w:tcPr>
          <w:p w14:paraId="474E84EE"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80782</w:t>
            </w:r>
          </w:p>
        </w:tc>
        <w:tc>
          <w:tcPr>
            <w:tcW w:w="880" w:type="dxa"/>
            <w:tcBorders>
              <w:top w:val="nil"/>
              <w:left w:val="nil"/>
              <w:bottom w:val="nil"/>
              <w:right w:val="nil"/>
            </w:tcBorders>
            <w:shd w:val="clear" w:color="000000" w:fill="FFFFFF"/>
            <w:noWrap/>
            <w:vAlign w:val="bottom"/>
            <w:hideMark/>
          </w:tcPr>
          <w:p w14:paraId="2A4E8BD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80816</w:t>
            </w:r>
          </w:p>
        </w:tc>
        <w:tc>
          <w:tcPr>
            <w:tcW w:w="880" w:type="dxa"/>
            <w:tcBorders>
              <w:top w:val="nil"/>
              <w:left w:val="nil"/>
              <w:bottom w:val="nil"/>
              <w:right w:val="nil"/>
            </w:tcBorders>
            <w:shd w:val="clear" w:color="000000" w:fill="FFFFFF"/>
            <w:noWrap/>
            <w:vAlign w:val="bottom"/>
            <w:hideMark/>
          </w:tcPr>
          <w:p w14:paraId="225831E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80969</w:t>
            </w:r>
          </w:p>
        </w:tc>
        <w:tc>
          <w:tcPr>
            <w:tcW w:w="880" w:type="dxa"/>
            <w:tcBorders>
              <w:top w:val="nil"/>
              <w:left w:val="nil"/>
              <w:bottom w:val="nil"/>
              <w:right w:val="nil"/>
            </w:tcBorders>
            <w:shd w:val="clear" w:color="000000" w:fill="FFFFFF"/>
            <w:noWrap/>
            <w:vAlign w:val="bottom"/>
            <w:hideMark/>
          </w:tcPr>
          <w:p w14:paraId="2C7ECFC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80956</w:t>
            </w:r>
          </w:p>
        </w:tc>
        <w:tc>
          <w:tcPr>
            <w:tcW w:w="880" w:type="dxa"/>
            <w:tcBorders>
              <w:top w:val="nil"/>
              <w:left w:val="nil"/>
              <w:bottom w:val="nil"/>
              <w:right w:val="nil"/>
            </w:tcBorders>
            <w:shd w:val="clear" w:color="000000" w:fill="FFFFFF"/>
            <w:noWrap/>
            <w:vAlign w:val="bottom"/>
            <w:hideMark/>
          </w:tcPr>
          <w:p w14:paraId="17F68207"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81010</w:t>
            </w:r>
          </w:p>
        </w:tc>
      </w:tr>
      <w:tr w:rsidR="00740AF0" w:rsidRPr="00740AF0" w14:paraId="094F0A20" w14:textId="77777777" w:rsidTr="00740AF0">
        <w:trPr>
          <w:trHeight w:val="315"/>
        </w:trPr>
        <w:tc>
          <w:tcPr>
            <w:tcW w:w="3420" w:type="dxa"/>
            <w:tcBorders>
              <w:top w:val="nil"/>
              <w:left w:val="nil"/>
              <w:bottom w:val="single" w:sz="8" w:space="0" w:color="auto"/>
              <w:right w:val="nil"/>
            </w:tcBorders>
            <w:shd w:val="clear" w:color="000000" w:fill="FFFFFF"/>
            <w:noWrap/>
            <w:vAlign w:val="bottom"/>
            <w:hideMark/>
          </w:tcPr>
          <w:p w14:paraId="49F216DF" w14:textId="77777777" w:rsidR="00740AF0" w:rsidRPr="00740AF0" w:rsidRDefault="00740AF0" w:rsidP="00740AF0">
            <w:pPr>
              <w:spacing w:after="0" w:line="240" w:lineRule="auto"/>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Elec Share Industry</w:t>
            </w:r>
          </w:p>
        </w:tc>
        <w:tc>
          <w:tcPr>
            <w:tcW w:w="880" w:type="dxa"/>
            <w:tcBorders>
              <w:top w:val="nil"/>
              <w:left w:val="nil"/>
              <w:bottom w:val="single" w:sz="8" w:space="0" w:color="auto"/>
              <w:right w:val="nil"/>
            </w:tcBorders>
            <w:shd w:val="clear" w:color="000000" w:fill="FFFFFF"/>
            <w:noWrap/>
            <w:vAlign w:val="bottom"/>
            <w:hideMark/>
          </w:tcPr>
          <w:p w14:paraId="67644014"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200009</w:t>
            </w:r>
          </w:p>
        </w:tc>
        <w:tc>
          <w:tcPr>
            <w:tcW w:w="880" w:type="dxa"/>
            <w:tcBorders>
              <w:top w:val="nil"/>
              <w:left w:val="nil"/>
              <w:bottom w:val="single" w:sz="8" w:space="0" w:color="auto"/>
              <w:right w:val="nil"/>
            </w:tcBorders>
            <w:shd w:val="clear" w:color="000000" w:fill="FFFFFF"/>
            <w:noWrap/>
            <w:vAlign w:val="bottom"/>
            <w:hideMark/>
          </w:tcPr>
          <w:p w14:paraId="0BFB1BA8"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200033</w:t>
            </w:r>
          </w:p>
        </w:tc>
        <w:tc>
          <w:tcPr>
            <w:tcW w:w="880" w:type="dxa"/>
            <w:tcBorders>
              <w:top w:val="nil"/>
              <w:left w:val="nil"/>
              <w:bottom w:val="single" w:sz="8" w:space="0" w:color="auto"/>
              <w:right w:val="nil"/>
            </w:tcBorders>
            <w:shd w:val="clear" w:color="000000" w:fill="FFFFFF"/>
            <w:noWrap/>
            <w:vAlign w:val="bottom"/>
            <w:hideMark/>
          </w:tcPr>
          <w:p w14:paraId="3B60AE15"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200000</w:t>
            </w:r>
          </w:p>
        </w:tc>
        <w:tc>
          <w:tcPr>
            <w:tcW w:w="880" w:type="dxa"/>
            <w:tcBorders>
              <w:top w:val="nil"/>
              <w:left w:val="nil"/>
              <w:bottom w:val="single" w:sz="8" w:space="0" w:color="auto"/>
              <w:right w:val="nil"/>
            </w:tcBorders>
            <w:shd w:val="clear" w:color="000000" w:fill="FFFFFF"/>
            <w:noWrap/>
            <w:vAlign w:val="bottom"/>
            <w:hideMark/>
          </w:tcPr>
          <w:p w14:paraId="0703425C"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200044</w:t>
            </w:r>
          </w:p>
        </w:tc>
        <w:tc>
          <w:tcPr>
            <w:tcW w:w="880" w:type="dxa"/>
            <w:tcBorders>
              <w:top w:val="nil"/>
              <w:left w:val="nil"/>
              <w:bottom w:val="single" w:sz="8" w:space="0" w:color="auto"/>
              <w:right w:val="nil"/>
            </w:tcBorders>
            <w:shd w:val="clear" w:color="000000" w:fill="FFFFFF"/>
            <w:noWrap/>
            <w:vAlign w:val="bottom"/>
            <w:hideMark/>
          </w:tcPr>
          <w:p w14:paraId="2315780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199975</w:t>
            </w:r>
          </w:p>
        </w:tc>
        <w:tc>
          <w:tcPr>
            <w:tcW w:w="880" w:type="dxa"/>
            <w:tcBorders>
              <w:top w:val="nil"/>
              <w:left w:val="nil"/>
              <w:bottom w:val="single" w:sz="8" w:space="0" w:color="auto"/>
              <w:right w:val="nil"/>
            </w:tcBorders>
            <w:shd w:val="clear" w:color="000000" w:fill="FFFFFF"/>
            <w:noWrap/>
            <w:vAlign w:val="bottom"/>
            <w:hideMark/>
          </w:tcPr>
          <w:p w14:paraId="09AA454A"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200027</w:t>
            </w:r>
          </w:p>
        </w:tc>
        <w:tc>
          <w:tcPr>
            <w:tcW w:w="880" w:type="dxa"/>
            <w:tcBorders>
              <w:top w:val="nil"/>
              <w:left w:val="nil"/>
              <w:bottom w:val="single" w:sz="8" w:space="0" w:color="auto"/>
              <w:right w:val="nil"/>
            </w:tcBorders>
            <w:shd w:val="clear" w:color="000000" w:fill="FFFFFF"/>
            <w:noWrap/>
            <w:vAlign w:val="bottom"/>
            <w:hideMark/>
          </w:tcPr>
          <w:p w14:paraId="6430E9D1"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200109</w:t>
            </w:r>
          </w:p>
        </w:tc>
        <w:tc>
          <w:tcPr>
            <w:tcW w:w="880" w:type="dxa"/>
            <w:tcBorders>
              <w:top w:val="nil"/>
              <w:left w:val="nil"/>
              <w:bottom w:val="single" w:sz="8" w:space="0" w:color="auto"/>
              <w:right w:val="nil"/>
            </w:tcBorders>
            <w:shd w:val="clear" w:color="000000" w:fill="FFFFFF"/>
            <w:noWrap/>
            <w:vAlign w:val="bottom"/>
            <w:hideMark/>
          </w:tcPr>
          <w:p w14:paraId="4386F12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199995</w:t>
            </w:r>
          </w:p>
        </w:tc>
        <w:tc>
          <w:tcPr>
            <w:tcW w:w="880" w:type="dxa"/>
            <w:tcBorders>
              <w:top w:val="nil"/>
              <w:left w:val="nil"/>
              <w:bottom w:val="single" w:sz="8" w:space="0" w:color="auto"/>
              <w:right w:val="nil"/>
            </w:tcBorders>
            <w:shd w:val="clear" w:color="000000" w:fill="FFFFFF"/>
            <w:noWrap/>
            <w:vAlign w:val="bottom"/>
            <w:hideMark/>
          </w:tcPr>
          <w:p w14:paraId="2ADD8902"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199968</w:t>
            </w:r>
          </w:p>
        </w:tc>
        <w:tc>
          <w:tcPr>
            <w:tcW w:w="880" w:type="dxa"/>
            <w:tcBorders>
              <w:top w:val="nil"/>
              <w:left w:val="nil"/>
              <w:bottom w:val="single" w:sz="8" w:space="0" w:color="auto"/>
              <w:right w:val="nil"/>
            </w:tcBorders>
            <w:shd w:val="clear" w:color="000000" w:fill="FFFFFF"/>
            <w:noWrap/>
            <w:vAlign w:val="bottom"/>
            <w:hideMark/>
          </w:tcPr>
          <w:p w14:paraId="0FDDDB89"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200002</w:t>
            </w:r>
          </w:p>
        </w:tc>
        <w:tc>
          <w:tcPr>
            <w:tcW w:w="880" w:type="dxa"/>
            <w:tcBorders>
              <w:top w:val="nil"/>
              <w:left w:val="nil"/>
              <w:bottom w:val="single" w:sz="8" w:space="0" w:color="auto"/>
              <w:right w:val="nil"/>
            </w:tcBorders>
            <w:shd w:val="clear" w:color="000000" w:fill="FFFFFF"/>
            <w:noWrap/>
            <w:vAlign w:val="bottom"/>
            <w:hideMark/>
          </w:tcPr>
          <w:p w14:paraId="4D3BC706" w14:textId="77777777" w:rsidR="00740AF0" w:rsidRPr="00740AF0" w:rsidRDefault="00740AF0" w:rsidP="00740AF0">
            <w:pPr>
              <w:spacing w:after="0" w:line="240" w:lineRule="auto"/>
              <w:jc w:val="right"/>
              <w:rPr>
                <w:rFonts w:ascii="Calibri" w:eastAsia="Times New Roman" w:hAnsi="Calibri" w:cs="Times New Roman"/>
                <w:color w:val="000000"/>
                <w:lang w:val="de-CH" w:eastAsia="de-CH"/>
              </w:rPr>
            </w:pPr>
            <w:r w:rsidRPr="00740AF0">
              <w:rPr>
                <w:rFonts w:ascii="Calibri" w:eastAsia="Times New Roman" w:hAnsi="Calibri" w:cs="Times New Roman"/>
                <w:color w:val="000000"/>
                <w:lang w:val="de-CH" w:eastAsia="de-CH"/>
              </w:rPr>
              <w:t>199977</w:t>
            </w:r>
          </w:p>
        </w:tc>
      </w:tr>
    </w:tbl>
    <w:p w14:paraId="4F79FDC5" w14:textId="77777777" w:rsidR="00AC0B4E" w:rsidRPr="007C5AF5" w:rsidRDefault="00AC0B4E" w:rsidP="002F05DB">
      <w:pPr>
        <w:rPr>
          <w:lang w:val="en-GB"/>
        </w:rPr>
      </w:pPr>
    </w:p>
    <w:p w14:paraId="115FAE02" w14:textId="37E2ED5F" w:rsidR="00330359" w:rsidRDefault="00330359" w:rsidP="00330359">
      <w:pPr>
        <w:spacing w:line="360" w:lineRule="auto"/>
        <w:jc w:val="both"/>
        <w:rPr>
          <w:lang w:val="en-GB"/>
        </w:rPr>
      </w:pPr>
    </w:p>
    <w:p w14:paraId="4D50AAA3" w14:textId="77777777" w:rsidR="00AC0B4E" w:rsidRDefault="00AC0B4E" w:rsidP="00E359E5">
      <w:pPr>
        <w:sectPr w:rsidR="00AC0B4E" w:rsidSect="00AC0B4E">
          <w:footnotePr>
            <w:numFmt w:val="chicago"/>
          </w:footnotePr>
          <w:pgSz w:w="16838" w:h="11906" w:orient="landscape"/>
          <w:pgMar w:top="1417" w:right="1417" w:bottom="1417" w:left="1418" w:header="708" w:footer="708" w:gutter="0"/>
          <w:lnNumType w:countBy="1" w:restart="continuous"/>
          <w:cols w:space="708"/>
          <w:docGrid w:linePitch="360"/>
        </w:sectPr>
      </w:pPr>
    </w:p>
    <w:p w14:paraId="341733B1" w14:textId="7A489387" w:rsidR="00330359" w:rsidRDefault="00330359" w:rsidP="00E359E5"/>
    <w:p w14:paraId="6FAA4445" w14:textId="77777777" w:rsidR="003441EC" w:rsidRDefault="003441EC" w:rsidP="00E359E5"/>
    <w:p w14:paraId="7CAB98FF" w14:textId="77777777" w:rsidR="004B5F79" w:rsidRDefault="004B5F79" w:rsidP="00E359E5"/>
    <w:p w14:paraId="4D4591D0" w14:textId="77777777" w:rsidR="00330359" w:rsidRPr="00E359E5" w:rsidRDefault="00330359" w:rsidP="00E359E5"/>
    <w:p w14:paraId="7D4D089E" w14:textId="77777777" w:rsidR="00867710" w:rsidRDefault="004B4717" w:rsidP="004B4717">
      <w:pPr>
        <w:pStyle w:val="Heading2"/>
      </w:pPr>
      <w:bookmarkStart w:id="18" w:name="_Toc449104537"/>
      <w:r>
        <w:t>Fossil resources</w:t>
      </w:r>
      <w:bookmarkEnd w:id="18"/>
    </w:p>
    <w:p w14:paraId="20FB2D1B" w14:textId="12BAAB1A" w:rsidR="00867710" w:rsidRPr="004B4717" w:rsidRDefault="00BC42B8" w:rsidP="009A023D">
      <w:pPr>
        <w:pStyle w:val="Caption"/>
        <w:keepNext/>
        <w:spacing w:after="40"/>
        <w:rPr>
          <w:i w:val="0"/>
          <w:lang w:val="en-GB"/>
        </w:rPr>
      </w:pPr>
      <w:r>
        <w:rPr>
          <w:lang w:val="en-GB"/>
        </w:rPr>
        <w:t xml:space="preserve">Table </w:t>
      </w:r>
      <w:r w:rsidR="007A27B0">
        <w:rPr>
          <w:lang w:val="en-GB"/>
        </w:rPr>
        <w:t>S2</w:t>
      </w:r>
      <w:r>
        <w:rPr>
          <w:lang w:val="en-GB"/>
        </w:rPr>
        <w:t xml:space="preserve">: Fossil resource availability in ZJ </w:t>
      </w:r>
      <w:r w:rsidR="004C2ED2">
        <w:rPr>
          <w:lang w:val="en-GB"/>
        </w:rPr>
        <w:t xml:space="preserve">(2010-2100) </w:t>
      </w:r>
      <w:r>
        <w:rPr>
          <w:lang w:val="en-GB"/>
        </w:rPr>
        <w:t>for coal, oil, and gas, for SSP1, SSP2, and SSP3, respectively.</w:t>
      </w:r>
      <w:r w:rsidR="00724467">
        <w:rPr>
          <w:lang w:val="en-GB"/>
        </w:rPr>
        <w:t xml:space="preserve"> A comparison is provided with other values from the literature </w:t>
      </w:r>
      <w:r w:rsidR="00724467">
        <w:rPr>
          <w:lang w:val="en-GB"/>
        </w:rPr>
        <w:fldChar w:fldCharType="begin"/>
      </w:r>
      <w:r w:rsidR="00724467">
        <w:rPr>
          <w:lang w:val="en-GB"/>
        </w:rPr>
        <w:instrText xml:space="preserve"> ADDIN EN.CITE &lt;EndNote&gt;&lt;Cite&gt;&lt;Author&gt;Rogner&lt;/Author&gt;&lt;Year&gt;2012&lt;/Year&gt;&lt;RecNum&gt;4595&lt;/RecNum&gt;&lt;DisplayText&gt;(Rogner&lt;style face="italic"&gt; et al.&lt;/style&gt;, 2012)&lt;/DisplayText&gt;&lt;record&gt;&lt;rec-number&gt;4595&lt;/rec-number&gt;&lt;foreign-keys&gt;&lt;key app="EN" db-id="e2vzee9zparzwaexw9qxadxmr00vr5rte9p0" timestamp="1345818718"&gt;4595&lt;/key&gt;&lt;/foreign-keys&gt;&lt;ref-type name="Book Section"&gt;5&lt;/ref-type&gt;&lt;contributors&gt;&lt;authors&gt;&lt;author&gt;Rogner, Hans-Holger&lt;/author&gt;&lt;author&gt;Aguilera, Roberto F.&lt;/author&gt;&lt;author&gt;Bertani, Ruggero&lt;/author&gt;&lt;author&gt;Bhattacharya, S. C.&lt;/author&gt;&lt;author&gt;Dusseault, Maurice B.&lt;/author&gt;&lt;author&gt;Gagnon, Luc&lt;/author&gt;&lt;author&gt;Haberl, Helmut&lt;/author&gt;&lt;author&gt;Hoogwijk, Monique&lt;/author&gt;&lt;author&gt;Johnson, Arthur&lt;/author&gt;&lt;author&gt;Rogner, Mathis Leung&lt;/author&gt;&lt;author&gt;Wagner, Horst&lt;/author&gt;&lt;author&gt;Yakushev, Vladimir&lt;/author&gt;&lt;/authors&gt;&lt;/contributors&gt;&lt;titles&gt;&lt;title&gt;Chapter 7 - Energy Resources and Potentials&lt;/title&gt;&lt;secondary-title&gt;Global Energy Assessment - Toward a Sustainable Future&lt;/secondary-title&gt;&lt;short-title&gt;Chapter 7 - Energy Resources and Potentials&lt;/short-title&gt;&lt;/titles&gt;&lt;pages&gt;423-512&lt;/pages&gt;&lt;dates&gt;&lt;year&gt;2012&lt;/year&gt;&lt;/dates&gt;&lt;pub-location&gt;Cambridge University Press, Cambridge, UK and New York, NY, USA and the International Institute for Applied Systems Analysis, Laxenburg, Austria&lt;/pub-location&gt;&lt;isbn&gt;9781 10700 5198 hardback 9780 52118 2935 paperback&lt;/isbn&gt;&lt;urls&gt;&lt;related-urls&gt;&lt;url&gt;www.globalenergyassessment.org&lt;/url&gt;&lt;/related-urls&gt;&lt;/urls&gt;&lt;/record&gt;&lt;/Cite&gt;&lt;/EndNote&gt;</w:instrText>
      </w:r>
      <w:r w:rsidR="00724467">
        <w:rPr>
          <w:lang w:val="en-GB"/>
        </w:rPr>
        <w:fldChar w:fldCharType="separate"/>
      </w:r>
      <w:r w:rsidR="00724467">
        <w:rPr>
          <w:noProof/>
          <w:lang w:val="en-GB"/>
        </w:rPr>
        <w:t>(Rogner et al., 2012)</w:t>
      </w:r>
      <w:r w:rsidR="00724467">
        <w:rPr>
          <w:lang w:val="en-GB"/>
        </w:rPr>
        <w:fldChar w:fldCharType="end"/>
      </w:r>
      <w:r w:rsidR="00724467">
        <w:rPr>
          <w:lang w:val="en-GB"/>
        </w:rPr>
        <w:t xml:space="preserve"> as initially reported in Table 17.C.1 of Riahi et al. </w:t>
      </w:r>
      <w:r w:rsidR="00724467">
        <w:rPr>
          <w:lang w:val="en-GB"/>
        </w:rPr>
        <w:fldChar w:fldCharType="begin"/>
      </w:r>
      <w:r w:rsidR="00724467">
        <w:rPr>
          <w:lang w:val="en-GB"/>
        </w:rPr>
        <w:instrText xml:space="preserve"> ADDIN EN.CITE &lt;EndNote&gt;&lt;Cite ExcludeAuth="1"&gt;&lt;Author&gt;Riahi&lt;/Author&gt;&lt;Year&gt;2012&lt;/Year&gt;&lt;RecNum&gt;4588&lt;/RecNum&gt;&lt;DisplayText&gt;(2012)&lt;/DisplayText&gt;&lt;record&gt;&lt;rec-number&gt;4588&lt;/rec-number&gt;&lt;foreign-keys&gt;&lt;key app="EN" db-id="e2vzee9zparzwaexw9qxadxmr00vr5rte9p0" timestamp="1345818097"&gt;4588&lt;/key&gt;&lt;/foreign-keys&gt;&lt;ref-type name="Book Section"&gt;5&lt;/ref-type&gt;&lt;contributors&gt;&lt;authors&gt;&lt;author&gt;Riahi, Keywan&lt;/author&gt;&lt;author&gt;Dentener, Frank&lt;/author&gt;&lt;author&gt;Gielen, Dolf&lt;/author&gt;&lt;author&gt;Grubler, Arnulf&lt;/author&gt;&lt;author&gt;Jewell, Jessica&lt;/author&gt;&lt;author&gt;Klimont, Zbigniew&lt;/author&gt;&lt;author&gt;Krey, Volker&lt;/author&gt;&lt;author&gt;McCollum, David&lt;/author&gt;&lt;author&gt;Pachauri, Shonali&lt;/author&gt;&lt;author&gt;Rao, Shilpa&lt;/author&gt;&lt;author&gt;van Ruijven, Bas&lt;/author&gt;&lt;author&gt;van Vuuren, Detlef P.&lt;/author&gt;&lt;author&gt;Wilson, Charlie&lt;/author&gt;&lt;/authors&gt;&lt;/contributors&gt;&lt;titles&gt;&lt;title&gt;Chapter 17 - Energy Pathways for Sustainable Development&lt;/title&gt;&lt;secondary-title&gt;Global Energy Assessment - Toward a Sustainable Future&lt;/secondary-title&gt;&lt;short-title&gt;Chapter 17 - Energy Pathways for Sustainable Development&lt;/short-title&gt;&lt;/titles&gt;&lt;pages&gt;1203-1306&lt;/pages&gt;&lt;section&gt;17&lt;/section&gt;&lt;dates&gt;&lt;year&gt;2012&lt;/year&gt;&lt;/dates&gt;&lt;publisher&gt;Cambridge University Press, Cambridge, UK and New York, NY, USA and the International Institute for Applied Systems Analysis, Laxenburg, Austria&lt;/publisher&gt;&lt;isbn&gt;9781 10700 5198 hardback 9780 52118 2935 paperback&lt;/isbn&gt;&lt;urls&gt;&lt;related-urls&gt;&lt;url&gt;www.globalenergyassessment.org&lt;/url&gt;&lt;/related-urls&gt;&lt;/urls&gt;&lt;/record&gt;&lt;/Cite&gt;&lt;/EndNote&gt;</w:instrText>
      </w:r>
      <w:r w:rsidR="00724467">
        <w:rPr>
          <w:lang w:val="en-GB"/>
        </w:rPr>
        <w:fldChar w:fldCharType="separate"/>
      </w:r>
      <w:r w:rsidR="00724467">
        <w:rPr>
          <w:noProof/>
          <w:lang w:val="en-GB"/>
        </w:rPr>
        <w:t>(2012)</w:t>
      </w:r>
      <w:r w:rsidR="00724467">
        <w:rPr>
          <w:lang w:val="en-GB"/>
        </w:rPr>
        <w:fldChar w:fldCharType="end"/>
      </w:r>
      <w:r w:rsidR="00724467">
        <w:rPr>
          <w:lang w:val="en-GB"/>
        </w:rPr>
        <w:t>.</w:t>
      </w:r>
      <w:r w:rsidR="009A023D">
        <w:rPr>
          <w:lang w:val="en-GB"/>
        </w:rPr>
        <w:t xml:space="preserve"> </w:t>
      </w:r>
      <w:r w:rsidR="00724467">
        <w:rPr>
          <w:lang w:val="en-GB"/>
        </w:rPr>
        <w:t xml:space="preserve">Resource availability in MESSAGE covers both reserves and resources. </w:t>
      </w:r>
    </w:p>
    <w:tbl>
      <w:tblPr>
        <w:tblW w:w="9214" w:type="dxa"/>
        <w:jc w:val="center"/>
        <w:tblLook w:val="04A0" w:firstRow="1" w:lastRow="0" w:firstColumn="1" w:lastColumn="0" w:noHBand="0" w:noVBand="1"/>
      </w:tblPr>
      <w:tblGrid>
        <w:gridCol w:w="1395"/>
        <w:gridCol w:w="975"/>
        <w:gridCol w:w="975"/>
        <w:gridCol w:w="975"/>
        <w:gridCol w:w="2447"/>
        <w:gridCol w:w="2447"/>
      </w:tblGrid>
      <w:tr w:rsidR="00724467" w:rsidRPr="00C3223D" w14:paraId="587FF174" w14:textId="46868AD2" w:rsidTr="00F14538">
        <w:trPr>
          <w:trHeight w:val="315"/>
          <w:jc w:val="center"/>
        </w:trPr>
        <w:tc>
          <w:tcPr>
            <w:tcW w:w="4320" w:type="dxa"/>
            <w:gridSpan w:val="4"/>
            <w:tcBorders>
              <w:top w:val="single" w:sz="4" w:space="0" w:color="auto"/>
              <w:bottom w:val="single" w:sz="4" w:space="0" w:color="auto"/>
            </w:tcBorders>
            <w:shd w:val="clear" w:color="auto" w:fill="auto"/>
            <w:noWrap/>
            <w:vAlign w:val="bottom"/>
            <w:hideMark/>
          </w:tcPr>
          <w:p w14:paraId="5EFE2FE3" w14:textId="77777777" w:rsidR="00724467" w:rsidRPr="00C3223D" w:rsidRDefault="00724467" w:rsidP="001D3164">
            <w:pPr>
              <w:spacing w:after="0" w:line="240" w:lineRule="auto"/>
              <w:jc w:val="center"/>
              <w:rPr>
                <w:rFonts w:ascii="Calibri" w:eastAsia="Times New Roman" w:hAnsi="Calibri" w:cs="Times New Roman"/>
                <w:b/>
                <w:bCs/>
                <w:color w:val="000000"/>
              </w:rPr>
            </w:pPr>
            <w:r w:rsidRPr="00C3223D">
              <w:rPr>
                <w:rFonts w:ascii="Calibri" w:eastAsia="Times New Roman" w:hAnsi="Calibri" w:cs="Times New Roman"/>
                <w:b/>
                <w:bCs/>
                <w:color w:val="000000"/>
              </w:rPr>
              <w:t>Resource Availability in ZJ</w:t>
            </w:r>
          </w:p>
        </w:tc>
        <w:tc>
          <w:tcPr>
            <w:tcW w:w="4894" w:type="dxa"/>
            <w:gridSpan w:val="2"/>
            <w:tcBorders>
              <w:top w:val="single" w:sz="4" w:space="0" w:color="auto"/>
              <w:bottom w:val="single" w:sz="4" w:space="0" w:color="auto"/>
            </w:tcBorders>
          </w:tcPr>
          <w:p w14:paraId="32886F69" w14:textId="6ADF82FF" w:rsidR="00724467" w:rsidRDefault="00724467" w:rsidP="001D316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Literature range</w:t>
            </w:r>
          </w:p>
        </w:tc>
      </w:tr>
      <w:tr w:rsidR="00724467" w:rsidRPr="00BC42B8" w14:paraId="22D42808" w14:textId="3726CFCF" w:rsidTr="00F14538">
        <w:trPr>
          <w:trHeight w:val="315"/>
          <w:jc w:val="center"/>
        </w:trPr>
        <w:tc>
          <w:tcPr>
            <w:tcW w:w="1395" w:type="dxa"/>
            <w:tcBorders>
              <w:top w:val="single" w:sz="4" w:space="0" w:color="auto"/>
            </w:tcBorders>
            <w:shd w:val="clear" w:color="auto" w:fill="auto"/>
            <w:noWrap/>
            <w:vAlign w:val="bottom"/>
            <w:hideMark/>
          </w:tcPr>
          <w:p w14:paraId="3F5ECEC0" w14:textId="4F070FC6" w:rsidR="00724467" w:rsidRPr="00BC42B8" w:rsidRDefault="00517C67" w:rsidP="001D3164">
            <w:pPr>
              <w:spacing w:after="0" w:line="240" w:lineRule="auto"/>
              <w:rPr>
                <w:rFonts w:ascii="Calibri" w:eastAsia="Times New Roman" w:hAnsi="Calibri" w:cs="Times New Roman"/>
                <w:b/>
                <w:bCs/>
                <w:i/>
                <w:color w:val="000000"/>
              </w:rPr>
            </w:pPr>
            <w:r>
              <w:rPr>
                <w:rFonts w:ascii="Calibri" w:eastAsia="Times New Roman" w:hAnsi="Calibri" w:cs="Times New Roman"/>
                <w:b/>
                <w:bCs/>
                <w:i/>
                <w:color w:val="000000"/>
              </w:rPr>
              <w:t>Ty</w:t>
            </w:r>
            <w:r w:rsidR="00724467" w:rsidRPr="00BC42B8">
              <w:rPr>
                <w:rFonts w:ascii="Calibri" w:eastAsia="Times New Roman" w:hAnsi="Calibri" w:cs="Times New Roman"/>
                <w:b/>
                <w:bCs/>
                <w:i/>
                <w:color w:val="000000"/>
              </w:rPr>
              <w:t>pe</w:t>
            </w:r>
          </w:p>
        </w:tc>
        <w:tc>
          <w:tcPr>
            <w:tcW w:w="975" w:type="dxa"/>
            <w:tcBorders>
              <w:top w:val="single" w:sz="4" w:space="0" w:color="auto"/>
            </w:tcBorders>
            <w:shd w:val="clear" w:color="auto" w:fill="auto"/>
            <w:noWrap/>
            <w:vAlign w:val="bottom"/>
            <w:hideMark/>
          </w:tcPr>
          <w:p w14:paraId="332E6CE6" w14:textId="77777777" w:rsidR="00724467" w:rsidRPr="00BC42B8" w:rsidRDefault="00724467" w:rsidP="001D3164">
            <w:pPr>
              <w:spacing w:after="0" w:line="240" w:lineRule="auto"/>
              <w:rPr>
                <w:rFonts w:ascii="Calibri" w:eastAsia="Times New Roman" w:hAnsi="Calibri" w:cs="Times New Roman"/>
                <w:b/>
                <w:bCs/>
                <w:i/>
                <w:color w:val="000000"/>
              </w:rPr>
            </w:pPr>
            <w:r w:rsidRPr="00BC42B8">
              <w:rPr>
                <w:rFonts w:ascii="Calibri" w:eastAsia="Times New Roman" w:hAnsi="Calibri" w:cs="Times New Roman"/>
                <w:b/>
                <w:bCs/>
                <w:i/>
                <w:color w:val="000000"/>
              </w:rPr>
              <w:t>SSP1</w:t>
            </w:r>
          </w:p>
        </w:tc>
        <w:tc>
          <w:tcPr>
            <w:tcW w:w="975" w:type="dxa"/>
            <w:tcBorders>
              <w:top w:val="single" w:sz="4" w:space="0" w:color="auto"/>
            </w:tcBorders>
            <w:shd w:val="clear" w:color="auto" w:fill="auto"/>
            <w:noWrap/>
            <w:vAlign w:val="bottom"/>
            <w:hideMark/>
          </w:tcPr>
          <w:p w14:paraId="17148288" w14:textId="77777777" w:rsidR="00724467" w:rsidRPr="00BC42B8" w:rsidRDefault="00724467" w:rsidP="001D3164">
            <w:pPr>
              <w:spacing w:after="0" w:line="240" w:lineRule="auto"/>
              <w:rPr>
                <w:rFonts w:ascii="Calibri" w:eastAsia="Times New Roman" w:hAnsi="Calibri" w:cs="Times New Roman"/>
                <w:b/>
                <w:bCs/>
                <w:i/>
                <w:color w:val="000000"/>
              </w:rPr>
            </w:pPr>
            <w:r w:rsidRPr="00BC42B8">
              <w:rPr>
                <w:rFonts w:ascii="Calibri" w:eastAsia="Times New Roman" w:hAnsi="Calibri" w:cs="Times New Roman"/>
                <w:b/>
                <w:bCs/>
                <w:i/>
                <w:color w:val="000000"/>
              </w:rPr>
              <w:t>SSP2</w:t>
            </w:r>
          </w:p>
        </w:tc>
        <w:tc>
          <w:tcPr>
            <w:tcW w:w="975" w:type="dxa"/>
            <w:tcBorders>
              <w:top w:val="single" w:sz="4" w:space="0" w:color="auto"/>
            </w:tcBorders>
            <w:shd w:val="clear" w:color="auto" w:fill="auto"/>
            <w:noWrap/>
            <w:vAlign w:val="bottom"/>
            <w:hideMark/>
          </w:tcPr>
          <w:p w14:paraId="08E0601F" w14:textId="77777777" w:rsidR="00724467" w:rsidRPr="00BC42B8" w:rsidRDefault="00724467" w:rsidP="001D3164">
            <w:pPr>
              <w:spacing w:after="0" w:line="240" w:lineRule="auto"/>
              <w:rPr>
                <w:rFonts w:ascii="Calibri" w:eastAsia="Times New Roman" w:hAnsi="Calibri" w:cs="Times New Roman"/>
                <w:b/>
                <w:bCs/>
                <w:i/>
                <w:color w:val="000000"/>
              </w:rPr>
            </w:pPr>
            <w:r w:rsidRPr="00BC42B8">
              <w:rPr>
                <w:rFonts w:ascii="Calibri" w:eastAsia="Times New Roman" w:hAnsi="Calibri" w:cs="Times New Roman"/>
                <w:b/>
                <w:bCs/>
                <w:i/>
                <w:color w:val="000000"/>
              </w:rPr>
              <w:t>SSP3</w:t>
            </w:r>
          </w:p>
        </w:tc>
        <w:tc>
          <w:tcPr>
            <w:tcW w:w="2447" w:type="dxa"/>
            <w:tcBorders>
              <w:top w:val="single" w:sz="4" w:space="0" w:color="auto"/>
            </w:tcBorders>
          </w:tcPr>
          <w:p w14:paraId="3BE6C36D" w14:textId="1BB15053" w:rsidR="00724467" w:rsidRPr="00BC42B8" w:rsidRDefault="00724467" w:rsidP="00517C67">
            <w:pPr>
              <w:spacing w:after="0" w:line="240" w:lineRule="auto"/>
              <w:jc w:val="center"/>
              <w:rPr>
                <w:rFonts w:ascii="Calibri" w:eastAsia="Times New Roman" w:hAnsi="Calibri" w:cs="Times New Roman"/>
                <w:b/>
                <w:bCs/>
                <w:i/>
                <w:color w:val="000000"/>
              </w:rPr>
            </w:pPr>
            <w:r>
              <w:rPr>
                <w:rFonts w:ascii="Calibri" w:eastAsia="Times New Roman" w:hAnsi="Calibri" w:cs="Times New Roman"/>
                <w:b/>
                <w:bCs/>
                <w:i/>
                <w:color w:val="000000"/>
              </w:rPr>
              <w:t>Reserves</w:t>
            </w:r>
          </w:p>
        </w:tc>
        <w:tc>
          <w:tcPr>
            <w:tcW w:w="2447" w:type="dxa"/>
            <w:tcBorders>
              <w:top w:val="single" w:sz="4" w:space="0" w:color="auto"/>
            </w:tcBorders>
          </w:tcPr>
          <w:p w14:paraId="66FF08AC" w14:textId="04813C02" w:rsidR="00724467" w:rsidRPr="00BC42B8" w:rsidRDefault="00724467" w:rsidP="00517C67">
            <w:pPr>
              <w:spacing w:after="0" w:line="240" w:lineRule="auto"/>
              <w:jc w:val="center"/>
              <w:rPr>
                <w:rFonts w:ascii="Calibri" w:eastAsia="Times New Roman" w:hAnsi="Calibri" w:cs="Times New Roman"/>
                <w:b/>
                <w:bCs/>
                <w:i/>
                <w:color w:val="000000"/>
              </w:rPr>
            </w:pPr>
            <w:r>
              <w:rPr>
                <w:rFonts w:ascii="Calibri" w:eastAsia="Times New Roman" w:hAnsi="Calibri" w:cs="Times New Roman"/>
                <w:b/>
                <w:bCs/>
                <w:i/>
                <w:color w:val="000000"/>
              </w:rPr>
              <w:t>Resources</w:t>
            </w:r>
          </w:p>
        </w:tc>
      </w:tr>
      <w:tr w:rsidR="00F14538" w:rsidRPr="00F14538" w14:paraId="71E0FFD7" w14:textId="60FC8B78" w:rsidTr="00F14538">
        <w:trPr>
          <w:trHeight w:val="300"/>
          <w:jc w:val="center"/>
        </w:trPr>
        <w:tc>
          <w:tcPr>
            <w:tcW w:w="1395" w:type="dxa"/>
            <w:shd w:val="clear" w:color="auto" w:fill="auto"/>
            <w:noWrap/>
            <w:vAlign w:val="center"/>
            <w:hideMark/>
          </w:tcPr>
          <w:p w14:paraId="4010792C" w14:textId="77777777" w:rsidR="00F14538" w:rsidRPr="00F14538" w:rsidRDefault="00F14538" w:rsidP="00F14538">
            <w:pPr>
              <w:spacing w:after="0" w:line="240" w:lineRule="auto"/>
              <w:jc w:val="center"/>
              <w:rPr>
                <w:rFonts w:ascii="Calibri" w:eastAsia="Times New Roman" w:hAnsi="Calibri" w:cs="Times New Roman"/>
                <w:b/>
                <w:color w:val="000000"/>
                <w:sz w:val="18"/>
              </w:rPr>
            </w:pPr>
            <w:r w:rsidRPr="00F14538">
              <w:rPr>
                <w:rFonts w:ascii="Calibri" w:eastAsia="Times New Roman" w:hAnsi="Calibri" w:cs="Times New Roman"/>
                <w:b/>
                <w:color w:val="000000"/>
                <w:sz w:val="18"/>
              </w:rPr>
              <w:t>Coal</w:t>
            </w:r>
          </w:p>
        </w:tc>
        <w:tc>
          <w:tcPr>
            <w:tcW w:w="975" w:type="dxa"/>
            <w:shd w:val="clear" w:color="auto" w:fill="auto"/>
            <w:noWrap/>
            <w:vAlign w:val="center"/>
            <w:hideMark/>
          </w:tcPr>
          <w:p w14:paraId="530564A6" w14:textId="1E42CF4D" w:rsidR="00F14538" w:rsidRPr="00F14538" w:rsidRDefault="007203AE"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93</w:t>
            </w:r>
          </w:p>
        </w:tc>
        <w:tc>
          <w:tcPr>
            <w:tcW w:w="975" w:type="dxa"/>
            <w:shd w:val="clear" w:color="auto" w:fill="auto"/>
            <w:noWrap/>
            <w:vAlign w:val="center"/>
            <w:hideMark/>
          </w:tcPr>
          <w:p w14:paraId="10F32214" w14:textId="7448B07C" w:rsidR="00F14538" w:rsidRPr="00F14538" w:rsidRDefault="004C2ED2"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92</w:t>
            </w:r>
          </w:p>
        </w:tc>
        <w:tc>
          <w:tcPr>
            <w:tcW w:w="975" w:type="dxa"/>
            <w:shd w:val="clear" w:color="auto" w:fill="auto"/>
            <w:noWrap/>
            <w:vAlign w:val="center"/>
            <w:hideMark/>
          </w:tcPr>
          <w:p w14:paraId="5A6F10B6" w14:textId="0417820F" w:rsidR="00F14538" w:rsidRPr="00F14538" w:rsidRDefault="007203AE"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243</w:t>
            </w:r>
          </w:p>
        </w:tc>
        <w:tc>
          <w:tcPr>
            <w:tcW w:w="2447" w:type="dxa"/>
            <w:vAlign w:val="center"/>
          </w:tcPr>
          <w:p w14:paraId="29AD2CD5" w14:textId="1A0265E9" w:rsidR="00F14538" w:rsidRPr="00F14538" w:rsidRDefault="00F14538" w:rsidP="00F14538">
            <w:pPr>
              <w:spacing w:after="0" w:line="240" w:lineRule="auto"/>
              <w:jc w:val="center"/>
              <w:rPr>
                <w:rFonts w:ascii="Calibri" w:eastAsia="Times New Roman" w:hAnsi="Calibri" w:cs="Times New Roman"/>
                <w:color w:val="000000"/>
                <w:sz w:val="18"/>
              </w:rPr>
            </w:pPr>
            <w:r w:rsidRPr="00F14538">
              <w:rPr>
                <w:rFonts w:ascii="Calibri" w:eastAsia="Times New Roman" w:hAnsi="Calibri" w:cs="Times New Roman"/>
                <w:color w:val="000000"/>
                <w:sz w:val="18"/>
              </w:rPr>
              <w:t>17.3 – 21.0</w:t>
            </w:r>
          </w:p>
        </w:tc>
        <w:tc>
          <w:tcPr>
            <w:tcW w:w="2447" w:type="dxa"/>
            <w:vAlign w:val="center"/>
          </w:tcPr>
          <w:p w14:paraId="537F6464" w14:textId="3EE81C92" w:rsidR="00F14538" w:rsidRPr="00F14538" w:rsidRDefault="00F14538" w:rsidP="00F14538">
            <w:pPr>
              <w:spacing w:after="0" w:line="240" w:lineRule="auto"/>
              <w:jc w:val="center"/>
              <w:rPr>
                <w:rFonts w:ascii="Calibri" w:eastAsia="Times New Roman" w:hAnsi="Calibri" w:cs="Times New Roman"/>
                <w:color w:val="000000"/>
                <w:sz w:val="18"/>
              </w:rPr>
            </w:pPr>
            <w:r w:rsidRPr="00F14538">
              <w:rPr>
                <w:rFonts w:ascii="Calibri" w:eastAsia="Times New Roman" w:hAnsi="Calibri" w:cs="Times New Roman"/>
                <w:color w:val="000000"/>
                <w:sz w:val="18"/>
              </w:rPr>
              <w:t>291 – 435</w:t>
            </w:r>
          </w:p>
        </w:tc>
      </w:tr>
      <w:tr w:rsidR="00F14538" w:rsidRPr="00F14538" w14:paraId="43A5CF22" w14:textId="593B3C73" w:rsidTr="00F14538">
        <w:trPr>
          <w:trHeight w:val="300"/>
          <w:jc w:val="center"/>
        </w:trPr>
        <w:tc>
          <w:tcPr>
            <w:tcW w:w="1395" w:type="dxa"/>
            <w:shd w:val="clear" w:color="auto" w:fill="auto"/>
            <w:noWrap/>
            <w:vAlign w:val="center"/>
            <w:hideMark/>
          </w:tcPr>
          <w:p w14:paraId="5FC3C042" w14:textId="77777777" w:rsidR="00F14538" w:rsidRPr="00F14538" w:rsidRDefault="00F14538" w:rsidP="00F14538">
            <w:pPr>
              <w:spacing w:after="0" w:line="240" w:lineRule="auto"/>
              <w:jc w:val="center"/>
              <w:rPr>
                <w:rFonts w:ascii="Calibri" w:eastAsia="Times New Roman" w:hAnsi="Calibri" w:cs="Times New Roman"/>
                <w:b/>
                <w:color w:val="000000"/>
                <w:sz w:val="18"/>
              </w:rPr>
            </w:pPr>
            <w:r w:rsidRPr="00F14538">
              <w:rPr>
                <w:rFonts w:ascii="Calibri" w:eastAsia="Times New Roman" w:hAnsi="Calibri" w:cs="Times New Roman"/>
                <w:b/>
                <w:color w:val="000000"/>
                <w:sz w:val="18"/>
              </w:rPr>
              <w:t>Oil</w:t>
            </w:r>
          </w:p>
        </w:tc>
        <w:tc>
          <w:tcPr>
            <w:tcW w:w="975" w:type="dxa"/>
            <w:shd w:val="clear" w:color="auto" w:fill="auto"/>
            <w:noWrap/>
            <w:vAlign w:val="center"/>
            <w:hideMark/>
          </w:tcPr>
          <w:p w14:paraId="73B38634" w14:textId="46D6B129" w:rsidR="00F14538" w:rsidRPr="00F14538" w:rsidRDefault="004C2ED2"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17</w:t>
            </w:r>
          </w:p>
        </w:tc>
        <w:tc>
          <w:tcPr>
            <w:tcW w:w="975" w:type="dxa"/>
            <w:shd w:val="clear" w:color="auto" w:fill="auto"/>
            <w:noWrap/>
            <w:vAlign w:val="center"/>
            <w:hideMark/>
          </w:tcPr>
          <w:p w14:paraId="49307E1D" w14:textId="07431FD6" w:rsidR="00F14538" w:rsidRPr="00F14538" w:rsidRDefault="004C2ED2"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40</w:t>
            </w:r>
          </w:p>
        </w:tc>
        <w:tc>
          <w:tcPr>
            <w:tcW w:w="975" w:type="dxa"/>
            <w:shd w:val="clear" w:color="auto" w:fill="auto"/>
            <w:noWrap/>
            <w:vAlign w:val="center"/>
            <w:hideMark/>
          </w:tcPr>
          <w:p w14:paraId="6462F6E0" w14:textId="14E53F10" w:rsidR="00F14538" w:rsidRPr="00F14538" w:rsidRDefault="007203AE"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17</w:t>
            </w:r>
          </w:p>
        </w:tc>
        <w:tc>
          <w:tcPr>
            <w:tcW w:w="2447" w:type="dxa"/>
            <w:vAlign w:val="center"/>
          </w:tcPr>
          <w:p w14:paraId="01E8829D" w14:textId="274FD486" w:rsidR="00F14538" w:rsidRPr="00F14538" w:rsidRDefault="00F14538" w:rsidP="00F14538">
            <w:pPr>
              <w:spacing w:after="0" w:line="240" w:lineRule="auto"/>
              <w:jc w:val="center"/>
              <w:rPr>
                <w:rFonts w:ascii="Calibri" w:eastAsia="Times New Roman" w:hAnsi="Calibri" w:cs="Times New Roman"/>
                <w:color w:val="000000"/>
                <w:sz w:val="18"/>
              </w:rPr>
            </w:pPr>
            <w:r w:rsidRPr="00F14538">
              <w:rPr>
                <w:rFonts w:ascii="Calibri" w:eastAsia="Times New Roman" w:hAnsi="Calibri" w:cs="Times New Roman"/>
                <w:color w:val="000000"/>
                <w:sz w:val="18"/>
              </w:rPr>
              <w:t>4.0 – 7.6 (conventional)</w:t>
            </w:r>
            <w:r>
              <w:rPr>
                <w:rFonts w:ascii="Calibri" w:eastAsia="Times New Roman" w:hAnsi="Calibri" w:cs="Times New Roman"/>
                <w:color w:val="000000"/>
                <w:sz w:val="18"/>
              </w:rPr>
              <w:br/>
            </w:r>
            <w:r w:rsidRPr="00F14538">
              <w:rPr>
                <w:rFonts w:ascii="Calibri" w:eastAsia="Times New Roman" w:hAnsi="Calibri" w:cs="Times New Roman"/>
                <w:color w:val="000000"/>
                <w:sz w:val="18"/>
              </w:rPr>
              <w:t>3.8 – 5.6</w:t>
            </w:r>
            <w:r>
              <w:rPr>
                <w:rFonts w:ascii="Calibri" w:eastAsia="Times New Roman" w:hAnsi="Calibri" w:cs="Times New Roman"/>
                <w:color w:val="000000"/>
                <w:sz w:val="18"/>
              </w:rPr>
              <w:t xml:space="preserve"> (unconventional)</w:t>
            </w:r>
          </w:p>
        </w:tc>
        <w:tc>
          <w:tcPr>
            <w:tcW w:w="2447" w:type="dxa"/>
            <w:vAlign w:val="center"/>
          </w:tcPr>
          <w:p w14:paraId="508AE5BD" w14:textId="0AB906EF" w:rsidR="00F14538" w:rsidRPr="00F14538" w:rsidRDefault="00F14538" w:rsidP="00F14538">
            <w:pPr>
              <w:spacing w:after="0" w:line="240" w:lineRule="auto"/>
              <w:jc w:val="center"/>
              <w:rPr>
                <w:rFonts w:ascii="Calibri" w:eastAsia="Times New Roman" w:hAnsi="Calibri" w:cs="Times New Roman"/>
                <w:color w:val="000000"/>
                <w:sz w:val="18"/>
              </w:rPr>
            </w:pPr>
            <w:r w:rsidRPr="00F14538">
              <w:rPr>
                <w:rFonts w:ascii="Calibri" w:eastAsia="Times New Roman" w:hAnsi="Calibri" w:cs="Times New Roman"/>
                <w:color w:val="000000"/>
                <w:sz w:val="18"/>
              </w:rPr>
              <w:t>4.2 – 6.2</w:t>
            </w:r>
            <w:r>
              <w:rPr>
                <w:rFonts w:ascii="Calibri" w:eastAsia="Times New Roman" w:hAnsi="Calibri" w:cs="Times New Roman"/>
                <w:color w:val="000000"/>
                <w:sz w:val="18"/>
              </w:rPr>
              <w:t xml:space="preserve"> (conventional)</w:t>
            </w:r>
            <w:r>
              <w:rPr>
                <w:rFonts w:ascii="Calibri" w:eastAsia="Times New Roman" w:hAnsi="Calibri" w:cs="Times New Roman"/>
                <w:color w:val="000000"/>
                <w:sz w:val="18"/>
              </w:rPr>
              <w:br/>
              <w:t>11.3 – 14.9 (unconventional)</w:t>
            </w:r>
          </w:p>
        </w:tc>
      </w:tr>
      <w:tr w:rsidR="00F14538" w:rsidRPr="00F14538" w14:paraId="4F8C4688" w14:textId="7B9C54F4" w:rsidTr="00F14538">
        <w:trPr>
          <w:trHeight w:val="315"/>
          <w:jc w:val="center"/>
        </w:trPr>
        <w:tc>
          <w:tcPr>
            <w:tcW w:w="1395" w:type="dxa"/>
            <w:tcBorders>
              <w:bottom w:val="single" w:sz="4" w:space="0" w:color="auto"/>
            </w:tcBorders>
            <w:shd w:val="clear" w:color="auto" w:fill="auto"/>
            <w:noWrap/>
            <w:vAlign w:val="center"/>
            <w:hideMark/>
          </w:tcPr>
          <w:p w14:paraId="4B082A6F" w14:textId="77777777" w:rsidR="00F14538" w:rsidRPr="00F14538" w:rsidRDefault="00F14538" w:rsidP="00F14538">
            <w:pPr>
              <w:spacing w:after="0" w:line="240" w:lineRule="auto"/>
              <w:jc w:val="center"/>
              <w:rPr>
                <w:rFonts w:ascii="Calibri" w:eastAsia="Times New Roman" w:hAnsi="Calibri" w:cs="Times New Roman"/>
                <w:b/>
                <w:color w:val="000000"/>
                <w:sz w:val="18"/>
              </w:rPr>
            </w:pPr>
            <w:r w:rsidRPr="00F14538">
              <w:rPr>
                <w:rFonts w:ascii="Calibri" w:eastAsia="Times New Roman" w:hAnsi="Calibri" w:cs="Times New Roman"/>
                <w:b/>
                <w:color w:val="000000"/>
                <w:sz w:val="18"/>
              </w:rPr>
              <w:t>Gas</w:t>
            </w:r>
          </w:p>
        </w:tc>
        <w:tc>
          <w:tcPr>
            <w:tcW w:w="975" w:type="dxa"/>
            <w:tcBorders>
              <w:bottom w:val="single" w:sz="4" w:space="0" w:color="auto"/>
            </w:tcBorders>
            <w:shd w:val="clear" w:color="auto" w:fill="auto"/>
            <w:noWrap/>
            <w:vAlign w:val="center"/>
            <w:hideMark/>
          </w:tcPr>
          <w:p w14:paraId="1350D16C" w14:textId="4ABFB062" w:rsidR="00F14538" w:rsidRPr="00F14538" w:rsidRDefault="004C2ED2"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39</w:t>
            </w:r>
          </w:p>
        </w:tc>
        <w:tc>
          <w:tcPr>
            <w:tcW w:w="975" w:type="dxa"/>
            <w:tcBorders>
              <w:bottom w:val="single" w:sz="4" w:space="0" w:color="auto"/>
            </w:tcBorders>
            <w:shd w:val="clear" w:color="auto" w:fill="auto"/>
            <w:noWrap/>
            <w:vAlign w:val="center"/>
            <w:hideMark/>
          </w:tcPr>
          <w:p w14:paraId="1E7EE1B2" w14:textId="3BAAFFD8" w:rsidR="00F14538" w:rsidRPr="00F14538" w:rsidRDefault="004C2ED2"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37</w:t>
            </w:r>
          </w:p>
        </w:tc>
        <w:tc>
          <w:tcPr>
            <w:tcW w:w="975" w:type="dxa"/>
            <w:tcBorders>
              <w:bottom w:val="single" w:sz="4" w:space="0" w:color="auto"/>
            </w:tcBorders>
            <w:shd w:val="clear" w:color="auto" w:fill="auto"/>
            <w:noWrap/>
            <w:vAlign w:val="center"/>
            <w:hideMark/>
          </w:tcPr>
          <w:p w14:paraId="04A52BC1" w14:textId="39B0F279" w:rsidR="00F14538" w:rsidRPr="00F14538" w:rsidRDefault="007203AE" w:rsidP="00F14538">
            <w:pPr>
              <w:spacing w:after="0" w:line="240" w:lineRule="auto"/>
              <w:jc w:val="center"/>
              <w:rPr>
                <w:rFonts w:ascii="Calibri" w:eastAsia="Times New Roman" w:hAnsi="Calibri" w:cs="Times New Roman"/>
                <w:color w:val="000000"/>
                <w:sz w:val="18"/>
              </w:rPr>
            </w:pPr>
            <w:r>
              <w:rPr>
                <w:rFonts w:ascii="Calibri" w:eastAsia="Times New Roman" w:hAnsi="Calibri" w:cs="Times New Roman"/>
                <w:color w:val="000000"/>
                <w:sz w:val="18"/>
              </w:rPr>
              <w:t>24</w:t>
            </w:r>
          </w:p>
        </w:tc>
        <w:tc>
          <w:tcPr>
            <w:tcW w:w="2447" w:type="dxa"/>
            <w:tcBorders>
              <w:bottom w:val="single" w:sz="4" w:space="0" w:color="auto"/>
            </w:tcBorders>
            <w:vAlign w:val="center"/>
          </w:tcPr>
          <w:p w14:paraId="7AB036D1" w14:textId="3D75F23F" w:rsidR="00F14538" w:rsidRPr="00F14538" w:rsidRDefault="00F14538" w:rsidP="00F14538">
            <w:pPr>
              <w:spacing w:after="0" w:line="240" w:lineRule="auto"/>
              <w:jc w:val="center"/>
              <w:rPr>
                <w:rFonts w:ascii="Calibri" w:eastAsia="Times New Roman" w:hAnsi="Calibri" w:cs="Times New Roman"/>
                <w:color w:val="000000"/>
                <w:sz w:val="18"/>
              </w:rPr>
            </w:pPr>
            <w:r w:rsidRPr="00F14538">
              <w:rPr>
                <w:rFonts w:ascii="Calibri" w:eastAsia="Times New Roman" w:hAnsi="Calibri" w:cs="Times New Roman"/>
                <w:color w:val="000000"/>
                <w:sz w:val="18"/>
              </w:rPr>
              <w:t>5.0 – 7.1</w:t>
            </w:r>
            <w:r>
              <w:rPr>
                <w:rFonts w:ascii="Calibri" w:eastAsia="Times New Roman" w:hAnsi="Calibri" w:cs="Times New Roman"/>
                <w:color w:val="000000"/>
                <w:sz w:val="18"/>
              </w:rPr>
              <w:t xml:space="preserve"> (conventional)</w:t>
            </w:r>
            <w:r>
              <w:rPr>
                <w:rFonts w:ascii="Calibri" w:eastAsia="Times New Roman" w:hAnsi="Calibri" w:cs="Times New Roman"/>
                <w:color w:val="000000"/>
                <w:sz w:val="18"/>
              </w:rPr>
              <w:br/>
            </w:r>
            <w:r w:rsidRPr="00F14538">
              <w:rPr>
                <w:rFonts w:ascii="Calibri" w:eastAsia="Times New Roman" w:hAnsi="Calibri" w:cs="Times New Roman"/>
                <w:color w:val="000000"/>
                <w:sz w:val="18"/>
              </w:rPr>
              <w:t>20.1 – 67.1</w:t>
            </w:r>
            <w:r>
              <w:rPr>
                <w:rFonts w:ascii="Calibri" w:eastAsia="Times New Roman" w:hAnsi="Calibri" w:cs="Times New Roman"/>
                <w:color w:val="000000"/>
                <w:sz w:val="18"/>
              </w:rPr>
              <w:t xml:space="preserve"> (unconventional)</w:t>
            </w:r>
          </w:p>
        </w:tc>
        <w:tc>
          <w:tcPr>
            <w:tcW w:w="2447" w:type="dxa"/>
            <w:tcBorders>
              <w:bottom w:val="single" w:sz="4" w:space="0" w:color="auto"/>
            </w:tcBorders>
            <w:vAlign w:val="center"/>
          </w:tcPr>
          <w:p w14:paraId="377417EA" w14:textId="200E33A3" w:rsidR="00F14538" w:rsidRPr="00F14538" w:rsidRDefault="00F14538" w:rsidP="00F14538">
            <w:pPr>
              <w:spacing w:after="0" w:line="240" w:lineRule="auto"/>
              <w:jc w:val="center"/>
              <w:rPr>
                <w:rFonts w:ascii="Calibri" w:eastAsia="Times New Roman" w:hAnsi="Calibri" w:cs="Times New Roman"/>
                <w:color w:val="000000"/>
                <w:sz w:val="18"/>
              </w:rPr>
            </w:pPr>
            <w:r w:rsidRPr="00F14538">
              <w:rPr>
                <w:rFonts w:ascii="Calibri" w:eastAsia="Times New Roman" w:hAnsi="Calibri" w:cs="Times New Roman"/>
                <w:color w:val="000000"/>
                <w:sz w:val="18"/>
              </w:rPr>
              <w:t>7.2 – 8.9</w:t>
            </w:r>
            <w:r>
              <w:rPr>
                <w:rFonts w:ascii="Calibri" w:eastAsia="Times New Roman" w:hAnsi="Calibri" w:cs="Times New Roman"/>
                <w:color w:val="000000"/>
                <w:sz w:val="18"/>
              </w:rPr>
              <w:t xml:space="preserve"> (conventional)</w:t>
            </w:r>
            <w:r>
              <w:rPr>
                <w:rFonts w:ascii="Calibri" w:eastAsia="Times New Roman" w:hAnsi="Calibri" w:cs="Times New Roman"/>
                <w:color w:val="000000"/>
                <w:sz w:val="18"/>
              </w:rPr>
              <w:br/>
            </w:r>
            <w:r w:rsidRPr="00F14538">
              <w:rPr>
                <w:rFonts w:ascii="Calibri" w:eastAsia="Times New Roman" w:hAnsi="Calibri" w:cs="Times New Roman"/>
                <w:color w:val="000000"/>
                <w:sz w:val="18"/>
              </w:rPr>
              <w:t>40.2 – 122</w:t>
            </w:r>
            <w:r>
              <w:rPr>
                <w:rFonts w:ascii="Calibri" w:eastAsia="Times New Roman" w:hAnsi="Calibri" w:cs="Times New Roman"/>
                <w:color w:val="000000"/>
                <w:sz w:val="18"/>
              </w:rPr>
              <w:t xml:space="preserve"> (unconventional)</w:t>
            </w:r>
          </w:p>
        </w:tc>
      </w:tr>
    </w:tbl>
    <w:p w14:paraId="537AAAD1" w14:textId="77777777" w:rsidR="007D3CAF" w:rsidRDefault="007D3CAF"/>
    <w:p w14:paraId="23F804D8" w14:textId="77777777" w:rsidR="00E359E5" w:rsidRDefault="00E359E5"/>
    <w:p w14:paraId="0723B429" w14:textId="77777777" w:rsidR="005F5E43" w:rsidRDefault="005F5E43"/>
    <w:p w14:paraId="5E6102A8" w14:textId="77777777" w:rsidR="005F5E43" w:rsidRDefault="005F5E43"/>
    <w:p w14:paraId="36E6F872" w14:textId="77777777" w:rsidR="003441EC" w:rsidRDefault="003441EC"/>
    <w:p w14:paraId="2CB9BF24" w14:textId="77777777" w:rsidR="003441EC" w:rsidRDefault="003441EC"/>
    <w:p w14:paraId="7CDEA20A" w14:textId="77777777" w:rsidR="00E359E5" w:rsidRDefault="00E359E5" w:rsidP="00E359E5">
      <w:pPr>
        <w:pStyle w:val="Heading2"/>
        <w:rPr>
          <w:lang w:val="en-GB"/>
        </w:rPr>
      </w:pPr>
      <w:bookmarkStart w:id="19" w:name="_Toc449104538"/>
      <w:r>
        <w:rPr>
          <w:lang w:val="en-GB"/>
        </w:rPr>
        <w:t>Energy demands in MESSAGE</w:t>
      </w:r>
      <w:bookmarkEnd w:id="19"/>
    </w:p>
    <w:p w14:paraId="03FB5618" w14:textId="5452E57F" w:rsidR="00E359E5" w:rsidRDefault="00E359E5" w:rsidP="00E359E5">
      <w:pPr>
        <w:pStyle w:val="Caption"/>
        <w:keepNext/>
        <w:spacing w:after="40"/>
        <w:jc w:val="both"/>
        <w:rPr>
          <w:lang w:val="en-GB"/>
        </w:rPr>
      </w:pPr>
      <w:bookmarkStart w:id="20" w:name="_Ref435633569"/>
      <w:r>
        <w:rPr>
          <w:lang w:val="en-GB"/>
        </w:rPr>
        <w:t xml:space="preserve">Table </w:t>
      </w:r>
      <w:r w:rsidR="00330359">
        <w:rPr>
          <w:lang w:val="en-GB"/>
        </w:rPr>
        <w:t>S3</w:t>
      </w:r>
      <w:r>
        <w:rPr>
          <w:lang w:val="en-GB"/>
        </w:rPr>
        <w:t xml:space="preserve">: </w:t>
      </w:r>
      <w:bookmarkEnd w:id="20"/>
      <w:r>
        <w:rPr>
          <w:lang w:val="en-GB"/>
        </w:rPr>
        <w:t>Energy demands represented in MESSAGE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359E5" w14:paraId="326D453C" w14:textId="77777777" w:rsidTr="001D3164">
        <w:tc>
          <w:tcPr>
            <w:tcW w:w="9062" w:type="dxa"/>
            <w:tcBorders>
              <w:top w:val="single" w:sz="4" w:space="0" w:color="auto"/>
              <w:bottom w:val="single" w:sz="4" w:space="0" w:color="auto"/>
            </w:tcBorders>
          </w:tcPr>
          <w:p w14:paraId="5C227EF4" w14:textId="77777777" w:rsidR="00E359E5" w:rsidRDefault="00E359E5" w:rsidP="001D3164">
            <w:pPr>
              <w:rPr>
                <w:lang w:val="en-GB"/>
              </w:rPr>
            </w:pPr>
            <w:r>
              <w:rPr>
                <w:lang w:val="en-GB"/>
              </w:rPr>
              <w:t>Energy demands represented in MESSAGE</w:t>
            </w:r>
          </w:p>
        </w:tc>
      </w:tr>
      <w:tr w:rsidR="00E359E5" w14:paraId="6F500029" w14:textId="77777777" w:rsidTr="001D3164">
        <w:tc>
          <w:tcPr>
            <w:tcW w:w="9062" w:type="dxa"/>
            <w:tcBorders>
              <w:top w:val="single" w:sz="4" w:space="0" w:color="auto"/>
            </w:tcBorders>
          </w:tcPr>
          <w:p w14:paraId="2505EC89" w14:textId="77777777" w:rsidR="00E359E5" w:rsidRPr="00E6517C" w:rsidRDefault="00E359E5" w:rsidP="001D3164">
            <w:pPr>
              <w:pStyle w:val="ListParagraph"/>
              <w:numPr>
                <w:ilvl w:val="0"/>
                <w:numId w:val="3"/>
              </w:numPr>
              <w:rPr>
                <w:lang w:val="en-GB"/>
              </w:rPr>
            </w:pPr>
            <w:r w:rsidRPr="00E6517C">
              <w:rPr>
                <w:lang w:val="en-GB"/>
              </w:rPr>
              <w:t>specific industrial</w:t>
            </w:r>
          </w:p>
        </w:tc>
      </w:tr>
      <w:tr w:rsidR="00E359E5" w14:paraId="3AE36967" w14:textId="77777777" w:rsidTr="001D3164">
        <w:tc>
          <w:tcPr>
            <w:tcW w:w="9062" w:type="dxa"/>
          </w:tcPr>
          <w:p w14:paraId="6B230E2B" w14:textId="77777777" w:rsidR="00E359E5" w:rsidRPr="00E6517C" w:rsidRDefault="00E359E5" w:rsidP="001D3164">
            <w:pPr>
              <w:pStyle w:val="ListParagraph"/>
              <w:numPr>
                <w:ilvl w:val="0"/>
                <w:numId w:val="3"/>
              </w:numPr>
              <w:rPr>
                <w:lang w:val="en-GB"/>
              </w:rPr>
            </w:pPr>
            <w:r w:rsidRPr="00E6517C">
              <w:rPr>
                <w:lang w:val="en-GB"/>
              </w:rPr>
              <w:t>thermal industrial</w:t>
            </w:r>
          </w:p>
        </w:tc>
      </w:tr>
      <w:tr w:rsidR="00E359E5" w14:paraId="1F84E8CE" w14:textId="77777777" w:rsidTr="001D3164">
        <w:tc>
          <w:tcPr>
            <w:tcW w:w="9062" w:type="dxa"/>
          </w:tcPr>
          <w:p w14:paraId="414F6FE8" w14:textId="77777777" w:rsidR="00E359E5" w:rsidRPr="00E6517C" w:rsidRDefault="00E359E5" w:rsidP="001D3164">
            <w:pPr>
              <w:pStyle w:val="ListParagraph"/>
              <w:numPr>
                <w:ilvl w:val="0"/>
                <w:numId w:val="3"/>
              </w:numPr>
              <w:rPr>
                <w:lang w:val="en-GB"/>
              </w:rPr>
            </w:pPr>
            <w:r>
              <w:rPr>
                <w:lang w:val="en-GB"/>
              </w:rPr>
              <w:t>feedstocks</w:t>
            </w:r>
          </w:p>
        </w:tc>
      </w:tr>
      <w:tr w:rsidR="00E359E5" w14:paraId="6BD2D759" w14:textId="77777777" w:rsidTr="001D3164">
        <w:tc>
          <w:tcPr>
            <w:tcW w:w="9062" w:type="dxa"/>
          </w:tcPr>
          <w:p w14:paraId="48E3F24A" w14:textId="77777777" w:rsidR="00E359E5" w:rsidRPr="00E6517C" w:rsidRDefault="00E359E5" w:rsidP="001D3164">
            <w:pPr>
              <w:pStyle w:val="ListParagraph"/>
              <w:numPr>
                <w:ilvl w:val="0"/>
                <w:numId w:val="3"/>
              </w:numPr>
              <w:rPr>
                <w:lang w:val="en-GB"/>
              </w:rPr>
            </w:pPr>
            <w:r w:rsidRPr="00E6517C">
              <w:rPr>
                <w:lang w:val="en-GB"/>
              </w:rPr>
              <w:t>thermal residential</w:t>
            </w:r>
            <w:r>
              <w:rPr>
                <w:lang w:val="en-GB"/>
              </w:rPr>
              <w:t xml:space="preserve"> and commercial</w:t>
            </w:r>
          </w:p>
        </w:tc>
      </w:tr>
      <w:tr w:rsidR="00E359E5" w14:paraId="14834020" w14:textId="77777777" w:rsidTr="001D3164">
        <w:tc>
          <w:tcPr>
            <w:tcW w:w="9062" w:type="dxa"/>
          </w:tcPr>
          <w:p w14:paraId="129C62B4" w14:textId="77777777" w:rsidR="00E359E5" w:rsidRPr="00E6517C" w:rsidRDefault="00E359E5" w:rsidP="001D3164">
            <w:pPr>
              <w:pStyle w:val="ListParagraph"/>
              <w:numPr>
                <w:ilvl w:val="0"/>
                <w:numId w:val="3"/>
              </w:numPr>
              <w:rPr>
                <w:lang w:val="en-GB"/>
              </w:rPr>
            </w:pPr>
            <w:r w:rsidRPr="00E6517C">
              <w:rPr>
                <w:lang w:val="en-GB"/>
              </w:rPr>
              <w:t>specific residential</w:t>
            </w:r>
            <w:r>
              <w:rPr>
                <w:lang w:val="en-GB"/>
              </w:rPr>
              <w:t xml:space="preserve"> and commercial</w:t>
            </w:r>
          </w:p>
        </w:tc>
      </w:tr>
      <w:tr w:rsidR="00E359E5" w14:paraId="4D19DD05" w14:textId="77777777" w:rsidTr="001D3164">
        <w:tc>
          <w:tcPr>
            <w:tcW w:w="9062" w:type="dxa"/>
          </w:tcPr>
          <w:p w14:paraId="0A3FCFF7" w14:textId="77777777" w:rsidR="00E359E5" w:rsidRPr="00E6517C" w:rsidRDefault="00E359E5" w:rsidP="001D3164">
            <w:pPr>
              <w:pStyle w:val="ListParagraph"/>
              <w:numPr>
                <w:ilvl w:val="0"/>
                <w:numId w:val="3"/>
              </w:numPr>
              <w:rPr>
                <w:lang w:val="en-GB"/>
              </w:rPr>
            </w:pPr>
            <w:r>
              <w:rPr>
                <w:lang w:val="en-GB"/>
              </w:rPr>
              <w:t>transport</w:t>
            </w:r>
          </w:p>
        </w:tc>
      </w:tr>
      <w:tr w:rsidR="00E359E5" w14:paraId="7738C4BA" w14:textId="77777777" w:rsidTr="001D3164">
        <w:tc>
          <w:tcPr>
            <w:tcW w:w="9062" w:type="dxa"/>
            <w:tcBorders>
              <w:bottom w:val="single" w:sz="4" w:space="0" w:color="auto"/>
            </w:tcBorders>
          </w:tcPr>
          <w:p w14:paraId="7440DBAF" w14:textId="77777777" w:rsidR="00E359E5" w:rsidRPr="00E6517C" w:rsidRDefault="00E359E5" w:rsidP="001D3164">
            <w:pPr>
              <w:pStyle w:val="ListParagraph"/>
              <w:numPr>
                <w:ilvl w:val="0"/>
                <w:numId w:val="3"/>
              </w:numPr>
              <w:rPr>
                <w:lang w:val="en-GB"/>
              </w:rPr>
            </w:pPr>
            <w:r w:rsidRPr="00E6517C">
              <w:rPr>
                <w:lang w:val="en-GB"/>
              </w:rPr>
              <w:t>non-commercial biomass</w:t>
            </w:r>
          </w:p>
        </w:tc>
      </w:tr>
    </w:tbl>
    <w:p w14:paraId="4A46A5F8" w14:textId="38CC540C" w:rsidR="00541315" w:rsidRDefault="00541315">
      <w:pPr>
        <w:spacing w:line="259" w:lineRule="auto"/>
        <w:rPr>
          <w:lang w:val="en-GB"/>
        </w:rPr>
      </w:pPr>
      <w:r>
        <w:rPr>
          <w:lang w:val="en-GB"/>
        </w:rPr>
        <w:br w:type="page"/>
      </w:r>
    </w:p>
    <w:p w14:paraId="1359FE4D" w14:textId="77777777" w:rsidR="00E359E5" w:rsidRDefault="00E359E5" w:rsidP="00E359E5">
      <w:pPr>
        <w:pStyle w:val="Heading2"/>
        <w:rPr>
          <w:lang w:val="en-GB"/>
        </w:rPr>
      </w:pPr>
      <w:bookmarkStart w:id="21" w:name="_Toc449104539"/>
      <w:r>
        <w:rPr>
          <w:lang w:val="en-GB"/>
        </w:rPr>
        <w:lastRenderedPageBreak/>
        <w:t>Regional definitions in MESSAGE</w:t>
      </w:r>
      <w:bookmarkEnd w:id="21"/>
    </w:p>
    <w:p w14:paraId="7E7D9654" w14:textId="740D75A8" w:rsidR="00E359E5" w:rsidRDefault="00E359E5" w:rsidP="00E359E5">
      <w:pPr>
        <w:pStyle w:val="Caption"/>
        <w:keepNext/>
        <w:spacing w:after="40"/>
        <w:jc w:val="both"/>
        <w:rPr>
          <w:lang w:val="en-GB"/>
        </w:rPr>
      </w:pPr>
      <w:r>
        <w:rPr>
          <w:lang w:val="en-GB"/>
        </w:rPr>
        <w:t xml:space="preserve">Table </w:t>
      </w:r>
      <w:r w:rsidR="00330359">
        <w:rPr>
          <w:lang w:val="en-GB"/>
        </w:rPr>
        <w:t>S4</w:t>
      </w:r>
      <w:r>
        <w:rPr>
          <w:lang w:val="en-GB"/>
        </w:rPr>
        <w:t xml:space="preserve">: Classification of regions into North and South. The individual countries grouped into the aggregated regions below can be found under </w:t>
      </w:r>
      <w:r w:rsidRPr="00375DCD">
        <w:rPr>
          <w:lang w:val="en-GB"/>
        </w:rPr>
        <w:t>https://tntcat.iiasa.ac.at/SspDb/dsd?Action=htmlpage&amp;page=about#regiondefs</w:t>
      </w:r>
      <w:r>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359E5" w14:paraId="2F89E5C4" w14:textId="77777777" w:rsidTr="001D3164">
        <w:tc>
          <w:tcPr>
            <w:tcW w:w="9062" w:type="dxa"/>
            <w:gridSpan w:val="2"/>
            <w:tcBorders>
              <w:top w:val="single" w:sz="4" w:space="0" w:color="auto"/>
              <w:bottom w:val="single" w:sz="4" w:space="0" w:color="auto"/>
            </w:tcBorders>
          </w:tcPr>
          <w:p w14:paraId="32FD03DC" w14:textId="77777777" w:rsidR="00E359E5" w:rsidRDefault="00E359E5" w:rsidP="001D3164">
            <w:pPr>
              <w:rPr>
                <w:lang w:val="en-GB"/>
              </w:rPr>
            </w:pPr>
            <w:r>
              <w:rPr>
                <w:lang w:val="en-GB"/>
              </w:rPr>
              <w:t>North</w:t>
            </w:r>
          </w:p>
        </w:tc>
      </w:tr>
      <w:tr w:rsidR="00E359E5" w14:paraId="3770B95B" w14:textId="77777777" w:rsidTr="001D3164">
        <w:tc>
          <w:tcPr>
            <w:tcW w:w="9062" w:type="dxa"/>
            <w:gridSpan w:val="2"/>
            <w:tcBorders>
              <w:top w:val="single" w:sz="4" w:space="0" w:color="auto"/>
            </w:tcBorders>
          </w:tcPr>
          <w:p w14:paraId="584057AF" w14:textId="77777777" w:rsidR="00E359E5" w:rsidRPr="00E6517C" w:rsidRDefault="00E359E5" w:rsidP="001D3164">
            <w:pPr>
              <w:pStyle w:val="ListParagraph"/>
              <w:numPr>
                <w:ilvl w:val="0"/>
                <w:numId w:val="4"/>
              </w:numPr>
              <w:rPr>
                <w:lang w:val="en-GB"/>
              </w:rPr>
            </w:pPr>
            <w:r>
              <w:rPr>
                <w:lang w:val="en-GB"/>
              </w:rPr>
              <w:t xml:space="preserve">OCED </w:t>
            </w:r>
            <w:r w:rsidRPr="00375DCD">
              <w:rPr>
                <w:i/>
                <w:lang w:val="en-GB"/>
              </w:rPr>
              <w:t>- Includes the OECD 90 and EU member states and candidates.</w:t>
            </w:r>
          </w:p>
        </w:tc>
      </w:tr>
      <w:tr w:rsidR="00E359E5" w14:paraId="25502424" w14:textId="77777777" w:rsidTr="001D3164">
        <w:tc>
          <w:tcPr>
            <w:tcW w:w="9062" w:type="dxa"/>
            <w:gridSpan w:val="2"/>
            <w:tcBorders>
              <w:bottom w:val="single" w:sz="4" w:space="0" w:color="auto"/>
            </w:tcBorders>
          </w:tcPr>
          <w:p w14:paraId="7A83974B" w14:textId="77777777" w:rsidR="00E359E5" w:rsidRPr="00375DCD" w:rsidRDefault="00E359E5" w:rsidP="001D3164">
            <w:pPr>
              <w:pStyle w:val="ListParagraph"/>
              <w:numPr>
                <w:ilvl w:val="0"/>
                <w:numId w:val="4"/>
              </w:numPr>
              <w:rPr>
                <w:lang w:val="en-GB"/>
              </w:rPr>
            </w:pPr>
            <w:r>
              <w:rPr>
                <w:lang w:val="en-GB"/>
              </w:rPr>
              <w:t xml:space="preserve">REF </w:t>
            </w:r>
            <w:r w:rsidRPr="00375DCD">
              <w:rPr>
                <w:i/>
                <w:lang w:val="en-GB"/>
              </w:rPr>
              <w:t>- Countries from the Reforming Economies of Eastern Europe and the Former Soviet Union.</w:t>
            </w:r>
          </w:p>
        </w:tc>
      </w:tr>
      <w:tr w:rsidR="00E359E5" w14:paraId="737D0CFA" w14:textId="77777777" w:rsidTr="001D3164">
        <w:tc>
          <w:tcPr>
            <w:tcW w:w="9062" w:type="dxa"/>
            <w:gridSpan w:val="2"/>
            <w:tcBorders>
              <w:top w:val="single" w:sz="4" w:space="0" w:color="auto"/>
              <w:bottom w:val="single" w:sz="4" w:space="0" w:color="auto"/>
            </w:tcBorders>
          </w:tcPr>
          <w:p w14:paraId="0E87315A" w14:textId="77777777" w:rsidR="00E359E5" w:rsidRPr="00E6517C" w:rsidRDefault="00E359E5" w:rsidP="001D3164">
            <w:pPr>
              <w:pStyle w:val="ListParagraph"/>
              <w:ind w:left="0"/>
              <w:rPr>
                <w:lang w:val="en-GB"/>
              </w:rPr>
            </w:pPr>
            <w:r>
              <w:rPr>
                <w:lang w:val="en-GB"/>
              </w:rPr>
              <w:t>South</w:t>
            </w:r>
          </w:p>
        </w:tc>
      </w:tr>
      <w:tr w:rsidR="00E359E5" w14:paraId="6DBE176C" w14:textId="77777777" w:rsidTr="001D3164">
        <w:tc>
          <w:tcPr>
            <w:tcW w:w="9062" w:type="dxa"/>
            <w:gridSpan w:val="2"/>
            <w:tcBorders>
              <w:top w:val="single" w:sz="4" w:space="0" w:color="auto"/>
            </w:tcBorders>
          </w:tcPr>
          <w:p w14:paraId="1F67D75F" w14:textId="77777777" w:rsidR="00E359E5" w:rsidRPr="00E6517C" w:rsidRDefault="00E359E5" w:rsidP="001D3164">
            <w:pPr>
              <w:pStyle w:val="ListParagraph"/>
              <w:numPr>
                <w:ilvl w:val="0"/>
                <w:numId w:val="6"/>
              </w:numPr>
              <w:rPr>
                <w:lang w:val="en-GB"/>
              </w:rPr>
            </w:pPr>
            <w:r w:rsidRPr="00375DCD">
              <w:rPr>
                <w:lang w:val="en-GB"/>
              </w:rPr>
              <w:t>ASIA </w:t>
            </w:r>
            <w:r w:rsidRPr="00375DCD">
              <w:rPr>
                <w:i/>
                <w:lang w:val="en-GB"/>
              </w:rPr>
              <w:t>- The region includes most Asian countries with the exception of the Middle East, Japan and Former Soviet Union states.</w:t>
            </w:r>
          </w:p>
        </w:tc>
      </w:tr>
      <w:tr w:rsidR="00E359E5" w14:paraId="7393A05E" w14:textId="77777777" w:rsidTr="001D3164">
        <w:tc>
          <w:tcPr>
            <w:tcW w:w="9062" w:type="dxa"/>
            <w:gridSpan w:val="2"/>
          </w:tcPr>
          <w:p w14:paraId="3095881D" w14:textId="77777777" w:rsidR="00E359E5" w:rsidRPr="00E6517C" w:rsidRDefault="00E359E5" w:rsidP="001D3164">
            <w:pPr>
              <w:pStyle w:val="ListParagraph"/>
              <w:numPr>
                <w:ilvl w:val="0"/>
                <w:numId w:val="6"/>
              </w:numPr>
              <w:rPr>
                <w:lang w:val="en-GB"/>
              </w:rPr>
            </w:pPr>
            <w:r w:rsidRPr="00375DCD">
              <w:rPr>
                <w:lang w:val="en-GB"/>
              </w:rPr>
              <w:t>MAF </w:t>
            </w:r>
            <w:r w:rsidRPr="00375DCD">
              <w:rPr>
                <w:i/>
                <w:lang w:val="en-GB"/>
              </w:rPr>
              <w:t>- This region includes the countries of the Middle East and Africa.</w:t>
            </w:r>
          </w:p>
        </w:tc>
      </w:tr>
      <w:tr w:rsidR="00E359E5" w:rsidRPr="00541315" w14:paraId="1152B9A8" w14:textId="77777777" w:rsidTr="00541315">
        <w:tc>
          <w:tcPr>
            <w:tcW w:w="9062" w:type="dxa"/>
            <w:gridSpan w:val="2"/>
            <w:tcBorders>
              <w:bottom w:val="single" w:sz="4" w:space="0" w:color="auto"/>
            </w:tcBorders>
          </w:tcPr>
          <w:p w14:paraId="017C1C34" w14:textId="77777777" w:rsidR="00E359E5" w:rsidRPr="00E6517C" w:rsidRDefault="00E359E5" w:rsidP="001D3164">
            <w:pPr>
              <w:pStyle w:val="ListParagraph"/>
              <w:numPr>
                <w:ilvl w:val="0"/>
                <w:numId w:val="6"/>
              </w:numPr>
              <w:rPr>
                <w:lang w:val="en-GB"/>
              </w:rPr>
            </w:pPr>
            <w:r w:rsidRPr="00375DCD">
              <w:rPr>
                <w:lang w:val="en-GB"/>
              </w:rPr>
              <w:t>LAM </w:t>
            </w:r>
            <w:r w:rsidRPr="00375DCD">
              <w:rPr>
                <w:i/>
                <w:lang w:val="en-GB"/>
              </w:rPr>
              <w:t>- This region includes the countries of Latin America and the Caribbean.</w:t>
            </w:r>
          </w:p>
        </w:tc>
      </w:tr>
      <w:tr w:rsidR="00541315" w:rsidRPr="00541315" w14:paraId="0AD6162C" w14:textId="77777777" w:rsidTr="00541315">
        <w:tc>
          <w:tcPr>
            <w:tcW w:w="9062" w:type="dxa"/>
            <w:gridSpan w:val="2"/>
            <w:tcBorders>
              <w:top w:val="single" w:sz="4" w:space="0" w:color="auto"/>
              <w:bottom w:val="single" w:sz="4" w:space="0" w:color="auto"/>
            </w:tcBorders>
          </w:tcPr>
          <w:p w14:paraId="74DE2FA0" w14:textId="2EE7E9B9" w:rsidR="00541315" w:rsidRPr="00541315" w:rsidRDefault="00541315" w:rsidP="00541315">
            <w:pPr>
              <w:rPr>
                <w:lang w:val="en-GB"/>
              </w:rPr>
            </w:pPr>
            <w:r>
              <w:rPr>
                <w:lang w:val="en-GB"/>
              </w:rPr>
              <w:t>MESSAGE region codes</w:t>
            </w:r>
          </w:p>
        </w:tc>
      </w:tr>
      <w:tr w:rsidR="009A3351" w:rsidRPr="00541315" w14:paraId="2D4CF852" w14:textId="77777777" w:rsidTr="004A4FAF">
        <w:tc>
          <w:tcPr>
            <w:tcW w:w="4531" w:type="dxa"/>
            <w:tcBorders>
              <w:top w:val="single" w:sz="4" w:space="0" w:color="auto"/>
              <w:bottom w:val="single" w:sz="4" w:space="0" w:color="auto"/>
            </w:tcBorders>
          </w:tcPr>
          <w:p w14:paraId="6476C397" w14:textId="1E78CB82" w:rsidR="009A3351" w:rsidRDefault="009A3351" w:rsidP="00541315">
            <w:pPr>
              <w:rPr>
                <w:lang w:val="en-GB"/>
              </w:rPr>
            </w:pPr>
            <w:r w:rsidRPr="009A3351">
              <w:rPr>
                <w:b/>
                <w:lang w:val="en-GB"/>
              </w:rPr>
              <w:t>NORTH</w:t>
            </w:r>
            <w:r>
              <w:rPr>
                <w:lang w:val="en-GB"/>
              </w:rPr>
              <w:br/>
              <w:t>EEU = Eastern Europe</w:t>
            </w:r>
          </w:p>
          <w:p w14:paraId="32C98296" w14:textId="77777777" w:rsidR="009A3351" w:rsidRDefault="009A3351" w:rsidP="00541315">
            <w:pPr>
              <w:rPr>
                <w:lang w:val="en-GB"/>
              </w:rPr>
            </w:pPr>
            <w:r>
              <w:rPr>
                <w:lang w:val="en-GB"/>
              </w:rPr>
              <w:t>FSU = Former Soviet Union</w:t>
            </w:r>
          </w:p>
          <w:p w14:paraId="69CAFFDE" w14:textId="77777777" w:rsidR="009A3351" w:rsidRDefault="009A3351" w:rsidP="009A3351">
            <w:pPr>
              <w:rPr>
                <w:lang w:val="en-GB"/>
              </w:rPr>
            </w:pPr>
            <w:r>
              <w:rPr>
                <w:lang w:val="en-GB"/>
              </w:rPr>
              <w:t>NAM = North America</w:t>
            </w:r>
          </w:p>
          <w:p w14:paraId="1A6ECC24" w14:textId="77777777" w:rsidR="009A3351" w:rsidRDefault="009A3351" w:rsidP="009A3351">
            <w:pPr>
              <w:rPr>
                <w:lang w:val="en-GB"/>
              </w:rPr>
            </w:pPr>
            <w:r>
              <w:rPr>
                <w:lang w:val="en-GB"/>
              </w:rPr>
              <w:t>PAO = Pacific OECD</w:t>
            </w:r>
          </w:p>
          <w:p w14:paraId="092A8B2B" w14:textId="1B2401DC" w:rsidR="009A3351" w:rsidRDefault="009A3351" w:rsidP="009A3351">
            <w:pPr>
              <w:rPr>
                <w:lang w:val="en-GB"/>
              </w:rPr>
            </w:pPr>
            <w:r w:rsidRPr="009A3351">
              <w:rPr>
                <w:lang w:val="en-GB"/>
              </w:rPr>
              <w:t>WEU = Western Europe</w:t>
            </w:r>
          </w:p>
        </w:tc>
        <w:tc>
          <w:tcPr>
            <w:tcW w:w="4531" w:type="dxa"/>
            <w:tcBorders>
              <w:top w:val="single" w:sz="4" w:space="0" w:color="auto"/>
              <w:bottom w:val="single" w:sz="4" w:space="0" w:color="auto"/>
            </w:tcBorders>
          </w:tcPr>
          <w:p w14:paraId="6BE68D10" w14:textId="06BE7E5A" w:rsidR="009A3351" w:rsidRPr="009A3351" w:rsidRDefault="009A3351" w:rsidP="00541315">
            <w:pPr>
              <w:rPr>
                <w:b/>
                <w:lang w:val="en-GB"/>
              </w:rPr>
            </w:pPr>
            <w:r w:rsidRPr="009A3351">
              <w:rPr>
                <w:b/>
                <w:lang w:val="en-GB"/>
              </w:rPr>
              <w:t>SOUTH</w:t>
            </w:r>
          </w:p>
          <w:p w14:paraId="5501E696" w14:textId="77777777" w:rsidR="009A3351" w:rsidRDefault="009A3351" w:rsidP="009A3351">
            <w:pPr>
              <w:rPr>
                <w:lang w:val="en-GB"/>
              </w:rPr>
            </w:pPr>
            <w:r>
              <w:rPr>
                <w:lang w:val="en-GB"/>
              </w:rPr>
              <w:t>AFR = Sub-Saharan Africa</w:t>
            </w:r>
          </w:p>
          <w:p w14:paraId="44F7E28E" w14:textId="77777777" w:rsidR="009A3351" w:rsidRDefault="009A3351" w:rsidP="009A3351">
            <w:pPr>
              <w:rPr>
                <w:lang w:val="en-GB"/>
              </w:rPr>
            </w:pPr>
            <w:r w:rsidRPr="00541315">
              <w:rPr>
                <w:lang w:val="en-GB"/>
              </w:rPr>
              <w:t xml:space="preserve">CPA = </w:t>
            </w:r>
            <w:r>
              <w:rPr>
                <w:lang w:val="en-GB"/>
              </w:rPr>
              <w:t>Central Planned Asia and China</w:t>
            </w:r>
          </w:p>
          <w:p w14:paraId="24CF18EA" w14:textId="77777777" w:rsidR="009A3351" w:rsidRPr="009A3351" w:rsidRDefault="009A3351" w:rsidP="009A3351">
            <w:pPr>
              <w:rPr>
                <w:lang w:val="en-GB"/>
              </w:rPr>
            </w:pPr>
            <w:r w:rsidRPr="009A3351">
              <w:rPr>
                <w:lang w:val="en-GB"/>
              </w:rPr>
              <w:t>LAM = Latin America</w:t>
            </w:r>
          </w:p>
          <w:p w14:paraId="37B5ED7D" w14:textId="77777777" w:rsidR="009A3351" w:rsidRDefault="009A3351" w:rsidP="009A3351">
            <w:pPr>
              <w:rPr>
                <w:lang w:val="en-GB"/>
              </w:rPr>
            </w:pPr>
            <w:r w:rsidRPr="00541315">
              <w:rPr>
                <w:lang w:val="en-GB"/>
              </w:rPr>
              <w:t>MEA = Midd</w:t>
            </w:r>
            <w:r>
              <w:rPr>
                <w:lang w:val="en-GB"/>
              </w:rPr>
              <w:t xml:space="preserve">le East and North Africa </w:t>
            </w:r>
          </w:p>
          <w:p w14:paraId="2044134B" w14:textId="59649A3E" w:rsidR="009A3351" w:rsidRDefault="009A3351" w:rsidP="009A3351">
            <w:pPr>
              <w:rPr>
                <w:lang w:val="en-GB"/>
              </w:rPr>
            </w:pPr>
            <w:r>
              <w:rPr>
                <w:lang w:val="en-GB"/>
              </w:rPr>
              <w:t>PAS = Other Pacific Asia</w:t>
            </w:r>
          </w:p>
          <w:p w14:paraId="5E0CD4CF" w14:textId="037E2175" w:rsidR="009A3351" w:rsidRDefault="009A3351" w:rsidP="009A3351">
            <w:pPr>
              <w:rPr>
                <w:lang w:val="en-GB"/>
              </w:rPr>
            </w:pPr>
            <w:r>
              <w:rPr>
                <w:lang w:val="en-GB"/>
              </w:rPr>
              <w:t>SAS = South Asia</w:t>
            </w:r>
          </w:p>
        </w:tc>
      </w:tr>
    </w:tbl>
    <w:p w14:paraId="2DA90F71" w14:textId="77777777" w:rsidR="00E359E5" w:rsidRPr="00246DA5" w:rsidRDefault="00E359E5" w:rsidP="00E359E5">
      <w:pPr>
        <w:rPr>
          <w:lang w:val="en-GB"/>
        </w:rPr>
      </w:pPr>
    </w:p>
    <w:p w14:paraId="49C223E0" w14:textId="77777777" w:rsidR="00E359E5" w:rsidRDefault="00E359E5" w:rsidP="00E359E5">
      <w:pPr>
        <w:rPr>
          <w:b/>
          <w:color w:val="FF0000"/>
          <w:lang w:val="en-GB"/>
        </w:rPr>
      </w:pPr>
    </w:p>
    <w:p w14:paraId="2766057F" w14:textId="5C8C7FE2" w:rsidR="005B7BFA" w:rsidRDefault="005B7BFA" w:rsidP="005B7BFA">
      <w:pPr>
        <w:pStyle w:val="Heading2"/>
        <w:rPr>
          <w:lang w:val="en-GB"/>
        </w:rPr>
      </w:pPr>
      <w:bookmarkStart w:id="22" w:name="_Toc449104540"/>
      <w:r>
        <w:rPr>
          <w:lang w:val="en-GB"/>
        </w:rPr>
        <w:t>SPA overview</w:t>
      </w:r>
      <w:bookmarkEnd w:id="22"/>
    </w:p>
    <w:p w14:paraId="0FED9D53" w14:textId="4367962F" w:rsidR="005B7BFA" w:rsidRDefault="005B7BFA" w:rsidP="005B7BFA">
      <w:pPr>
        <w:pStyle w:val="Caption"/>
        <w:keepNext/>
        <w:spacing w:after="40"/>
        <w:jc w:val="both"/>
        <w:rPr>
          <w:lang w:val="en-GB"/>
        </w:rPr>
      </w:pPr>
      <w:r>
        <w:rPr>
          <w:lang w:val="en-GB"/>
        </w:rPr>
        <w:t xml:space="preserve">Table </w:t>
      </w:r>
      <w:r w:rsidR="00330359">
        <w:rPr>
          <w:lang w:val="en-GB"/>
        </w:rPr>
        <w:t>S5</w:t>
      </w:r>
      <w:r>
        <w:rPr>
          <w:lang w:val="en-GB"/>
        </w:rPr>
        <w:t>: Overview SPA and SSP combinations. Adapted from Riahi et al.</w:t>
      </w:r>
      <w:r w:rsidR="00C17B09">
        <w:rPr>
          <w:lang w:val="en-GB"/>
        </w:rPr>
        <w:t xml:space="preserve"> </w:t>
      </w:r>
      <w:r w:rsidR="00C17B09">
        <w:rPr>
          <w:lang w:val="en-GB"/>
        </w:rPr>
        <w:fldChar w:fldCharType="begin">
          <w:fldData xml:space="preserve">PEVuZE5vdGU+PENpdGUgRXhjbHVkZUF1dGg9IjEiPjxBdXRob3I+UmlhaGk8L0F1dGhvcj48WWVh
cj5pbiByZXZpZXc8L1llYXI+PFJlY051bT41NDQ3PC9SZWNOdW0+PERpc3BsYXlUZXh0PihpbiBy
ZXZpZXcpPC9EaXNwbGF5VGV4dD48cmVjb3JkPjxyZWMtbnVtYmVyPjU0NDc8L3JlYy1udW1iZXI+
PGZvcmVpZ24ta2V5cz48a2V5IGFwcD0iRU4iIGRiLWlkPSJlMnZ6ZWU5enBhcnp3YWV4dzlxeGFk
eG1yMDB2cjVydGU5cDAiIHRpbWVzdGFtcD0iMTQ1MDE2ODkzMyI+NTQ0Nzwva2V5PjwvZm9yZWln
bi1rZXlzPjxyZWYtdHlwZSBuYW1lPSJKb3VybmFsIEFydGljbGUiPjE3PC9yZWYtdHlwZT48Y29u
dHJpYnV0b3JzPjxhdXRob3JzPjxhdXRob3I+S2V5d2FuIFJpYWhpPC9hdXRob3I+PGF1dGhvcj52
YW4gVnV1cmVuLCBEZXRsZWYgUC4gPC9hdXRob3I+PGF1dGhvcj5FbG1hciBLcmllZ2xlcjwvYXV0
aG9yPjxhdXRob3I+SmFlIEVkbW9uZHM8L2F1dGhvcj48YXV0aG9yPkJyaWFuIE/igJlOZWlsbDwv
YXV0aG9yPjxhdXRob3I+U2hpbmljaGlybyBGdWppbW9yaTwvYXV0aG9yPjxhdXRob3I+TmljbyBC
YXVlcjwvYXV0aG9yPjxhdXRob3I+S2F0aGVyaW5lIENhbHZpbjwvYXV0aG9yPjxhdXRob3I+Um9i
IERlbGxpbms8L2F1dGhvcj48YXV0aG9yPk9saXZlciBGcmlja288L2F1dGhvcj48YXV0aG9yPldv
bGZnYW5nIEx1dHo8L2F1dGhvcj48YXV0aG9yPkFsZXhhbmRlciBQb3BwPC9hdXRob3I+PGF1dGhv
cj5DdWFyZXNtYSwgSmVzdXMgQ3Jlc3BvPC9hdXRob3I+PGF1dGhvcj5NYXJpYW4gTGVpbWJhY2g8
L2F1dGhvcj48YXV0aG9yPlRvbSBLcmFtPC9hdXRob3I+PGF1dGhvcj5TaGlscGEgUmFvPC9hdXRo
b3I+PGF1dGhvcj5Kb2hhbm5lcyBFbW1lcmxpbmc8L2F1dGhvcj48YXV0aG9yPlRvbW9rbyBIYXNl
Z2F3YTwvYXV0aG9yPjxhdXRob3I+UGV0ciBIYXZsaWs8L2F1dGhvcj48YXV0aG9yPkZsb3JpYW4g
SHVtcGVuw7ZkZXI8L2F1dGhvcj48YXV0aG9yPkFsZWx1aWEgRGEgU2lsdmEsIExhcmEgPC9hdXRo
b3I+PGF1dGhvcj5TdGV2ZSBTbWl0aDwvYXV0aG9yPjxhdXRob3I+RWxrZSBTdGVoZmVzdDwvYXV0
aG9yPjxhdXRob3I+VmFsZW50aW5hIEJvc2V0dGk8L2F1dGhvcj48YXV0aG9yPkppeW9uZyBFb208
L2F1dGhvcj48YXV0aG9yPkRhdmlkIEdlcm5hYXQ8L2F1dGhvcj48YXV0aG9yPlRvc2hpaGlrbyBN
YXN1aTwvYXV0aG9yPjxhdXRob3I+Sm9lcmkgUm9nZWxqPC9hdXRob3I+PGF1dGhvcj5KZXNzaWNh
IFN0cmVmbGVyPC9hdXRob3I+PGF1dGhvcj5MYXVyZW50IERyb3VldDwvYXV0aG9yPjxhdXRob3I+
Vm9sa2VyIEtyZXk8L2F1dGhvcj48YXV0aG9yPkd1bm5hciBMdWRlcmVyPC9hdXRob3I+PGF1dGhv
cj5NYXRoaWpzIEhhcm1zZW48L2F1dGhvcj48YXV0aG9yPktpeW9zaGkgVGFrYWhhc2hpPC9hdXRo
b3I+PGF1dGhvcj5NYXJzaGFsbCBXaXNlPC9hdXRob3I+PGF1dGhvcj5MYXZpbmlhIEJhdW1zdGFy
azwvYXV0aG9yPjxhdXRob3I+Sm9uYXRoYW4gRG9lbG1hbjwvYXV0aG9yPjxhdXRob3I+TWlraWtv
IEthaW51bWE8L2F1dGhvcj48YXV0aG9yPlpiaWduaWV3IEtsaW1vbnQ8L2F1dGhvcj48YXV0aG9y
PkdpYWNvbW8gTWFyYW5nb25pPC9hdXRob3I+PGF1dGhvcj5SaWNoYXJkIE1vc3M8L2F1dGhvcj48
YXV0aG9yPkhlcm1hbm4gTG90emUtQ2FtcGVuPC9hdXRob3I+PGF1dGhvcj5NaWNoYWVsIE9iZXJz
dGVpbmVyPC9hdXRob3I+PGF1dGhvcj5BbmRyemVqIFRhYmVhdTwvYXV0aG9yPjxhdXRob3I+TWFz
c2ltbyBUYXZvbmk8L2F1dGhvcj48L2F1dGhvcnM+PC9jb250cmlidXRvcnM+PHRpdGxlcz48dGl0
bGU+VGhlIFNoYXJlZCBTb2Npb2Vjb25vbWljIFBhdGh3YXlzOiBBbiBPdmVydmlldzwvdGl0bGU+
PHNlY29uZGFyeS10aXRsZT5HbG9iYWwgRW52aXJvbm1lbnRhbCBDaGFuZ2U8L3NlY29uZGFyeS10
aXRsZT48L3RpdGxlcz48cGVyaW9kaWNhbD48ZnVsbC10aXRsZT5HbG9iYWwgRW52aXJvbm1lbnRh
bCBDaGFuZ2U8L2Z1bGwtdGl0bGU+PC9wZXJpb2RpY2FsPjxudW1iZXI+dGhpcyBpc3N1ZTwvbnVt
YmVyPjxkYXRlcz48eWVhcj5pbiByZXZpZXc8L3llYXI+PC9kYXRlcz48dXJscz48L3VybHM+PC9y
ZWNvcmQ+PC9DaXRlPjwvRW5kTm90ZT5=
</w:fldData>
        </w:fldChar>
      </w:r>
      <w:r w:rsidR="00C17B09">
        <w:rPr>
          <w:lang w:val="en-GB"/>
        </w:rPr>
        <w:instrText xml:space="preserve"> ADDIN EN.CITE </w:instrText>
      </w:r>
      <w:r w:rsidR="00C17B09">
        <w:rPr>
          <w:lang w:val="en-GB"/>
        </w:rPr>
        <w:fldChar w:fldCharType="begin">
          <w:fldData xml:space="preserve">PEVuZE5vdGU+PENpdGUgRXhjbHVkZUF1dGg9IjEiPjxBdXRob3I+UmlhaGk8L0F1dGhvcj48WWVh
cj5pbiByZXZpZXc8L1llYXI+PFJlY051bT41NDQ3PC9SZWNOdW0+PERpc3BsYXlUZXh0PihpbiBy
ZXZpZXcpPC9EaXNwbGF5VGV4dD48cmVjb3JkPjxyZWMtbnVtYmVyPjU0NDc8L3JlYy1udW1iZXI+
PGZvcmVpZ24ta2V5cz48a2V5IGFwcD0iRU4iIGRiLWlkPSJlMnZ6ZWU5enBhcnp3YWV4dzlxeGFk
eG1yMDB2cjVydGU5cDAiIHRpbWVzdGFtcD0iMTQ1MDE2ODkzMyI+NTQ0Nzwva2V5PjwvZm9yZWln
bi1rZXlzPjxyZWYtdHlwZSBuYW1lPSJKb3VybmFsIEFydGljbGUiPjE3PC9yZWYtdHlwZT48Y29u
dHJpYnV0b3JzPjxhdXRob3JzPjxhdXRob3I+S2V5d2FuIFJpYWhpPC9hdXRob3I+PGF1dGhvcj52
YW4gVnV1cmVuLCBEZXRsZWYgUC4gPC9hdXRob3I+PGF1dGhvcj5FbG1hciBLcmllZ2xlcjwvYXV0
aG9yPjxhdXRob3I+SmFlIEVkbW9uZHM8L2F1dGhvcj48YXV0aG9yPkJyaWFuIE/igJlOZWlsbDwv
YXV0aG9yPjxhdXRob3I+U2hpbmljaGlybyBGdWppbW9yaTwvYXV0aG9yPjxhdXRob3I+TmljbyBC
YXVlcjwvYXV0aG9yPjxhdXRob3I+S2F0aGVyaW5lIENhbHZpbjwvYXV0aG9yPjxhdXRob3I+Um9i
IERlbGxpbms8L2F1dGhvcj48YXV0aG9yPk9saXZlciBGcmlja288L2F1dGhvcj48YXV0aG9yPldv
bGZnYW5nIEx1dHo8L2F1dGhvcj48YXV0aG9yPkFsZXhhbmRlciBQb3BwPC9hdXRob3I+PGF1dGhv
cj5DdWFyZXNtYSwgSmVzdXMgQ3Jlc3BvPC9hdXRob3I+PGF1dGhvcj5NYXJpYW4gTGVpbWJhY2g8
L2F1dGhvcj48YXV0aG9yPlRvbSBLcmFtPC9hdXRob3I+PGF1dGhvcj5TaGlscGEgUmFvPC9hdXRo
b3I+PGF1dGhvcj5Kb2hhbm5lcyBFbW1lcmxpbmc8L2F1dGhvcj48YXV0aG9yPlRvbW9rbyBIYXNl
Z2F3YTwvYXV0aG9yPjxhdXRob3I+UGV0ciBIYXZsaWs8L2F1dGhvcj48YXV0aG9yPkZsb3JpYW4g
SHVtcGVuw7ZkZXI8L2F1dGhvcj48YXV0aG9yPkFsZWx1aWEgRGEgU2lsdmEsIExhcmEgPC9hdXRo
b3I+PGF1dGhvcj5TdGV2ZSBTbWl0aDwvYXV0aG9yPjxhdXRob3I+RWxrZSBTdGVoZmVzdDwvYXV0
aG9yPjxhdXRob3I+VmFsZW50aW5hIEJvc2V0dGk8L2F1dGhvcj48YXV0aG9yPkppeW9uZyBFb208
L2F1dGhvcj48YXV0aG9yPkRhdmlkIEdlcm5hYXQ8L2F1dGhvcj48YXV0aG9yPlRvc2hpaGlrbyBN
YXN1aTwvYXV0aG9yPjxhdXRob3I+Sm9lcmkgUm9nZWxqPC9hdXRob3I+PGF1dGhvcj5KZXNzaWNh
IFN0cmVmbGVyPC9hdXRob3I+PGF1dGhvcj5MYXVyZW50IERyb3VldDwvYXV0aG9yPjxhdXRob3I+
Vm9sa2VyIEtyZXk8L2F1dGhvcj48YXV0aG9yPkd1bm5hciBMdWRlcmVyPC9hdXRob3I+PGF1dGhv
cj5NYXRoaWpzIEhhcm1zZW48L2F1dGhvcj48YXV0aG9yPktpeW9zaGkgVGFrYWhhc2hpPC9hdXRo
b3I+PGF1dGhvcj5NYXJzaGFsbCBXaXNlPC9hdXRob3I+PGF1dGhvcj5MYXZpbmlhIEJhdW1zdGFy
azwvYXV0aG9yPjxhdXRob3I+Sm9uYXRoYW4gRG9lbG1hbjwvYXV0aG9yPjxhdXRob3I+TWlraWtv
IEthaW51bWE8L2F1dGhvcj48YXV0aG9yPlpiaWduaWV3IEtsaW1vbnQ8L2F1dGhvcj48YXV0aG9y
PkdpYWNvbW8gTWFyYW5nb25pPC9hdXRob3I+PGF1dGhvcj5SaWNoYXJkIE1vc3M8L2F1dGhvcj48
YXV0aG9yPkhlcm1hbm4gTG90emUtQ2FtcGVuPC9hdXRob3I+PGF1dGhvcj5NaWNoYWVsIE9iZXJz
dGVpbmVyPC9hdXRob3I+PGF1dGhvcj5BbmRyemVqIFRhYmVhdTwvYXV0aG9yPjxhdXRob3I+TWFz
c2ltbyBUYXZvbmk8L2F1dGhvcj48L2F1dGhvcnM+PC9jb250cmlidXRvcnM+PHRpdGxlcz48dGl0
bGU+VGhlIFNoYXJlZCBTb2Npb2Vjb25vbWljIFBhdGh3YXlzOiBBbiBPdmVydmlldzwvdGl0bGU+
PHNlY29uZGFyeS10aXRsZT5HbG9iYWwgRW52aXJvbm1lbnRhbCBDaGFuZ2U8L3NlY29uZGFyeS10
aXRsZT48L3RpdGxlcz48cGVyaW9kaWNhbD48ZnVsbC10aXRsZT5HbG9iYWwgRW52aXJvbm1lbnRh
bCBDaGFuZ2U8L2Z1bGwtdGl0bGU+PC9wZXJpb2RpY2FsPjxudW1iZXI+dGhpcyBpc3N1ZTwvbnVt
YmVyPjxkYXRlcz48eWVhcj5pbiByZXZpZXc8L3llYXI+PC9kYXRlcz48dXJscz48L3VybHM+PC9y
ZWNvcmQ+PC9DaXRlPjwvRW5kTm90ZT5=
</w:fldData>
        </w:fldChar>
      </w:r>
      <w:r w:rsidR="00C17B09">
        <w:rPr>
          <w:lang w:val="en-GB"/>
        </w:rPr>
        <w:instrText xml:space="preserve"> ADDIN EN.CITE.DATA </w:instrText>
      </w:r>
      <w:r w:rsidR="00C17B09">
        <w:rPr>
          <w:lang w:val="en-GB"/>
        </w:rPr>
      </w:r>
      <w:r w:rsidR="00C17B09">
        <w:rPr>
          <w:lang w:val="en-GB"/>
        </w:rPr>
        <w:fldChar w:fldCharType="end"/>
      </w:r>
      <w:r w:rsidR="00C17B09">
        <w:rPr>
          <w:lang w:val="en-GB"/>
        </w:rPr>
      </w:r>
      <w:r w:rsidR="00C17B09">
        <w:rPr>
          <w:lang w:val="en-GB"/>
        </w:rPr>
        <w:fldChar w:fldCharType="separate"/>
      </w:r>
      <w:r w:rsidR="00C17B09">
        <w:rPr>
          <w:noProof/>
          <w:lang w:val="en-GB"/>
        </w:rPr>
        <w:t>(in review)</w:t>
      </w:r>
      <w:r w:rsidR="00C17B09">
        <w:rPr>
          <w:lang w:val="en-GB"/>
        </w:rPr>
        <w:fldChar w:fldCharType="end"/>
      </w:r>
      <w:r>
        <w:rPr>
          <w:lang w:val="en-GB"/>
        </w:rPr>
        <w:t xml:space="preserve">. </w:t>
      </w:r>
    </w:p>
    <w:tbl>
      <w:tblPr>
        <w:tblStyle w:val="PlainTable21"/>
        <w:tblW w:w="9333" w:type="dxa"/>
        <w:tblLook w:val="0420" w:firstRow="1" w:lastRow="0" w:firstColumn="0" w:lastColumn="0" w:noHBand="0" w:noVBand="1"/>
      </w:tblPr>
      <w:tblGrid>
        <w:gridCol w:w="4780"/>
        <w:gridCol w:w="4553"/>
      </w:tblGrid>
      <w:tr w:rsidR="005B7BFA" w:rsidRPr="00CF2EAE" w14:paraId="6503FA4A" w14:textId="77777777" w:rsidTr="003903B3">
        <w:trPr>
          <w:cnfStyle w:val="100000000000" w:firstRow="1" w:lastRow="0" w:firstColumn="0" w:lastColumn="0" w:oddVBand="0" w:evenVBand="0" w:oddHBand="0" w:evenHBand="0" w:firstRowFirstColumn="0" w:firstRowLastColumn="0" w:lastRowFirstColumn="0" w:lastRowLastColumn="0"/>
          <w:trHeight w:val="358"/>
        </w:trPr>
        <w:tc>
          <w:tcPr>
            <w:tcW w:w="4780" w:type="dxa"/>
            <w:shd w:val="clear" w:color="auto" w:fill="E7E6E6" w:themeFill="background2"/>
            <w:hideMark/>
          </w:tcPr>
          <w:p w14:paraId="22363C81" w14:textId="77777777" w:rsidR="005B7BFA" w:rsidRPr="00CF2EAE" w:rsidRDefault="005B7BFA" w:rsidP="001D3164">
            <w:pPr>
              <w:jc w:val="center"/>
            </w:pPr>
            <w:r>
              <w:t xml:space="preserve">Near term stringency </w:t>
            </w:r>
            <w:r w:rsidRPr="00CF2EAE">
              <w:t>and timing of regional participation</w:t>
            </w:r>
          </w:p>
        </w:tc>
        <w:tc>
          <w:tcPr>
            <w:tcW w:w="4553" w:type="dxa"/>
            <w:shd w:val="clear" w:color="auto" w:fill="E7E6E6" w:themeFill="background2"/>
            <w:hideMark/>
          </w:tcPr>
          <w:p w14:paraId="15BBE9C5" w14:textId="77777777" w:rsidR="005B7BFA" w:rsidRPr="00CF2EAE" w:rsidRDefault="005B7BFA" w:rsidP="001D3164">
            <w:pPr>
              <w:jc w:val="center"/>
            </w:pPr>
            <w:r>
              <w:t>Relative e</w:t>
            </w:r>
            <w:r w:rsidRPr="00CF2EAE">
              <w:t>ffectiveness of land policies</w:t>
            </w:r>
          </w:p>
        </w:tc>
      </w:tr>
      <w:tr w:rsidR="005B7BFA" w:rsidRPr="00CF2EAE" w14:paraId="0EE2A18E" w14:textId="77777777" w:rsidTr="003903B3">
        <w:trPr>
          <w:cnfStyle w:val="000000100000" w:firstRow="0" w:lastRow="0" w:firstColumn="0" w:lastColumn="0" w:oddVBand="0" w:evenVBand="0" w:oddHBand="1" w:evenHBand="0" w:firstRowFirstColumn="0" w:firstRowLastColumn="0" w:lastRowFirstColumn="0" w:lastRowLastColumn="0"/>
          <w:trHeight w:val="606"/>
        </w:trPr>
        <w:tc>
          <w:tcPr>
            <w:tcW w:w="4780" w:type="dxa"/>
            <w:hideMark/>
          </w:tcPr>
          <w:p w14:paraId="64A5CCE9" w14:textId="77777777" w:rsidR="005B7BFA" w:rsidRPr="00CF2EAE" w:rsidRDefault="005B7BFA" w:rsidP="001D3164">
            <w:pPr>
              <w:jc w:val="center"/>
            </w:pPr>
            <w:r w:rsidRPr="00CF2EAE">
              <w:rPr>
                <w:b/>
                <w:bCs/>
                <w:i/>
                <w:iCs/>
              </w:rPr>
              <w:t>SSP1, SSP4</w:t>
            </w:r>
          </w:p>
          <w:p w14:paraId="47B2F34A" w14:textId="77777777" w:rsidR="005B7BFA" w:rsidRPr="00CF2EAE" w:rsidRDefault="005B7BFA" w:rsidP="001D3164">
            <w:pPr>
              <w:jc w:val="center"/>
            </w:pPr>
            <w:r w:rsidRPr="00CF2EAE">
              <w:t>Early accession wi</w:t>
            </w:r>
            <w:r>
              <w:t>th</w:t>
            </w:r>
            <w:r w:rsidRPr="00CF2EAE">
              <w:t xml:space="preserve"> global collaboration</w:t>
            </w:r>
          </w:p>
          <w:p w14:paraId="372C4642" w14:textId="77777777" w:rsidR="005B7BFA" w:rsidRPr="00CF2EAE" w:rsidRDefault="005B7BFA" w:rsidP="001D3164">
            <w:pPr>
              <w:jc w:val="center"/>
            </w:pPr>
            <w:r w:rsidRPr="00CF2EAE">
              <w:t>as of 2020</w:t>
            </w:r>
          </w:p>
        </w:tc>
        <w:tc>
          <w:tcPr>
            <w:tcW w:w="4553" w:type="dxa"/>
            <w:hideMark/>
          </w:tcPr>
          <w:p w14:paraId="38902CCA" w14:textId="77777777" w:rsidR="005B7BFA" w:rsidRPr="00CF2EAE" w:rsidRDefault="005B7BFA" w:rsidP="001D3164">
            <w:pPr>
              <w:jc w:val="center"/>
            </w:pPr>
            <w:r w:rsidRPr="00CF2EAE">
              <w:rPr>
                <w:b/>
                <w:bCs/>
                <w:i/>
                <w:iCs/>
              </w:rPr>
              <w:t>SSP1, SSP5</w:t>
            </w:r>
          </w:p>
          <w:p w14:paraId="0E1320EB" w14:textId="77777777" w:rsidR="005B7BFA" w:rsidRPr="00CF2EAE" w:rsidRDefault="005B7BFA" w:rsidP="001D3164">
            <w:pPr>
              <w:jc w:val="center"/>
            </w:pPr>
            <w:r w:rsidRPr="00CF2EAE">
              <w:t>Highly effective</w:t>
            </w:r>
          </w:p>
        </w:tc>
      </w:tr>
      <w:tr w:rsidR="005B7BFA" w:rsidRPr="00CF2EAE" w14:paraId="2C950C8D" w14:textId="77777777" w:rsidTr="003903B3">
        <w:trPr>
          <w:trHeight w:val="421"/>
        </w:trPr>
        <w:tc>
          <w:tcPr>
            <w:tcW w:w="4780" w:type="dxa"/>
            <w:hideMark/>
          </w:tcPr>
          <w:p w14:paraId="275C7152" w14:textId="77777777" w:rsidR="005B7BFA" w:rsidRPr="00CF2EAE" w:rsidRDefault="005B7BFA" w:rsidP="001D3164">
            <w:pPr>
              <w:jc w:val="center"/>
            </w:pPr>
            <w:r w:rsidRPr="00CF2EAE">
              <w:rPr>
                <w:b/>
                <w:bCs/>
                <w:i/>
                <w:iCs/>
              </w:rPr>
              <w:t>SSP2, SSP5</w:t>
            </w:r>
          </w:p>
          <w:p w14:paraId="20741B20" w14:textId="77777777" w:rsidR="005B7BFA" w:rsidRPr="00CF2EAE" w:rsidRDefault="005B7BFA" w:rsidP="001D3164">
            <w:pPr>
              <w:jc w:val="center"/>
            </w:pPr>
            <w:r w:rsidRPr="00CF2EAE">
              <w:t xml:space="preserve">Some delays </w:t>
            </w:r>
            <w:r>
              <w:t xml:space="preserve">in establishing global action </w:t>
            </w:r>
            <w:r w:rsidRPr="00CF2EAE">
              <w:t>with regions</w:t>
            </w:r>
            <w:r>
              <w:t xml:space="preserve"> transitioning to global cooperation between 2020-40</w:t>
            </w:r>
            <w:r w:rsidRPr="00CF2EAE">
              <w:br/>
            </w:r>
          </w:p>
        </w:tc>
        <w:tc>
          <w:tcPr>
            <w:tcW w:w="4553" w:type="dxa"/>
            <w:hideMark/>
          </w:tcPr>
          <w:p w14:paraId="21416747" w14:textId="77777777" w:rsidR="005B7BFA" w:rsidRPr="00CF2EAE" w:rsidRDefault="005B7BFA" w:rsidP="001D3164">
            <w:pPr>
              <w:jc w:val="center"/>
            </w:pPr>
            <w:r w:rsidRPr="00CF2EAE">
              <w:rPr>
                <w:b/>
                <w:bCs/>
                <w:i/>
                <w:iCs/>
              </w:rPr>
              <w:t>SSP2, SSP4</w:t>
            </w:r>
          </w:p>
          <w:p w14:paraId="6523E1A9" w14:textId="77777777" w:rsidR="005B7BFA" w:rsidRPr="00CF2EAE" w:rsidRDefault="005B7BFA" w:rsidP="001D3164">
            <w:pPr>
              <w:jc w:val="center"/>
            </w:pPr>
            <w:r w:rsidRPr="00CF2EAE">
              <w:t>Intermediately effective (limited REDD)</w:t>
            </w:r>
          </w:p>
        </w:tc>
      </w:tr>
      <w:tr w:rsidR="005B7BFA" w:rsidRPr="00CF2EAE" w14:paraId="653F070E" w14:textId="77777777" w:rsidTr="003903B3">
        <w:trPr>
          <w:cnfStyle w:val="000000100000" w:firstRow="0" w:lastRow="0" w:firstColumn="0" w:lastColumn="0" w:oddVBand="0" w:evenVBand="0" w:oddHBand="1" w:evenHBand="0" w:firstRowFirstColumn="0" w:firstRowLastColumn="0" w:lastRowFirstColumn="0" w:lastRowLastColumn="0"/>
          <w:trHeight w:val="412"/>
        </w:trPr>
        <w:tc>
          <w:tcPr>
            <w:tcW w:w="4780" w:type="dxa"/>
            <w:hideMark/>
          </w:tcPr>
          <w:p w14:paraId="6D0F563C" w14:textId="77777777" w:rsidR="005B7BFA" w:rsidRPr="00CF2EAE" w:rsidRDefault="005B7BFA" w:rsidP="001D3164">
            <w:pPr>
              <w:jc w:val="center"/>
            </w:pPr>
            <w:r w:rsidRPr="00CF2EAE">
              <w:rPr>
                <w:b/>
                <w:bCs/>
                <w:i/>
                <w:iCs/>
              </w:rPr>
              <w:t>SSP3</w:t>
            </w:r>
          </w:p>
          <w:p w14:paraId="006C33E9" w14:textId="77777777" w:rsidR="005B7BFA" w:rsidRPr="00CF2EAE" w:rsidRDefault="005B7BFA" w:rsidP="001D3164">
            <w:pPr>
              <w:jc w:val="center"/>
            </w:pPr>
            <w:r w:rsidRPr="00CF2EAE">
              <w:t xml:space="preserve">Late accession </w:t>
            </w:r>
            <w:r>
              <w:t>–</w:t>
            </w:r>
            <w:r w:rsidRPr="00CF2EAE">
              <w:t xml:space="preserve"> </w:t>
            </w:r>
            <w:r>
              <w:t>higher income</w:t>
            </w:r>
            <w:r w:rsidRPr="00CF2EAE">
              <w:t xml:space="preserve"> regions join</w:t>
            </w:r>
            <w:r>
              <w:t xml:space="preserve"> global regime</w:t>
            </w:r>
            <w:r w:rsidRPr="00CF2EAE">
              <w:t xml:space="preserve"> </w:t>
            </w:r>
            <w:r>
              <w:t xml:space="preserve">between </w:t>
            </w:r>
            <w:r w:rsidRPr="00CF2EAE">
              <w:t>2020</w:t>
            </w:r>
            <w:r>
              <w:t xml:space="preserve">-2040, while lower income regions follow between 2030-2050 </w:t>
            </w:r>
          </w:p>
        </w:tc>
        <w:tc>
          <w:tcPr>
            <w:tcW w:w="4553" w:type="dxa"/>
            <w:hideMark/>
          </w:tcPr>
          <w:p w14:paraId="52102BB7" w14:textId="77777777" w:rsidR="005B7BFA" w:rsidRPr="00CF2EAE" w:rsidRDefault="005B7BFA" w:rsidP="001D3164">
            <w:pPr>
              <w:jc w:val="center"/>
            </w:pPr>
            <w:r w:rsidRPr="00CF2EAE">
              <w:rPr>
                <w:b/>
                <w:bCs/>
                <w:i/>
                <w:iCs/>
              </w:rPr>
              <w:t>SSP3</w:t>
            </w:r>
          </w:p>
          <w:p w14:paraId="5169DC8E" w14:textId="77777777" w:rsidR="005B7BFA" w:rsidRPr="00CF2EAE" w:rsidRDefault="005B7BFA" w:rsidP="001D3164">
            <w:pPr>
              <w:jc w:val="center"/>
            </w:pPr>
            <w:r w:rsidRPr="00CF2EAE">
              <w:t>Low effectiveness (implementation failures and high transaction costs)</w:t>
            </w:r>
          </w:p>
        </w:tc>
      </w:tr>
    </w:tbl>
    <w:p w14:paraId="37E724F3" w14:textId="77777777" w:rsidR="00E359E5" w:rsidRDefault="00E359E5">
      <w:pPr>
        <w:spacing w:line="259" w:lineRule="auto"/>
        <w:rPr>
          <w:i/>
          <w:lang w:val="en-GB"/>
        </w:rPr>
      </w:pPr>
      <w:r>
        <w:rPr>
          <w:i/>
          <w:lang w:val="en-GB"/>
        </w:rPr>
        <w:br w:type="page"/>
      </w:r>
    </w:p>
    <w:p w14:paraId="398154E5" w14:textId="77777777" w:rsidR="00B939D5" w:rsidRDefault="00B939D5" w:rsidP="00B939D5">
      <w:pPr>
        <w:pStyle w:val="Heading1"/>
      </w:pPr>
      <w:bookmarkStart w:id="23" w:name="_Toc449104541"/>
      <w:r>
        <w:lastRenderedPageBreak/>
        <w:t>Supplementary figures</w:t>
      </w:r>
      <w:bookmarkEnd w:id="23"/>
    </w:p>
    <w:p w14:paraId="31A2AE22" w14:textId="77777777" w:rsidR="00E04A15" w:rsidRDefault="00E04A15">
      <w:pPr>
        <w:spacing w:line="259" w:lineRule="auto"/>
        <w:rPr>
          <w:i/>
          <w:lang w:val="en-GB"/>
        </w:rPr>
      </w:pPr>
    </w:p>
    <w:p w14:paraId="48FF1921" w14:textId="7B5FC302" w:rsidR="004B4717" w:rsidRDefault="0059436D" w:rsidP="00C975A7">
      <w:pPr>
        <w:pStyle w:val="Heading2"/>
        <w:rPr>
          <w:lang w:val="en-GB"/>
        </w:rPr>
      </w:pPr>
      <w:bookmarkStart w:id="24" w:name="_Toc449104542"/>
      <w:r>
        <w:rPr>
          <w:lang w:val="en-GB"/>
        </w:rPr>
        <w:t>Technology cost evolution</w:t>
      </w:r>
      <w:bookmarkEnd w:id="24"/>
    </w:p>
    <w:p w14:paraId="59F5610E" w14:textId="77777777" w:rsidR="0059436D" w:rsidRDefault="0059436D" w:rsidP="0059436D">
      <w:pPr>
        <w:rPr>
          <w:lang w:val="en-GB"/>
        </w:rPr>
      </w:pPr>
    </w:p>
    <w:p w14:paraId="35993A6A" w14:textId="7E9CDDAE" w:rsidR="0059436D" w:rsidRPr="0059436D" w:rsidRDefault="006B5888" w:rsidP="0059436D">
      <w:pPr>
        <w:rPr>
          <w:lang w:val="en-GB"/>
        </w:rPr>
      </w:pPr>
      <w:r>
        <w:rPr>
          <w:noProof/>
          <w:lang w:val="en-GB" w:eastAsia="en-GB"/>
        </w:rPr>
        <w:drawing>
          <wp:inline distT="0" distB="0" distL="0" distR="0" wp14:anchorId="016E6F1A" wp14:editId="67038D47">
            <wp:extent cx="6132207" cy="484441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5059" cy="4846668"/>
                    </a:xfrm>
                    <a:prstGeom prst="rect">
                      <a:avLst/>
                    </a:prstGeom>
                    <a:noFill/>
                  </pic:spPr>
                </pic:pic>
              </a:graphicData>
            </a:graphic>
          </wp:inline>
        </w:drawing>
      </w:r>
    </w:p>
    <w:p w14:paraId="23A51E4C" w14:textId="7DBD2126" w:rsidR="00216FC3" w:rsidRPr="00BD3F58" w:rsidRDefault="0059436D" w:rsidP="00BD3F58">
      <w:pPr>
        <w:pStyle w:val="Caption"/>
        <w:rPr>
          <w:i w:val="0"/>
          <w:iCs w:val="0"/>
          <w:lang w:val="en-GB"/>
        </w:rPr>
      </w:pPr>
      <w:r w:rsidRPr="002A4D28">
        <w:rPr>
          <w:lang w:val="en-US"/>
        </w:rPr>
        <w:t xml:space="preserve">Figure </w:t>
      </w:r>
      <w:r>
        <w:rPr>
          <w:lang w:val="en-US"/>
        </w:rPr>
        <w:t>S</w:t>
      </w:r>
      <w:r>
        <w:fldChar w:fldCharType="begin"/>
      </w:r>
      <w:r w:rsidRPr="002A4D28">
        <w:rPr>
          <w:lang w:val="en-US"/>
        </w:rPr>
        <w:instrText xml:space="preserve"> SEQ Figure \* ARABIC </w:instrText>
      </w:r>
      <w:r>
        <w:fldChar w:fldCharType="separate"/>
      </w:r>
      <w:r w:rsidR="000A24D2">
        <w:rPr>
          <w:noProof/>
          <w:lang w:val="en-US"/>
        </w:rPr>
        <w:t>1</w:t>
      </w:r>
      <w:r>
        <w:fldChar w:fldCharType="end"/>
      </w:r>
      <w:r w:rsidRPr="002A4D28">
        <w:rPr>
          <w:lang w:val="en-US"/>
        </w:rPr>
        <w:t xml:space="preserve">: </w:t>
      </w:r>
      <w:r>
        <w:rPr>
          <w:lang w:val="en-US"/>
        </w:rPr>
        <w:t>Cost indicators for thermoe</w:t>
      </w:r>
      <w:r w:rsidR="006B5888">
        <w:rPr>
          <w:lang w:val="en-US"/>
        </w:rPr>
        <w:t xml:space="preserve">lectric power-plant investment. Black ranges show </w:t>
      </w:r>
      <w:r w:rsidR="00216FC3">
        <w:rPr>
          <w:lang w:val="en-US"/>
        </w:rPr>
        <w:t xml:space="preserve">historical </w:t>
      </w:r>
      <w:r w:rsidR="006B5888">
        <w:rPr>
          <w:lang w:val="en-US"/>
        </w:rPr>
        <w:t>cost ranges for 2005</w:t>
      </w:r>
      <w:r w:rsidR="00216FC3">
        <w:rPr>
          <w:lang w:val="en-US"/>
        </w:rPr>
        <w:t>. Green, blue, and red ranges show cost ra</w:t>
      </w:r>
      <w:r w:rsidR="00216FC3" w:rsidRPr="00216FC3">
        <w:rPr>
          <w:lang w:val="en-US"/>
        </w:rPr>
        <w:t>nges in 2100 for SSP1, SSP2, and SSP3, respectively</w:t>
      </w:r>
      <w:r w:rsidRPr="00216FC3">
        <w:rPr>
          <w:lang w:val="en-US"/>
        </w:rPr>
        <w:t>.</w:t>
      </w:r>
      <w:r w:rsidR="006B5888" w:rsidRPr="00216FC3">
        <w:rPr>
          <w:lang w:val="en-US"/>
        </w:rPr>
        <w:t xml:space="preserve"> Global values are repres</w:t>
      </w:r>
      <w:r w:rsidR="00216FC3" w:rsidRPr="00216FC3">
        <w:rPr>
          <w:lang w:val="en-US"/>
        </w:rPr>
        <w:t>en</w:t>
      </w:r>
      <w:r w:rsidR="006B5888" w:rsidRPr="00216FC3">
        <w:rPr>
          <w:lang w:val="en-US"/>
        </w:rPr>
        <w:t>t</w:t>
      </w:r>
      <w:r w:rsidR="00216FC3" w:rsidRPr="00216FC3">
        <w:rPr>
          <w:lang w:val="en-US"/>
        </w:rPr>
        <w:t>ed by solid ranges. Values in the global South are represented</w:t>
      </w:r>
      <w:r w:rsidR="00216FC3">
        <w:rPr>
          <w:lang w:val="en-US"/>
        </w:rPr>
        <w:t xml:space="preserve"> by dashed ranges. The diamonds show the costs in the “North America” region. </w:t>
      </w:r>
      <w:r w:rsidR="004C2ED2">
        <w:rPr>
          <w:lang w:val="en-US"/>
        </w:rPr>
        <w:t>CCS – Carbon Capture and Storage; IGCC – Integrated gasification combined cycles; ST – Steam turbine; CT – Combustion turbine; CCGT – Combined cycle gas turbine</w:t>
      </w:r>
    </w:p>
    <w:p w14:paraId="4EAB6824" w14:textId="452794C0" w:rsidR="00216FC3" w:rsidRPr="0059436D" w:rsidRDefault="00216FC3" w:rsidP="00216FC3">
      <w:pPr>
        <w:rPr>
          <w:lang w:val="en-GB"/>
        </w:rPr>
      </w:pPr>
      <w:r>
        <w:rPr>
          <w:noProof/>
          <w:lang w:val="en-GB" w:eastAsia="en-GB"/>
        </w:rPr>
        <w:lastRenderedPageBreak/>
        <w:drawing>
          <wp:inline distT="0" distB="0" distL="0" distR="0" wp14:anchorId="04837A1C" wp14:editId="2FF94059">
            <wp:extent cx="6237698" cy="4950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9474" cy="4951870"/>
                    </a:xfrm>
                    <a:prstGeom prst="rect">
                      <a:avLst/>
                    </a:prstGeom>
                    <a:noFill/>
                  </pic:spPr>
                </pic:pic>
              </a:graphicData>
            </a:graphic>
          </wp:inline>
        </w:drawing>
      </w:r>
    </w:p>
    <w:p w14:paraId="5A3B9EDF" w14:textId="001EFF4D" w:rsidR="00216FC3" w:rsidRDefault="00216FC3" w:rsidP="009A023D">
      <w:pPr>
        <w:pStyle w:val="Caption"/>
        <w:rPr>
          <w:i w:val="0"/>
          <w:iCs w:val="0"/>
        </w:rPr>
      </w:pPr>
      <w:r w:rsidRPr="002A4D28">
        <w:rPr>
          <w:lang w:val="en-US"/>
        </w:rPr>
        <w:t xml:space="preserve">Figure </w:t>
      </w:r>
      <w:r>
        <w:rPr>
          <w:lang w:val="en-US"/>
        </w:rPr>
        <w:t>S</w:t>
      </w:r>
      <w:r>
        <w:fldChar w:fldCharType="begin"/>
      </w:r>
      <w:r w:rsidRPr="002A4D28">
        <w:rPr>
          <w:lang w:val="en-US"/>
        </w:rPr>
        <w:instrText xml:space="preserve"> SEQ Figure \* ARABIC </w:instrText>
      </w:r>
      <w:r>
        <w:fldChar w:fldCharType="separate"/>
      </w:r>
      <w:r w:rsidR="000A24D2">
        <w:rPr>
          <w:noProof/>
          <w:lang w:val="en-US"/>
        </w:rPr>
        <w:t>2</w:t>
      </w:r>
      <w:r>
        <w:fldChar w:fldCharType="end"/>
      </w:r>
      <w:r w:rsidRPr="002A4D28">
        <w:rPr>
          <w:lang w:val="en-US"/>
        </w:rPr>
        <w:t xml:space="preserve">: </w:t>
      </w:r>
      <w:r>
        <w:rPr>
          <w:lang w:val="en-US"/>
        </w:rPr>
        <w:t>Cost indicators for non-thermoelectric power-plant investment. Black ranges show historical cost ranges for 2005. Green, blue, and red ranges show cost ra</w:t>
      </w:r>
      <w:r w:rsidRPr="00216FC3">
        <w:rPr>
          <w:lang w:val="en-US"/>
        </w:rPr>
        <w:t>nges in 2100 for SSP1, SSP2, and SSP3, respectively. Global values are represented by solid ranges. Values in the global South are represented by da</w:t>
      </w:r>
      <w:r>
        <w:rPr>
          <w:lang w:val="en-US"/>
        </w:rPr>
        <w:t xml:space="preserve">shed ranges. The diamonds show the costs in the “North America” region. </w:t>
      </w:r>
      <w:r w:rsidR="004C2ED2">
        <w:rPr>
          <w:lang w:val="en-US"/>
        </w:rPr>
        <w:t xml:space="preserve">PV – Photovoltaic; </w:t>
      </w:r>
      <w:r>
        <w:br w:type="page"/>
      </w:r>
    </w:p>
    <w:p w14:paraId="3C4AC261" w14:textId="0EA69743" w:rsidR="00216FC3" w:rsidRPr="0059436D" w:rsidRDefault="00216FC3" w:rsidP="00216FC3">
      <w:pPr>
        <w:rPr>
          <w:lang w:val="en-GB"/>
        </w:rPr>
      </w:pPr>
      <w:r>
        <w:rPr>
          <w:noProof/>
          <w:lang w:val="en-GB" w:eastAsia="en-GB"/>
        </w:rPr>
        <w:lastRenderedPageBreak/>
        <w:drawing>
          <wp:inline distT="0" distB="0" distL="0" distR="0" wp14:anchorId="2CA767E8" wp14:editId="60EE6B96">
            <wp:extent cx="5863394" cy="4673469"/>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89" cy="4676733"/>
                    </a:xfrm>
                    <a:prstGeom prst="rect">
                      <a:avLst/>
                    </a:prstGeom>
                    <a:noFill/>
                  </pic:spPr>
                </pic:pic>
              </a:graphicData>
            </a:graphic>
          </wp:inline>
        </w:drawing>
      </w:r>
    </w:p>
    <w:p w14:paraId="34822C8F" w14:textId="4DC09141" w:rsidR="00E658DD" w:rsidRPr="00FB4FCA" w:rsidRDefault="00216FC3" w:rsidP="009A023D">
      <w:pPr>
        <w:pStyle w:val="Caption"/>
        <w:rPr>
          <w:lang w:val="en-US"/>
        </w:rPr>
      </w:pPr>
      <w:r w:rsidRPr="002A4D28">
        <w:rPr>
          <w:lang w:val="en-US"/>
        </w:rPr>
        <w:t xml:space="preserve">Figure </w:t>
      </w:r>
      <w:r>
        <w:rPr>
          <w:lang w:val="en-US"/>
        </w:rPr>
        <w:t>S</w:t>
      </w:r>
      <w:r>
        <w:fldChar w:fldCharType="begin"/>
      </w:r>
      <w:r w:rsidRPr="002A4D28">
        <w:rPr>
          <w:lang w:val="en-US"/>
        </w:rPr>
        <w:instrText xml:space="preserve"> SEQ Figure \* ARABIC </w:instrText>
      </w:r>
      <w:r>
        <w:fldChar w:fldCharType="separate"/>
      </w:r>
      <w:r w:rsidR="000A24D2">
        <w:rPr>
          <w:noProof/>
          <w:lang w:val="en-US"/>
        </w:rPr>
        <w:t>3</w:t>
      </w:r>
      <w:r>
        <w:fldChar w:fldCharType="end"/>
      </w:r>
      <w:r w:rsidRPr="002A4D28">
        <w:rPr>
          <w:lang w:val="en-US"/>
        </w:rPr>
        <w:t xml:space="preserve">: </w:t>
      </w:r>
      <w:r>
        <w:rPr>
          <w:lang w:val="en-US"/>
        </w:rPr>
        <w:t>Cost indicators for other conversion technology investment. Black ranges show historical cost ranges for 2005. Green, blue, and red ranges show cost ra</w:t>
      </w:r>
      <w:r w:rsidRPr="00216FC3">
        <w:rPr>
          <w:lang w:val="en-US"/>
        </w:rPr>
        <w:t>nges in 2100 for SSP1, SSP2, and SSP3, respectively. Global values are represented by solid ranges. Values in the global South are represented by da</w:t>
      </w:r>
      <w:r>
        <w:rPr>
          <w:lang w:val="en-US"/>
        </w:rPr>
        <w:t xml:space="preserve">shed ranges. The diamonds show the costs in the “North America” region. </w:t>
      </w:r>
      <w:r w:rsidR="004C2ED2">
        <w:rPr>
          <w:lang w:val="en-US"/>
        </w:rPr>
        <w:t>CCS – Carbon capture and storage; CTL – Coal to liquids; GTL – Gas to li</w:t>
      </w:r>
      <w:r w:rsidR="009A023D">
        <w:rPr>
          <w:lang w:val="en-US"/>
        </w:rPr>
        <w:t>quids; BTL – Biomass to liquids.</w:t>
      </w:r>
      <w:r w:rsidR="00E658DD" w:rsidRPr="00FB4FCA">
        <w:rPr>
          <w:lang w:val="en-US"/>
        </w:rPr>
        <w:br w:type="page"/>
      </w:r>
    </w:p>
    <w:p w14:paraId="00F434A8" w14:textId="77777777" w:rsidR="00150741" w:rsidRDefault="00150741" w:rsidP="00150741">
      <w:pPr>
        <w:pStyle w:val="Heading2"/>
      </w:pPr>
      <w:bookmarkStart w:id="25" w:name="_Toc449104543"/>
      <w:r>
        <w:lastRenderedPageBreak/>
        <w:t>Dietary Composition across SSPs</w:t>
      </w:r>
      <w:bookmarkEnd w:id="25"/>
      <w:r>
        <w:t xml:space="preserve"> </w:t>
      </w:r>
    </w:p>
    <w:p w14:paraId="3394C82E" w14:textId="11796E12" w:rsidR="00616EDE" w:rsidRDefault="00616EDE" w:rsidP="00616EDE">
      <w:pPr>
        <w:pStyle w:val="Heading2"/>
      </w:pPr>
    </w:p>
    <w:p w14:paraId="6DD05A8F" w14:textId="77777777" w:rsidR="00E21289" w:rsidRDefault="00E21289" w:rsidP="00E21289"/>
    <w:p w14:paraId="6D2F2116" w14:textId="77777777" w:rsidR="00E21289" w:rsidRDefault="00E21289" w:rsidP="00E21289"/>
    <w:p w14:paraId="44153843" w14:textId="77777777" w:rsidR="00E21289" w:rsidRDefault="00E21289" w:rsidP="00AB5AEB">
      <w:pPr>
        <w:pStyle w:val="Caption"/>
      </w:pPr>
    </w:p>
    <w:p w14:paraId="7D1C3223" w14:textId="77777777" w:rsidR="00E21289" w:rsidRPr="00E21289" w:rsidRDefault="00E21289" w:rsidP="00AB5AEB">
      <w:pPr>
        <w:pStyle w:val="Caption"/>
      </w:pPr>
    </w:p>
    <w:p w14:paraId="3DBC53B7" w14:textId="77777777" w:rsidR="002A4D28" w:rsidRDefault="009B3EC4" w:rsidP="00AB5AEB">
      <w:pPr>
        <w:pStyle w:val="Caption"/>
      </w:pPr>
      <w:r>
        <w:rPr>
          <w:noProof/>
          <w:lang w:val="en-GB" w:eastAsia="en-GB"/>
        </w:rPr>
        <w:drawing>
          <wp:inline distT="0" distB="0" distL="0" distR="0" wp14:anchorId="01CE098B" wp14:editId="198793B6">
            <wp:extent cx="5760720" cy="4754880"/>
            <wp:effectExtent l="0" t="0" r="1143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B65D54" w14:textId="0BB91F8C" w:rsidR="00E419DF" w:rsidRPr="00FB4FCA" w:rsidRDefault="002A4D28" w:rsidP="009A023D">
      <w:pPr>
        <w:pStyle w:val="Caption"/>
        <w:rPr>
          <w:lang w:val="en-US"/>
        </w:rPr>
      </w:pPr>
      <w:r w:rsidRPr="002A4D28">
        <w:rPr>
          <w:lang w:val="en-US"/>
        </w:rPr>
        <w:t xml:space="preserve">Figure </w:t>
      </w:r>
      <w:r w:rsidR="009B3EC4">
        <w:rPr>
          <w:lang w:val="en-US"/>
        </w:rPr>
        <w:t>S</w:t>
      </w:r>
      <w:r>
        <w:fldChar w:fldCharType="begin"/>
      </w:r>
      <w:r w:rsidRPr="002A4D28">
        <w:rPr>
          <w:lang w:val="en-US"/>
        </w:rPr>
        <w:instrText xml:space="preserve"> SEQ Figure \* ARABIC </w:instrText>
      </w:r>
      <w:r>
        <w:fldChar w:fldCharType="separate"/>
      </w:r>
      <w:r w:rsidR="000A24D2">
        <w:rPr>
          <w:noProof/>
          <w:lang w:val="en-US"/>
        </w:rPr>
        <w:t>4</w:t>
      </w:r>
      <w:r>
        <w:fldChar w:fldCharType="end"/>
      </w:r>
      <w:r w:rsidRPr="002A4D28">
        <w:rPr>
          <w:lang w:val="en-US"/>
        </w:rPr>
        <w:t>: Global dietary composition</w:t>
      </w:r>
      <w:r w:rsidR="00E21289">
        <w:rPr>
          <w:lang w:val="en-US"/>
        </w:rPr>
        <w:t xml:space="preserve"> by type (</w:t>
      </w:r>
      <w:r w:rsidR="0007495E">
        <w:rPr>
          <w:lang w:val="en-US"/>
        </w:rPr>
        <w:t>split between</w:t>
      </w:r>
      <w:r w:rsidR="00801BB2">
        <w:rPr>
          <w:lang w:val="en-US"/>
        </w:rPr>
        <w:t xml:space="preserve"> </w:t>
      </w:r>
      <w:r w:rsidR="0007495E">
        <w:rPr>
          <w:lang w:val="en-US"/>
        </w:rPr>
        <w:t>c</w:t>
      </w:r>
      <w:r w:rsidR="00E21289">
        <w:rPr>
          <w:lang w:val="en-US"/>
        </w:rPr>
        <w:t xml:space="preserve">rops </w:t>
      </w:r>
      <w:r w:rsidR="0007495E">
        <w:rPr>
          <w:lang w:val="en-US"/>
        </w:rPr>
        <w:t>and</w:t>
      </w:r>
      <w:r w:rsidR="00E21289">
        <w:rPr>
          <w:lang w:val="en-US"/>
        </w:rPr>
        <w:t xml:space="preserve"> </w:t>
      </w:r>
      <w:r w:rsidR="0007495E">
        <w:rPr>
          <w:lang w:val="en-US"/>
        </w:rPr>
        <w:t>l</w:t>
      </w:r>
      <w:r w:rsidR="00E21289">
        <w:rPr>
          <w:lang w:val="en-US"/>
        </w:rPr>
        <w:t>ivestock)</w:t>
      </w:r>
      <w:r w:rsidRPr="002A4D28">
        <w:rPr>
          <w:lang w:val="en-US"/>
        </w:rPr>
        <w:t xml:space="preserve"> for the baseyear (2010), 2050 and 2100 for SSP1, SSP2 and SSP</w:t>
      </w:r>
      <w:r w:rsidR="00E21289">
        <w:rPr>
          <w:lang w:val="en-US"/>
        </w:rPr>
        <w:t xml:space="preserve">3, respectively. Note that although SSP3 is assumed to allow for a higher environmental impact of food consumption, the contribution of livestock in the average diet is lower than in SSP1 and SSP2, due to overall lower income levels. </w:t>
      </w:r>
      <w:r w:rsidR="00E419DF" w:rsidRPr="00FB4FCA">
        <w:rPr>
          <w:lang w:val="en-US"/>
        </w:rPr>
        <w:br w:type="page"/>
      </w:r>
    </w:p>
    <w:p w14:paraId="152736F6" w14:textId="77777777" w:rsidR="00E658DD" w:rsidRDefault="00DD5062" w:rsidP="00DD5062">
      <w:pPr>
        <w:pStyle w:val="Heading2"/>
      </w:pPr>
      <w:bookmarkStart w:id="26" w:name="_Toc449104544"/>
      <w:r>
        <w:lastRenderedPageBreak/>
        <w:t>Land-use resources</w:t>
      </w:r>
      <w:bookmarkEnd w:id="26"/>
    </w:p>
    <w:p w14:paraId="1C742DDF" w14:textId="77777777" w:rsidR="00E419DF" w:rsidRDefault="00E419DF" w:rsidP="00E419DF"/>
    <w:p w14:paraId="301087D3" w14:textId="77777777" w:rsidR="00E419DF" w:rsidRDefault="00E419DF" w:rsidP="00E419DF"/>
    <w:p w14:paraId="05376BE5" w14:textId="77777777" w:rsidR="00E419DF" w:rsidRDefault="00E419DF" w:rsidP="00E419DF"/>
    <w:p w14:paraId="3A32D32F" w14:textId="77777777" w:rsidR="00E419DF" w:rsidRPr="00E419DF" w:rsidRDefault="00E419DF" w:rsidP="00E419DF"/>
    <w:p w14:paraId="4ADC853F" w14:textId="77777777" w:rsidR="00434BCF" w:rsidRDefault="009B3EC4" w:rsidP="00434BCF">
      <w:pPr>
        <w:keepNext/>
        <w:spacing w:line="259" w:lineRule="auto"/>
      </w:pPr>
      <w:r>
        <w:rPr>
          <w:noProof/>
          <w:lang w:val="en-GB" w:eastAsia="en-GB"/>
        </w:rPr>
        <w:drawing>
          <wp:inline distT="0" distB="0" distL="0" distR="0" wp14:anchorId="2BDD6046" wp14:editId="013A5D3A">
            <wp:extent cx="5760720" cy="4752975"/>
            <wp:effectExtent l="0" t="0" r="1143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655956" w14:textId="0B2C1AB0" w:rsidR="007623DC" w:rsidRDefault="00434BCF" w:rsidP="009A023D">
      <w:pPr>
        <w:pStyle w:val="Caption"/>
        <w:jc w:val="both"/>
        <w:rPr>
          <w:b/>
          <w:color w:val="FF0000"/>
          <w:lang w:val="en-GB"/>
        </w:rPr>
      </w:pPr>
      <w:r w:rsidRPr="00434BCF">
        <w:rPr>
          <w:lang w:val="en-US"/>
        </w:rPr>
        <w:t xml:space="preserve">Figure </w:t>
      </w:r>
      <w:r w:rsidR="009B3EC4">
        <w:rPr>
          <w:lang w:val="en-US"/>
        </w:rPr>
        <w:t>S</w:t>
      </w:r>
      <w:r>
        <w:fldChar w:fldCharType="begin"/>
      </w:r>
      <w:r w:rsidRPr="00434BCF">
        <w:rPr>
          <w:lang w:val="en-US"/>
        </w:rPr>
        <w:instrText xml:space="preserve"> SEQ Figure \* ARABIC </w:instrText>
      </w:r>
      <w:r>
        <w:fldChar w:fldCharType="separate"/>
      </w:r>
      <w:r w:rsidR="000A24D2">
        <w:rPr>
          <w:noProof/>
          <w:lang w:val="en-US"/>
        </w:rPr>
        <w:t>5</w:t>
      </w:r>
      <w:r>
        <w:fldChar w:fldCharType="end"/>
      </w:r>
      <w:r w:rsidRPr="00434BCF">
        <w:rPr>
          <w:lang w:val="en-US"/>
        </w:rPr>
        <w:t>: Global bioenergy potentials</w:t>
      </w:r>
      <w:r w:rsidR="00223C21" w:rsidRPr="00223C21">
        <w:rPr>
          <w:lang w:val="en-US"/>
        </w:rPr>
        <w:t xml:space="preserve"> </w:t>
      </w:r>
      <w:r w:rsidR="00223C21" w:rsidRPr="00434BCF">
        <w:rPr>
          <w:lang w:val="en-US"/>
        </w:rPr>
        <w:t>by feedstock type</w:t>
      </w:r>
      <w:r w:rsidRPr="00434BCF">
        <w:rPr>
          <w:lang w:val="en-US"/>
        </w:rPr>
        <w:t xml:space="preserve"> for the baseyear (2010), 2050 a</w:t>
      </w:r>
      <w:r w:rsidR="00223C21">
        <w:rPr>
          <w:lang w:val="en-US"/>
        </w:rPr>
        <w:t>nd 2100 for SSP1, SSP2 and SSP3, respectively.</w:t>
      </w:r>
      <w:r w:rsidR="007623DC">
        <w:rPr>
          <w:b/>
          <w:color w:val="FF0000"/>
          <w:lang w:val="en-GB"/>
        </w:rPr>
        <w:br w:type="page"/>
      </w:r>
    </w:p>
    <w:p w14:paraId="284CA7C0" w14:textId="6C169395" w:rsidR="007B20F1" w:rsidRDefault="007B20F1" w:rsidP="007B20F1">
      <w:pPr>
        <w:pStyle w:val="Heading2"/>
        <w:rPr>
          <w:lang w:val="en-GB"/>
        </w:rPr>
      </w:pPr>
      <w:bookmarkStart w:id="27" w:name="_Toc449104545"/>
      <w:r>
        <w:rPr>
          <w:lang w:val="en-GB"/>
        </w:rPr>
        <w:lastRenderedPageBreak/>
        <w:t>MESSAGE-GLOBIOM integration</w:t>
      </w:r>
      <w:bookmarkEnd w:id="27"/>
    </w:p>
    <w:p w14:paraId="39289D49" w14:textId="77777777" w:rsidR="007B20F1" w:rsidRDefault="007B20F1">
      <w:pPr>
        <w:spacing w:line="259" w:lineRule="auto"/>
        <w:rPr>
          <w:lang w:val="en-GB"/>
        </w:rPr>
      </w:pPr>
    </w:p>
    <w:p w14:paraId="4B966395" w14:textId="08433619" w:rsidR="007B20F1" w:rsidRDefault="007B20F1">
      <w:pPr>
        <w:spacing w:line="259" w:lineRule="auto"/>
        <w:rPr>
          <w:lang w:val="en-GB"/>
        </w:rPr>
      </w:pPr>
      <w:r>
        <w:rPr>
          <w:noProof/>
          <w:lang w:val="en-GB" w:eastAsia="en-GB"/>
        </w:rPr>
        <w:drawing>
          <wp:inline distT="0" distB="0" distL="0" distR="0" wp14:anchorId="157F12CF" wp14:editId="54F39983">
            <wp:extent cx="5760720" cy="399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IOM_emulature_20160331-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14:paraId="63ADAFF4" w14:textId="77777777" w:rsidR="007B3576" w:rsidRDefault="007B20F1">
      <w:pPr>
        <w:spacing w:line="259" w:lineRule="auto"/>
        <w:rPr>
          <w:i/>
          <w:iCs/>
          <w:color w:val="44546A" w:themeColor="text2"/>
          <w:sz w:val="18"/>
          <w:szCs w:val="18"/>
        </w:rPr>
      </w:pPr>
      <w:r w:rsidRPr="007B20F1">
        <w:rPr>
          <w:i/>
          <w:iCs/>
          <w:color w:val="44546A" w:themeColor="text2"/>
          <w:sz w:val="18"/>
          <w:szCs w:val="18"/>
        </w:rPr>
        <w:t>Figure S</w:t>
      </w:r>
      <w:r w:rsidRPr="007B20F1">
        <w:rPr>
          <w:i/>
          <w:iCs/>
          <w:color w:val="44546A" w:themeColor="text2"/>
          <w:sz w:val="18"/>
          <w:szCs w:val="18"/>
        </w:rPr>
        <w:fldChar w:fldCharType="begin"/>
      </w:r>
      <w:r w:rsidRPr="007B20F1">
        <w:rPr>
          <w:i/>
          <w:iCs/>
          <w:color w:val="44546A" w:themeColor="text2"/>
          <w:sz w:val="18"/>
          <w:szCs w:val="18"/>
        </w:rPr>
        <w:instrText xml:space="preserve"> SEQ Figure \* ARABIC </w:instrText>
      </w:r>
      <w:r w:rsidRPr="007B20F1">
        <w:rPr>
          <w:i/>
          <w:iCs/>
          <w:color w:val="44546A" w:themeColor="text2"/>
          <w:sz w:val="18"/>
          <w:szCs w:val="18"/>
        </w:rPr>
        <w:fldChar w:fldCharType="separate"/>
      </w:r>
      <w:r w:rsidR="000A24D2">
        <w:rPr>
          <w:i/>
          <w:iCs/>
          <w:noProof/>
          <w:color w:val="44546A" w:themeColor="text2"/>
          <w:sz w:val="18"/>
          <w:szCs w:val="18"/>
        </w:rPr>
        <w:t>6</w:t>
      </w:r>
      <w:r w:rsidRPr="007B20F1">
        <w:rPr>
          <w:i/>
          <w:iCs/>
          <w:color w:val="44546A" w:themeColor="text2"/>
          <w:sz w:val="18"/>
          <w:szCs w:val="18"/>
        </w:rPr>
        <w:fldChar w:fldCharType="end"/>
      </w:r>
      <w:r w:rsidRPr="007B20F1">
        <w:rPr>
          <w:i/>
          <w:iCs/>
          <w:color w:val="44546A" w:themeColor="text2"/>
          <w:sz w:val="18"/>
          <w:szCs w:val="18"/>
        </w:rPr>
        <w:t xml:space="preserve">: </w:t>
      </w:r>
      <w:r>
        <w:rPr>
          <w:i/>
          <w:iCs/>
          <w:color w:val="44546A" w:themeColor="text2"/>
          <w:sz w:val="18"/>
          <w:szCs w:val="18"/>
        </w:rPr>
        <w:t xml:space="preserve">Emulated biomass supply per biomass category as used in the SSP2 RCP2.6 scenario. Biomass categories are based on the type of biomass and the assumed </w:t>
      </w:r>
      <w:r w:rsidRPr="007B20F1">
        <w:rPr>
          <w:rFonts w:cs="Times New Roman"/>
          <w:i/>
          <w:iCs/>
          <w:color w:val="44546A" w:themeColor="text2"/>
          <w:sz w:val="18"/>
          <w:szCs w:val="18"/>
          <w:lang w:val="en-GB"/>
        </w:rPr>
        <w:t>CO</w:t>
      </w:r>
      <w:r w:rsidRPr="007B20F1">
        <w:rPr>
          <w:rFonts w:cs="Times New Roman"/>
          <w:i/>
          <w:iCs/>
          <w:color w:val="44546A" w:themeColor="text2"/>
          <w:sz w:val="18"/>
          <w:szCs w:val="18"/>
          <w:vertAlign w:val="subscript"/>
          <w:lang w:val="en-GB"/>
        </w:rPr>
        <w:t>2</w:t>
      </w:r>
      <w:r>
        <w:rPr>
          <w:i/>
          <w:iCs/>
          <w:color w:val="44546A" w:themeColor="text2"/>
          <w:sz w:val="18"/>
          <w:szCs w:val="18"/>
        </w:rPr>
        <w:t xml:space="preserve">-equivalent price at which they become available. </w:t>
      </w:r>
    </w:p>
    <w:p w14:paraId="63BE828E" w14:textId="77777777" w:rsidR="007B3576" w:rsidRDefault="007B3576">
      <w:pPr>
        <w:spacing w:line="259" w:lineRule="auto"/>
        <w:rPr>
          <w:i/>
          <w:iCs/>
          <w:color w:val="44546A" w:themeColor="text2"/>
          <w:sz w:val="18"/>
          <w:szCs w:val="18"/>
        </w:rPr>
      </w:pPr>
      <w:r>
        <w:rPr>
          <w:i/>
          <w:iCs/>
          <w:color w:val="44546A" w:themeColor="text2"/>
          <w:sz w:val="18"/>
          <w:szCs w:val="18"/>
        </w:rPr>
        <w:br w:type="page"/>
      </w:r>
    </w:p>
    <w:p w14:paraId="69C64D0C" w14:textId="52503F46" w:rsidR="007B3576" w:rsidRDefault="007B3576" w:rsidP="007B3576">
      <w:pPr>
        <w:spacing w:line="259" w:lineRule="auto"/>
        <w:rPr>
          <w:lang w:val="en-GB"/>
        </w:rPr>
      </w:pPr>
      <w:r>
        <w:rPr>
          <w:noProof/>
          <w:lang w:val="en-GB" w:eastAsia="en-GB"/>
        </w:rPr>
        <w:lastRenderedPageBreak/>
        <w:drawing>
          <wp:inline distT="0" distB="0" distL="0" distR="0" wp14:anchorId="6B9852D8" wp14:editId="20A5D0E9">
            <wp:extent cx="5760720" cy="5066665"/>
            <wp:effectExtent l="0" t="0" r="1143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AEAFF1" w14:textId="557D08FA" w:rsidR="007B20F1" w:rsidRDefault="007B3576" w:rsidP="007B3576">
      <w:pPr>
        <w:spacing w:line="259" w:lineRule="auto"/>
        <w:rPr>
          <w:rFonts w:asciiTheme="majorHAnsi" w:eastAsiaTheme="majorEastAsia" w:hAnsiTheme="majorHAnsi" w:cstheme="majorBidi"/>
          <w:color w:val="2E74B5" w:themeColor="accent1" w:themeShade="BF"/>
          <w:sz w:val="26"/>
          <w:szCs w:val="26"/>
          <w:lang w:val="en-GB"/>
        </w:rPr>
      </w:pPr>
      <w:r w:rsidRPr="007B20F1">
        <w:rPr>
          <w:i/>
          <w:iCs/>
          <w:color w:val="44546A" w:themeColor="text2"/>
          <w:sz w:val="18"/>
          <w:szCs w:val="18"/>
        </w:rPr>
        <w:t>Figure S</w:t>
      </w:r>
      <w:r w:rsidRPr="007B20F1">
        <w:rPr>
          <w:i/>
          <w:iCs/>
          <w:color w:val="44546A" w:themeColor="text2"/>
          <w:sz w:val="18"/>
          <w:szCs w:val="18"/>
        </w:rPr>
        <w:fldChar w:fldCharType="begin"/>
      </w:r>
      <w:r w:rsidRPr="007B20F1">
        <w:rPr>
          <w:i/>
          <w:iCs/>
          <w:color w:val="44546A" w:themeColor="text2"/>
          <w:sz w:val="18"/>
          <w:szCs w:val="18"/>
        </w:rPr>
        <w:instrText xml:space="preserve"> SEQ Figure \* ARABIC </w:instrText>
      </w:r>
      <w:r w:rsidRPr="007B20F1">
        <w:rPr>
          <w:i/>
          <w:iCs/>
          <w:color w:val="44546A" w:themeColor="text2"/>
          <w:sz w:val="18"/>
          <w:szCs w:val="18"/>
        </w:rPr>
        <w:fldChar w:fldCharType="separate"/>
      </w:r>
      <w:r w:rsidR="000A24D2">
        <w:rPr>
          <w:i/>
          <w:iCs/>
          <w:noProof/>
          <w:color w:val="44546A" w:themeColor="text2"/>
          <w:sz w:val="18"/>
          <w:szCs w:val="18"/>
        </w:rPr>
        <w:t>7</w:t>
      </w:r>
      <w:r w:rsidRPr="007B20F1">
        <w:rPr>
          <w:i/>
          <w:iCs/>
          <w:color w:val="44546A" w:themeColor="text2"/>
          <w:sz w:val="18"/>
          <w:szCs w:val="18"/>
        </w:rPr>
        <w:fldChar w:fldCharType="end"/>
      </w:r>
      <w:r w:rsidRPr="007B20F1">
        <w:rPr>
          <w:i/>
          <w:iCs/>
          <w:color w:val="44546A" w:themeColor="text2"/>
          <w:sz w:val="18"/>
          <w:szCs w:val="18"/>
        </w:rPr>
        <w:t xml:space="preserve">: </w:t>
      </w:r>
      <w:r w:rsidR="00B53BAD">
        <w:rPr>
          <w:i/>
          <w:iCs/>
          <w:color w:val="44546A" w:themeColor="text2"/>
          <w:sz w:val="18"/>
          <w:szCs w:val="18"/>
        </w:rPr>
        <w:t xml:space="preserve">Comparison of global land use emissions as emulated by the GLOBIOM emulator (dashed lines) and finally with the fully coupled feedback run (solid lines) for the SSP2 reference baseline (orange) and the corresponding RCP4.5 (yellow) and RCP2.6 (green) scenarios. </w:t>
      </w:r>
      <w:r>
        <w:rPr>
          <w:i/>
          <w:iCs/>
          <w:color w:val="44546A" w:themeColor="text2"/>
          <w:sz w:val="18"/>
          <w:szCs w:val="18"/>
        </w:rPr>
        <w:t xml:space="preserve"> </w:t>
      </w:r>
      <w:r w:rsidR="007B20F1">
        <w:rPr>
          <w:lang w:val="en-GB"/>
        </w:rPr>
        <w:br w:type="page"/>
      </w:r>
    </w:p>
    <w:p w14:paraId="3E20E520" w14:textId="77777777" w:rsidR="00A523E3" w:rsidRDefault="007623DC" w:rsidP="007623DC">
      <w:pPr>
        <w:pStyle w:val="Heading2"/>
        <w:rPr>
          <w:lang w:val="en-GB"/>
        </w:rPr>
      </w:pPr>
      <w:bookmarkStart w:id="28" w:name="_Toc449104546"/>
      <w:r>
        <w:rPr>
          <w:lang w:val="en-GB"/>
        </w:rPr>
        <w:lastRenderedPageBreak/>
        <w:t>Energy carriers evolution</w:t>
      </w:r>
      <w:bookmarkEnd w:id="28"/>
    </w:p>
    <w:p w14:paraId="0F02CEE6" w14:textId="77777777" w:rsidR="00566B06" w:rsidRDefault="00566B06" w:rsidP="00566B06">
      <w:pPr>
        <w:rPr>
          <w:lang w:val="en-GB"/>
        </w:rPr>
      </w:pPr>
    </w:p>
    <w:p w14:paraId="79C811F6" w14:textId="77777777" w:rsidR="00566B06" w:rsidRPr="00566B06" w:rsidRDefault="00566B06" w:rsidP="00566B06">
      <w:pPr>
        <w:rPr>
          <w:lang w:val="en-GB"/>
        </w:rPr>
      </w:pPr>
    </w:p>
    <w:p w14:paraId="0B66045B" w14:textId="77777777" w:rsidR="007623DC" w:rsidRDefault="007623DC" w:rsidP="007623DC">
      <w:pPr>
        <w:pStyle w:val="ListParagraph"/>
        <w:spacing w:line="276" w:lineRule="auto"/>
        <w:jc w:val="both"/>
        <w:rPr>
          <w:lang w:val="en-GB"/>
        </w:rPr>
      </w:pPr>
    </w:p>
    <w:p w14:paraId="1ADA4E96" w14:textId="77777777" w:rsidR="00566B06" w:rsidRDefault="00566B06" w:rsidP="007623DC">
      <w:pPr>
        <w:pStyle w:val="ListParagraph"/>
        <w:spacing w:line="276" w:lineRule="auto"/>
        <w:jc w:val="both"/>
        <w:rPr>
          <w:i/>
          <w:lang w:val="en-GB"/>
        </w:rPr>
      </w:pPr>
    </w:p>
    <w:p w14:paraId="44057F9F" w14:textId="77777777" w:rsidR="00E359E5" w:rsidRDefault="00E359E5" w:rsidP="007623DC">
      <w:pPr>
        <w:pStyle w:val="ListParagraph"/>
        <w:spacing w:line="276" w:lineRule="auto"/>
        <w:jc w:val="both"/>
        <w:rPr>
          <w:i/>
          <w:lang w:val="en-GB"/>
        </w:rPr>
      </w:pPr>
    </w:p>
    <w:p w14:paraId="21FDDA45" w14:textId="77777777" w:rsidR="00566B06" w:rsidRDefault="00566B06" w:rsidP="007623DC">
      <w:pPr>
        <w:pStyle w:val="ListParagraph"/>
        <w:spacing w:line="276" w:lineRule="auto"/>
        <w:jc w:val="both"/>
        <w:rPr>
          <w:lang w:val="en-GB"/>
        </w:rPr>
      </w:pPr>
    </w:p>
    <w:p w14:paraId="22AB44F0" w14:textId="77777777" w:rsidR="00566B06" w:rsidRDefault="00566B06" w:rsidP="007623DC">
      <w:pPr>
        <w:pStyle w:val="ListParagraph"/>
        <w:spacing w:line="276" w:lineRule="auto"/>
        <w:jc w:val="both"/>
        <w:rPr>
          <w:lang w:val="en-GB"/>
        </w:rPr>
      </w:pPr>
    </w:p>
    <w:p w14:paraId="31D06ACA" w14:textId="4FC7F2A6" w:rsidR="00C17B09" w:rsidRDefault="00011F59" w:rsidP="00C17B09">
      <w:pPr>
        <w:pStyle w:val="ListParagraph"/>
        <w:spacing w:line="276" w:lineRule="auto"/>
        <w:jc w:val="center"/>
        <w:rPr>
          <w:rStyle w:val="CaptionChar"/>
        </w:rPr>
      </w:pPr>
      <w:r>
        <w:rPr>
          <w:i/>
          <w:iCs/>
          <w:noProof/>
          <w:color w:val="44546A" w:themeColor="text2"/>
          <w:sz w:val="18"/>
          <w:szCs w:val="18"/>
          <w:lang w:val="en-GB" w:eastAsia="en-GB"/>
        </w:rPr>
        <w:drawing>
          <wp:inline distT="0" distB="0" distL="0" distR="0" wp14:anchorId="44B49BAD" wp14:editId="21FD6A56">
            <wp:extent cx="5045307" cy="440574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_FE_fuel_shares_for'Sub-saharan Africa'_20160331-01.png"/>
                    <pic:cNvPicPr/>
                  </pic:nvPicPr>
                  <pic:blipFill>
                    <a:blip r:embed="rId16">
                      <a:extLst>
                        <a:ext uri="{28A0092B-C50C-407E-A947-70E740481C1C}">
                          <a14:useLocalDpi xmlns:a14="http://schemas.microsoft.com/office/drawing/2010/main" val="0"/>
                        </a:ext>
                      </a:extLst>
                    </a:blip>
                    <a:stretch>
                      <a:fillRect/>
                    </a:stretch>
                  </pic:blipFill>
                  <pic:spPr>
                    <a:xfrm>
                      <a:off x="0" y="0"/>
                      <a:ext cx="5045696" cy="4406085"/>
                    </a:xfrm>
                    <a:prstGeom prst="rect">
                      <a:avLst/>
                    </a:prstGeom>
                  </pic:spPr>
                </pic:pic>
              </a:graphicData>
            </a:graphic>
          </wp:inline>
        </w:drawing>
      </w:r>
    </w:p>
    <w:p w14:paraId="1B7D08C4" w14:textId="0105D1FF" w:rsidR="00E359E5" w:rsidRDefault="00B62222" w:rsidP="009A023D">
      <w:pPr>
        <w:pStyle w:val="ListParagraph"/>
        <w:spacing w:line="276" w:lineRule="auto"/>
        <w:jc w:val="both"/>
        <w:rPr>
          <w:i/>
          <w:color w:val="FF0000"/>
          <w:lang w:val="en-GB"/>
        </w:rPr>
      </w:pPr>
      <w:r w:rsidRPr="00B62222">
        <w:rPr>
          <w:rStyle w:val="CaptionChar"/>
        </w:rPr>
        <w:t>Figure S</w:t>
      </w:r>
      <w:r w:rsidRPr="00B62222">
        <w:rPr>
          <w:rStyle w:val="CaptionChar"/>
        </w:rPr>
        <w:fldChar w:fldCharType="begin"/>
      </w:r>
      <w:r w:rsidRPr="00B62222">
        <w:rPr>
          <w:rStyle w:val="CaptionChar"/>
        </w:rPr>
        <w:instrText xml:space="preserve"> SEQ Figure \* ARABIC </w:instrText>
      </w:r>
      <w:r w:rsidRPr="00B62222">
        <w:rPr>
          <w:rStyle w:val="CaptionChar"/>
        </w:rPr>
        <w:fldChar w:fldCharType="separate"/>
      </w:r>
      <w:r w:rsidR="000A24D2">
        <w:rPr>
          <w:rStyle w:val="CaptionChar"/>
          <w:noProof/>
        </w:rPr>
        <w:t>8</w:t>
      </w:r>
      <w:r w:rsidRPr="00B62222">
        <w:rPr>
          <w:rStyle w:val="CaptionChar"/>
        </w:rPr>
        <w:fldChar w:fldCharType="end"/>
      </w:r>
      <w:r w:rsidRPr="00B62222">
        <w:rPr>
          <w:rStyle w:val="CaptionChar"/>
        </w:rPr>
        <w:t xml:space="preserve">: </w:t>
      </w:r>
      <w:r w:rsidR="00257CFF">
        <w:rPr>
          <w:rStyle w:val="CaptionChar"/>
        </w:rPr>
        <w:t xml:space="preserve">Shares of final energy by form, in percent, as solids, liquids and grids for Sub-Saharan Africa. </w:t>
      </w:r>
      <w:r w:rsidR="0007495E">
        <w:rPr>
          <w:rStyle w:val="CaptionChar"/>
        </w:rPr>
        <w:t>The shaded area depicts the shares for the SSP2 baseline. Solid lines show the variations for the SSP1 baseline, while</w:t>
      </w:r>
      <w:r w:rsidR="001F2D3B">
        <w:rPr>
          <w:rStyle w:val="CaptionChar"/>
        </w:rPr>
        <w:t xml:space="preserve"> </w:t>
      </w:r>
      <w:r w:rsidR="0007495E">
        <w:rPr>
          <w:rStyle w:val="CaptionChar"/>
        </w:rPr>
        <w:t>dashed lines show the variations for the SSP3 baseline.</w:t>
      </w:r>
      <w:r w:rsidR="00E359E5">
        <w:rPr>
          <w:i/>
          <w:color w:val="FF0000"/>
          <w:lang w:val="en-GB"/>
        </w:rPr>
        <w:br w:type="page"/>
      </w:r>
    </w:p>
    <w:p w14:paraId="26C61907" w14:textId="77777777" w:rsidR="00E359E5" w:rsidRDefault="00E359E5" w:rsidP="007623DC">
      <w:pPr>
        <w:pStyle w:val="ListParagraph"/>
        <w:spacing w:line="276" w:lineRule="auto"/>
        <w:jc w:val="both"/>
        <w:rPr>
          <w:color w:val="FF0000"/>
          <w:lang w:val="en-GB"/>
        </w:rPr>
      </w:pPr>
    </w:p>
    <w:p w14:paraId="18BAE282" w14:textId="77777777" w:rsidR="00E359E5" w:rsidRDefault="00E359E5" w:rsidP="007623DC">
      <w:pPr>
        <w:pStyle w:val="ListParagraph"/>
        <w:spacing w:line="276" w:lineRule="auto"/>
        <w:jc w:val="both"/>
        <w:rPr>
          <w:color w:val="FF0000"/>
          <w:lang w:val="en-GB"/>
        </w:rPr>
      </w:pPr>
    </w:p>
    <w:p w14:paraId="54905B35" w14:textId="77777777" w:rsidR="00E359E5" w:rsidRDefault="00E359E5" w:rsidP="007623DC">
      <w:pPr>
        <w:pStyle w:val="ListParagraph"/>
        <w:spacing w:line="276" w:lineRule="auto"/>
        <w:jc w:val="both"/>
        <w:rPr>
          <w:color w:val="FF0000"/>
          <w:lang w:val="en-GB"/>
        </w:rPr>
      </w:pPr>
    </w:p>
    <w:p w14:paraId="4107F31F" w14:textId="77777777" w:rsidR="00E359E5" w:rsidRDefault="00E359E5" w:rsidP="007623DC">
      <w:pPr>
        <w:pStyle w:val="ListParagraph"/>
        <w:spacing w:line="276" w:lineRule="auto"/>
        <w:jc w:val="both"/>
        <w:rPr>
          <w:color w:val="FF0000"/>
          <w:lang w:val="en-GB"/>
        </w:rPr>
      </w:pPr>
    </w:p>
    <w:p w14:paraId="6D0FE1CA" w14:textId="77777777" w:rsidR="00E359E5" w:rsidRDefault="00E359E5" w:rsidP="007623DC">
      <w:pPr>
        <w:pStyle w:val="ListParagraph"/>
        <w:spacing w:line="276" w:lineRule="auto"/>
        <w:jc w:val="both"/>
        <w:rPr>
          <w:color w:val="FF0000"/>
          <w:lang w:val="en-GB"/>
        </w:rPr>
      </w:pPr>
    </w:p>
    <w:p w14:paraId="1556018A" w14:textId="77777777" w:rsidR="00E359E5" w:rsidRDefault="00E359E5" w:rsidP="007623DC">
      <w:pPr>
        <w:pStyle w:val="ListParagraph"/>
        <w:spacing w:line="276" w:lineRule="auto"/>
        <w:jc w:val="both"/>
        <w:rPr>
          <w:color w:val="FF0000"/>
          <w:lang w:val="en-GB"/>
        </w:rPr>
      </w:pPr>
    </w:p>
    <w:p w14:paraId="1F85C80D" w14:textId="77777777" w:rsidR="00E359E5" w:rsidRDefault="00E359E5" w:rsidP="007623DC">
      <w:pPr>
        <w:pStyle w:val="ListParagraph"/>
        <w:spacing w:line="276" w:lineRule="auto"/>
        <w:jc w:val="both"/>
        <w:rPr>
          <w:color w:val="FF0000"/>
          <w:lang w:val="en-GB"/>
        </w:rPr>
      </w:pPr>
    </w:p>
    <w:p w14:paraId="6A58680C" w14:textId="77777777" w:rsidR="00E359E5" w:rsidRDefault="00E359E5" w:rsidP="007623DC">
      <w:pPr>
        <w:pStyle w:val="ListParagraph"/>
        <w:spacing w:line="276" w:lineRule="auto"/>
        <w:jc w:val="both"/>
        <w:rPr>
          <w:color w:val="FF0000"/>
          <w:lang w:val="en-GB"/>
        </w:rPr>
      </w:pPr>
    </w:p>
    <w:p w14:paraId="5C9C7F95" w14:textId="77777777" w:rsidR="00E359E5" w:rsidRDefault="00E359E5" w:rsidP="007623DC">
      <w:pPr>
        <w:pStyle w:val="ListParagraph"/>
        <w:spacing w:line="276" w:lineRule="auto"/>
        <w:jc w:val="both"/>
        <w:rPr>
          <w:color w:val="FF0000"/>
          <w:lang w:val="en-GB"/>
        </w:rPr>
      </w:pPr>
    </w:p>
    <w:p w14:paraId="7AD74E31" w14:textId="77777777" w:rsidR="00E359E5" w:rsidRPr="002F711A" w:rsidRDefault="00E359E5" w:rsidP="007623DC">
      <w:pPr>
        <w:pStyle w:val="ListParagraph"/>
        <w:spacing w:line="276" w:lineRule="auto"/>
        <w:jc w:val="both"/>
        <w:rPr>
          <w:color w:val="FF0000"/>
          <w:lang w:val="en-GB"/>
        </w:rPr>
      </w:pPr>
    </w:p>
    <w:p w14:paraId="30DFB08D" w14:textId="77777777" w:rsidR="007623DC" w:rsidRDefault="007623DC" w:rsidP="007623DC">
      <w:pPr>
        <w:pStyle w:val="ListParagraph"/>
        <w:spacing w:line="276" w:lineRule="auto"/>
        <w:jc w:val="both"/>
        <w:rPr>
          <w:lang w:val="en-GB"/>
        </w:rPr>
      </w:pPr>
    </w:p>
    <w:p w14:paraId="1CCCA8E8" w14:textId="589B4F03" w:rsidR="00C17B09" w:rsidRDefault="00011F59" w:rsidP="00C17B09">
      <w:pPr>
        <w:pStyle w:val="ListParagraph"/>
        <w:spacing w:line="276" w:lineRule="auto"/>
        <w:jc w:val="center"/>
        <w:rPr>
          <w:rStyle w:val="CaptionChar"/>
        </w:rPr>
      </w:pPr>
      <w:r>
        <w:rPr>
          <w:i/>
          <w:iCs/>
          <w:noProof/>
          <w:color w:val="44546A" w:themeColor="text2"/>
          <w:sz w:val="18"/>
          <w:szCs w:val="18"/>
          <w:lang w:val="en-GB" w:eastAsia="en-GB"/>
        </w:rPr>
        <w:drawing>
          <wp:inline distT="0" distB="0" distL="0" distR="0" wp14:anchorId="5932FE5B" wp14:editId="54D06E8B">
            <wp:extent cx="5045696" cy="435269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_FE_fuel_shares_for'Sub-saharan Africa'_20160331-01.png"/>
                    <pic:cNvPicPr/>
                  </pic:nvPicPr>
                  <pic:blipFill>
                    <a:blip r:embed="rId17">
                      <a:extLst>
                        <a:ext uri="{28A0092B-C50C-407E-A947-70E740481C1C}">
                          <a14:useLocalDpi xmlns:a14="http://schemas.microsoft.com/office/drawing/2010/main" val="0"/>
                        </a:ext>
                      </a:extLst>
                    </a:blip>
                    <a:stretch>
                      <a:fillRect/>
                    </a:stretch>
                  </pic:blipFill>
                  <pic:spPr>
                    <a:xfrm>
                      <a:off x="0" y="0"/>
                      <a:ext cx="5045696" cy="4352697"/>
                    </a:xfrm>
                    <a:prstGeom prst="rect">
                      <a:avLst/>
                    </a:prstGeom>
                  </pic:spPr>
                </pic:pic>
              </a:graphicData>
            </a:graphic>
          </wp:inline>
        </w:drawing>
      </w:r>
    </w:p>
    <w:p w14:paraId="5FB87A67" w14:textId="0DAFCA23" w:rsidR="002922AF" w:rsidRDefault="00B62222" w:rsidP="009A023D">
      <w:pPr>
        <w:pStyle w:val="ListParagraph"/>
        <w:spacing w:line="276" w:lineRule="auto"/>
        <w:jc w:val="both"/>
        <w:rPr>
          <w:lang w:val="en-GB"/>
        </w:rPr>
      </w:pPr>
      <w:r w:rsidRPr="00B62222">
        <w:rPr>
          <w:rStyle w:val="CaptionChar"/>
        </w:rPr>
        <w:t>Figure S</w:t>
      </w:r>
      <w:r w:rsidRPr="00B62222">
        <w:rPr>
          <w:rStyle w:val="CaptionChar"/>
        </w:rPr>
        <w:fldChar w:fldCharType="begin"/>
      </w:r>
      <w:r w:rsidRPr="00B62222">
        <w:rPr>
          <w:rStyle w:val="CaptionChar"/>
        </w:rPr>
        <w:instrText xml:space="preserve"> SEQ Figure \* ARABIC </w:instrText>
      </w:r>
      <w:r w:rsidRPr="00B62222">
        <w:rPr>
          <w:rStyle w:val="CaptionChar"/>
        </w:rPr>
        <w:fldChar w:fldCharType="separate"/>
      </w:r>
      <w:r w:rsidR="000A24D2">
        <w:rPr>
          <w:rStyle w:val="CaptionChar"/>
          <w:noProof/>
        </w:rPr>
        <w:t>9</w:t>
      </w:r>
      <w:r w:rsidRPr="00B62222">
        <w:rPr>
          <w:rStyle w:val="CaptionChar"/>
        </w:rPr>
        <w:fldChar w:fldCharType="end"/>
      </w:r>
      <w:r w:rsidRPr="00B62222">
        <w:rPr>
          <w:rStyle w:val="CaptionChar"/>
        </w:rPr>
        <w:t xml:space="preserve">: </w:t>
      </w:r>
      <w:r w:rsidR="00257CFF">
        <w:rPr>
          <w:rStyle w:val="CaptionChar"/>
        </w:rPr>
        <w:t xml:space="preserve">Shares of final energy by form, in percent, as solids, liquids and grids for North America. </w:t>
      </w:r>
      <w:r w:rsidR="0007495E">
        <w:rPr>
          <w:rStyle w:val="CaptionChar"/>
        </w:rPr>
        <w:t>The shaded area depicts the shares for the SSP2 baseline. Solid lines show the variations for the SSP1 baseline, while</w:t>
      </w:r>
      <w:r w:rsidR="001F2D3B">
        <w:rPr>
          <w:rStyle w:val="CaptionChar"/>
        </w:rPr>
        <w:t xml:space="preserve"> </w:t>
      </w:r>
      <w:r w:rsidR="0007495E">
        <w:rPr>
          <w:rStyle w:val="CaptionChar"/>
        </w:rPr>
        <w:t>dashed lines show the variations for the SSP3 baseline.</w:t>
      </w:r>
      <w:r w:rsidR="002922AF">
        <w:rPr>
          <w:lang w:val="en-GB"/>
        </w:rPr>
        <w:br w:type="page"/>
      </w:r>
    </w:p>
    <w:p w14:paraId="433CAF43" w14:textId="77777777" w:rsidR="00B14726" w:rsidRDefault="00B14726" w:rsidP="00B14726">
      <w:pPr>
        <w:pStyle w:val="Heading2"/>
        <w:rPr>
          <w:lang w:val="en-GB"/>
        </w:rPr>
      </w:pPr>
      <w:bookmarkStart w:id="29" w:name="_Toc449104547"/>
      <w:r>
        <w:rPr>
          <w:lang w:val="en-GB"/>
        </w:rPr>
        <w:lastRenderedPageBreak/>
        <w:t>Sectorial final energy evolutions</w:t>
      </w:r>
      <w:bookmarkEnd w:id="29"/>
    </w:p>
    <w:p w14:paraId="0A1C821F" w14:textId="77777777" w:rsidR="00B939D5" w:rsidRPr="00B939D5" w:rsidRDefault="00B939D5" w:rsidP="00B939D5">
      <w:pPr>
        <w:rPr>
          <w:lang w:val="en-GB"/>
        </w:rPr>
      </w:pPr>
    </w:p>
    <w:p w14:paraId="02B89E81" w14:textId="77777777" w:rsidR="00B7695F" w:rsidRDefault="00B7695F" w:rsidP="00B7695F">
      <w:pPr>
        <w:keepNext/>
      </w:pPr>
      <w:r>
        <w:rPr>
          <w:noProof/>
          <w:lang w:val="en-GB" w:eastAsia="en-GB"/>
        </w:rPr>
        <w:drawing>
          <wp:inline distT="0" distB="0" distL="0" distR="0" wp14:anchorId="611A7A11" wp14:editId="144C4367">
            <wp:extent cx="5760720" cy="4780280"/>
            <wp:effectExtent l="0" t="0" r="1143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473D1C" w14:textId="52CEF1CE" w:rsidR="0036456D" w:rsidRPr="007018FE" w:rsidRDefault="00B7695F" w:rsidP="009A023D">
      <w:pPr>
        <w:pStyle w:val="Caption"/>
        <w:rPr>
          <w:i w:val="0"/>
          <w:iCs w:val="0"/>
          <w:lang w:val="en-GB"/>
        </w:rPr>
      </w:pPr>
      <w:r w:rsidRPr="00B7695F">
        <w:rPr>
          <w:lang w:val="en-US"/>
        </w:rPr>
        <w:t>Figure S</w:t>
      </w:r>
      <w:r>
        <w:fldChar w:fldCharType="begin"/>
      </w:r>
      <w:r w:rsidRPr="00B7695F">
        <w:rPr>
          <w:lang w:val="en-US"/>
        </w:rPr>
        <w:instrText xml:space="preserve"> SEQ Figure \* ARABIC </w:instrText>
      </w:r>
      <w:r>
        <w:fldChar w:fldCharType="separate"/>
      </w:r>
      <w:r w:rsidR="000A24D2">
        <w:rPr>
          <w:noProof/>
          <w:lang w:val="en-US"/>
        </w:rPr>
        <w:t>10</w:t>
      </w:r>
      <w:r>
        <w:fldChar w:fldCharType="end"/>
      </w:r>
      <w:r w:rsidRPr="00B7695F">
        <w:rPr>
          <w:lang w:val="en-US"/>
        </w:rPr>
        <w:t xml:space="preserve">: Final energy by sector for SSP1 for the regions north and south, where TRN=Transport sector; RC=Residential </w:t>
      </w:r>
      <w:r w:rsidR="00B62222">
        <w:rPr>
          <w:lang w:val="en-US"/>
        </w:rPr>
        <w:t xml:space="preserve">and </w:t>
      </w:r>
      <w:r w:rsidRPr="00B7695F">
        <w:rPr>
          <w:lang w:val="en-US"/>
        </w:rPr>
        <w:t>commercial sector; IND=Industry sector</w:t>
      </w:r>
      <w:r w:rsidR="007910C2">
        <w:rPr>
          <w:lang w:val="en-US"/>
        </w:rPr>
        <w:t>.</w:t>
      </w:r>
      <w:r w:rsidR="0036456D" w:rsidRPr="007018FE">
        <w:rPr>
          <w:lang w:val="en-GB"/>
        </w:rPr>
        <w:br w:type="page"/>
      </w:r>
    </w:p>
    <w:p w14:paraId="6A000834" w14:textId="77777777" w:rsidR="00B14726" w:rsidRDefault="00B14726" w:rsidP="00B7695F">
      <w:pPr>
        <w:pStyle w:val="Caption"/>
        <w:rPr>
          <w:lang w:val="en-GB"/>
        </w:rPr>
      </w:pPr>
    </w:p>
    <w:p w14:paraId="1E47931A" w14:textId="77777777" w:rsidR="0036456D" w:rsidRDefault="0036456D" w:rsidP="0036456D">
      <w:pPr>
        <w:rPr>
          <w:lang w:val="en-GB"/>
        </w:rPr>
      </w:pPr>
    </w:p>
    <w:p w14:paraId="3AE3089D" w14:textId="77777777" w:rsidR="0036456D" w:rsidRDefault="0036456D" w:rsidP="0036456D">
      <w:pPr>
        <w:rPr>
          <w:lang w:val="en-GB"/>
        </w:rPr>
      </w:pPr>
    </w:p>
    <w:p w14:paraId="32CE4368" w14:textId="77777777" w:rsidR="0036456D" w:rsidRPr="0036456D" w:rsidRDefault="0036456D" w:rsidP="0036456D">
      <w:pPr>
        <w:rPr>
          <w:lang w:val="en-GB"/>
        </w:rPr>
      </w:pPr>
    </w:p>
    <w:p w14:paraId="2DFCB47D" w14:textId="77777777" w:rsidR="00B7695F" w:rsidRDefault="00B7695F" w:rsidP="00B7695F">
      <w:pPr>
        <w:keepNext/>
      </w:pPr>
      <w:r>
        <w:rPr>
          <w:noProof/>
          <w:lang w:val="en-GB" w:eastAsia="en-GB"/>
        </w:rPr>
        <w:drawing>
          <wp:inline distT="0" distB="0" distL="0" distR="0" wp14:anchorId="097439D1" wp14:editId="4CC28834">
            <wp:extent cx="5760720" cy="4769485"/>
            <wp:effectExtent l="0" t="0" r="1143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00C92D" w14:textId="16007226" w:rsidR="001A3340" w:rsidRPr="007018FE" w:rsidRDefault="00B7695F" w:rsidP="009A023D">
      <w:pPr>
        <w:pStyle w:val="Caption"/>
        <w:rPr>
          <w:i w:val="0"/>
          <w:iCs w:val="0"/>
          <w:lang w:val="en-GB"/>
        </w:rPr>
      </w:pPr>
      <w:r w:rsidRPr="00B7695F">
        <w:rPr>
          <w:lang w:val="en-US"/>
        </w:rPr>
        <w:t xml:space="preserve">Figure </w:t>
      </w:r>
      <w:r>
        <w:rPr>
          <w:lang w:val="en-US"/>
        </w:rPr>
        <w:t>S</w:t>
      </w:r>
      <w:r>
        <w:fldChar w:fldCharType="begin"/>
      </w:r>
      <w:r w:rsidRPr="00B7695F">
        <w:rPr>
          <w:lang w:val="en-US"/>
        </w:rPr>
        <w:instrText xml:space="preserve"> SEQ Figure \* ARABIC </w:instrText>
      </w:r>
      <w:r>
        <w:fldChar w:fldCharType="separate"/>
      </w:r>
      <w:r w:rsidR="000A24D2">
        <w:rPr>
          <w:noProof/>
          <w:lang w:val="en-US"/>
        </w:rPr>
        <w:t>11</w:t>
      </w:r>
      <w:r>
        <w:fldChar w:fldCharType="end"/>
      </w:r>
      <w:r w:rsidRPr="00B7695F">
        <w:rPr>
          <w:lang w:val="en-US"/>
        </w:rPr>
        <w:t>: Final energy by sector for SSP</w:t>
      </w:r>
      <w:r>
        <w:rPr>
          <w:lang w:val="en-US"/>
        </w:rPr>
        <w:t>2</w:t>
      </w:r>
      <w:r w:rsidRPr="00B7695F">
        <w:rPr>
          <w:lang w:val="en-US"/>
        </w:rPr>
        <w:t xml:space="preserve"> for the regions north and south, where TRN=Transport sector; RC=Residential </w:t>
      </w:r>
      <w:r w:rsidR="0036456D">
        <w:rPr>
          <w:lang w:val="en-US"/>
        </w:rPr>
        <w:t xml:space="preserve">and </w:t>
      </w:r>
      <w:r w:rsidRPr="00B7695F">
        <w:rPr>
          <w:lang w:val="en-US"/>
        </w:rPr>
        <w:t>commercial sector; IND=Industry sector</w:t>
      </w:r>
      <w:r w:rsidR="001A3340" w:rsidRPr="007018FE">
        <w:rPr>
          <w:lang w:val="en-GB"/>
        </w:rPr>
        <w:br w:type="page"/>
      </w:r>
    </w:p>
    <w:p w14:paraId="423283A3" w14:textId="77777777" w:rsidR="00B14726" w:rsidRDefault="00B14726" w:rsidP="00B7695F">
      <w:pPr>
        <w:pStyle w:val="Caption"/>
        <w:rPr>
          <w:lang w:val="en-US"/>
        </w:rPr>
      </w:pPr>
    </w:p>
    <w:p w14:paraId="26F0D836" w14:textId="77777777" w:rsidR="001A3340" w:rsidRDefault="001A3340" w:rsidP="001A3340"/>
    <w:p w14:paraId="00A35AD9" w14:textId="77777777" w:rsidR="001A3340" w:rsidRDefault="001A3340" w:rsidP="001A3340"/>
    <w:p w14:paraId="15E0F866" w14:textId="77777777" w:rsidR="001A3340" w:rsidRDefault="001A3340" w:rsidP="001A3340"/>
    <w:p w14:paraId="72A6120E" w14:textId="77777777" w:rsidR="001A3340" w:rsidRPr="001A3340" w:rsidRDefault="001A3340" w:rsidP="001A3340"/>
    <w:p w14:paraId="680FA6D8" w14:textId="77777777" w:rsidR="00B7695F" w:rsidRDefault="00B7695F" w:rsidP="00B7695F">
      <w:pPr>
        <w:keepNext/>
      </w:pPr>
      <w:r>
        <w:rPr>
          <w:noProof/>
          <w:lang w:val="en-GB" w:eastAsia="en-GB"/>
        </w:rPr>
        <w:drawing>
          <wp:inline distT="0" distB="0" distL="0" distR="0" wp14:anchorId="45A38247" wp14:editId="5DF01F29">
            <wp:extent cx="5760720" cy="4789805"/>
            <wp:effectExtent l="0" t="0" r="11430"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F45996" w14:textId="1B38D668" w:rsidR="00B14726" w:rsidRDefault="00B7695F" w:rsidP="009A023D">
      <w:pPr>
        <w:pStyle w:val="Caption"/>
        <w:rPr>
          <w:lang w:val="en-GB"/>
        </w:rPr>
      </w:pPr>
      <w:r w:rsidRPr="00B7695F">
        <w:rPr>
          <w:lang w:val="en-US"/>
        </w:rPr>
        <w:t xml:space="preserve">Figure </w:t>
      </w:r>
      <w:r>
        <w:rPr>
          <w:lang w:val="en-US"/>
        </w:rPr>
        <w:t>S</w:t>
      </w:r>
      <w:r>
        <w:fldChar w:fldCharType="begin"/>
      </w:r>
      <w:r w:rsidRPr="00B7695F">
        <w:rPr>
          <w:lang w:val="en-US"/>
        </w:rPr>
        <w:instrText xml:space="preserve"> SEQ Figure \* ARABIC </w:instrText>
      </w:r>
      <w:r>
        <w:fldChar w:fldCharType="separate"/>
      </w:r>
      <w:r w:rsidR="000A24D2">
        <w:rPr>
          <w:noProof/>
          <w:lang w:val="en-US"/>
        </w:rPr>
        <w:t>12</w:t>
      </w:r>
      <w:r>
        <w:fldChar w:fldCharType="end"/>
      </w:r>
      <w:r w:rsidRPr="00B7695F">
        <w:rPr>
          <w:lang w:val="en-US"/>
        </w:rPr>
        <w:t xml:space="preserve">: Final energy by sector for </w:t>
      </w:r>
      <w:r>
        <w:rPr>
          <w:lang w:val="en-US"/>
        </w:rPr>
        <w:t xml:space="preserve">SSP3 for the </w:t>
      </w:r>
      <w:r w:rsidRPr="00B7695F">
        <w:rPr>
          <w:lang w:val="en-US"/>
        </w:rPr>
        <w:t xml:space="preserve">regions north and south, where TRN=Transport sector; RC=Residential </w:t>
      </w:r>
      <w:r w:rsidR="001A3340">
        <w:rPr>
          <w:lang w:val="en-US"/>
        </w:rPr>
        <w:t xml:space="preserve">and </w:t>
      </w:r>
      <w:r w:rsidRPr="00B7695F">
        <w:rPr>
          <w:lang w:val="en-US"/>
        </w:rPr>
        <w:t>commercial sector</w:t>
      </w:r>
      <w:r>
        <w:rPr>
          <w:lang w:val="en-US"/>
        </w:rPr>
        <w:t>; IND</w:t>
      </w:r>
      <w:r w:rsidRPr="00B7695F">
        <w:rPr>
          <w:lang w:val="en-US"/>
        </w:rPr>
        <w:t>=Industry sector</w:t>
      </w:r>
      <w:r w:rsidR="00B14726">
        <w:rPr>
          <w:lang w:val="en-GB"/>
        </w:rPr>
        <w:br w:type="page"/>
      </w:r>
    </w:p>
    <w:p w14:paraId="261DBC84" w14:textId="77777777" w:rsidR="00150741" w:rsidRDefault="00150741" w:rsidP="00150741">
      <w:pPr>
        <w:pStyle w:val="Heading2"/>
        <w:rPr>
          <w:lang w:val="en-GB"/>
        </w:rPr>
      </w:pPr>
      <w:bookmarkStart w:id="30" w:name="_Toc449104548"/>
      <w:r>
        <w:rPr>
          <w:lang w:val="en-GB"/>
        </w:rPr>
        <w:lastRenderedPageBreak/>
        <w:t>Primary energy evolution in SSP1 and SSP3 baselines</w:t>
      </w:r>
      <w:bookmarkEnd w:id="30"/>
    </w:p>
    <w:p w14:paraId="6EF7259F" w14:textId="77777777" w:rsidR="00B201E0" w:rsidRDefault="00B201E0" w:rsidP="00B201E0">
      <w:pPr>
        <w:rPr>
          <w:lang w:val="en-GB"/>
        </w:rPr>
      </w:pPr>
    </w:p>
    <w:p w14:paraId="1A6B262C" w14:textId="77777777" w:rsidR="00B201E0" w:rsidRDefault="00B201E0" w:rsidP="00B201E0">
      <w:pPr>
        <w:rPr>
          <w:lang w:val="en-GB"/>
        </w:rPr>
      </w:pPr>
    </w:p>
    <w:p w14:paraId="1BA41E8F" w14:textId="77777777" w:rsidR="00B201E0" w:rsidRDefault="00B201E0" w:rsidP="00B201E0">
      <w:pPr>
        <w:rPr>
          <w:lang w:val="en-GB"/>
        </w:rPr>
      </w:pPr>
    </w:p>
    <w:p w14:paraId="02350CC0" w14:textId="77777777" w:rsidR="00B201E0" w:rsidRPr="00B201E0" w:rsidRDefault="00B201E0" w:rsidP="00B201E0">
      <w:pPr>
        <w:rPr>
          <w:lang w:val="en-GB"/>
        </w:rPr>
      </w:pPr>
    </w:p>
    <w:p w14:paraId="4836C916" w14:textId="77777777" w:rsidR="00516C9E" w:rsidRDefault="00B201E0" w:rsidP="00C17B09">
      <w:pPr>
        <w:jc w:val="center"/>
        <w:rPr>
          <w:lang w:val="en-GB"/>
        </w:rPr>
      </w:pPr>
      <w:r>
        <w:rPr>
          <w:noProof/>
          <w:lang w:val="en-GB" w:eastAsia="en-GB"/>
        </w:rPr>
        <w:drawing>
          <wp:inline distT="0" distB="0" distL="0" distR="0" wp14:anchorId="51B911F9" wp14:editId="26DEC33B">
            <wp:extent cx="4680508" cy="400426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SP1_PE-01.png"/>
                    <pic:cNvPicPr/>
                  </pic:nvPicPr>
                  <pic:blipFill>
                    <a:blip r:embed="rId21">
                      <a:extLst>
                        <a:ext uri="{28A0092B-C50C-407E-A947-70E740481C1C}">
                          <a14:useLocalDpi xmlns:a14="http://schemas.microsoft.com/office/drawing/2010/main" val="0"/>
                        </a:ext>
                      </a:extLst>
                    </a:blip>
                    <a:stretch>
                      <a:fillRect/>
                    </a:stretch>
                  </pic:blipFill>
                  <pic:spPr>
                    <a:xfrm>
                      <a:off x="0" y="0"/>
                      <a:ext cx="4682029" cy="4005569"/>
                    </a:xfrm>
                    <a:prstGeom prst="rect">
                      <a:avLst/>
                    </a:prstGeom>
                  </pic:spPr>
                </pic:pic>
              </a:graphicData>
            </a:graphic>
          </wp:inline>
        </w:drawing>
      </w:r>
    </w:p>
    <w:p w14:paraId="79CA6D54" w14:textId="67B5D8D3" w:rsidR="00B201E0" w:rsidRDefault="0064032A" w:rsidP="009A023D">
      <w:pPr>
        <w:rPr>
          <w:lang w:val="en-GB"/>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sidR="000A24D2">
        <w:rPr>
          <w:rStyle w:val="CaptionChar"/>
          <w:noProof/>
        </w:rPr>
        <w:t>13</w:t>
      </w:r>
      <w:r w:rsidRPr="00B201E0">
        <w:rPr>
          <w:rStyle w:val="CaptionChar"/>
        </w:rPr>
        <w:fldChar w:fldCharType="end"/>
      </w:r>
      <w:r w:rsidRPr="00B201E0">
        <w:rPr>
          <w:rStyle w:val="CaptionChar"/>
        </w:rPr>
        <w:t>:</w:t>
      </w:r>
      <w:r w:rsidR="00B201E0" w:rsidRPr="00B201E0">
        <w:rPr>
          <w:rStyle w:val="CaptionChar"/>
        </w:rPr>
        <w:t xml:space="preserve"> Primary energy mix evolution for the SSP</w:t>
      </w:r>
      <w:r w:rsidR="00B201E0">
        <w:rPr>
          <w:rStyle w:val="CaptionChar"/>
        </w:rPr>
        <w:t>1</w:t>
      </w:r>
      <w:r w:rsidR="00B201E0" w:rsidRPr="00B201E0">
        <w:rPr>
          <w:rStyle w:val="CaptionChar"/>
        </w:rPr>
        <w:t xml:space="preserve"> </w:t>
      </w:r>
      <w:r w:rsidR="00B201E0">
        <w:rPr>
          <w:rStyle w:val="CaptionChar"/>
        </w:rPr>
        <w:t>baseline</w:t>
      </w:r>
      <w:r w:rsidR="00B201E0" w:rsidRPr="00B201E0">
        <w:rPr>
          <w:rStyle w:val="CaptionChar"/>
        </w:rPr>
        <w:t>, modelled by the IIASA IAM framework.</w:t>
      </w:r>
      <w:r w:rsidR="00B201E0" w:rsidRPr="00B14726">
        <w:rPr>
          <w:lang w:val="en-GB"/>
        </w:rPr>
        <w:t xml:space="preserve"> </w:t>
      </w:r>
      <w:r w:rsidR="00B201E0">
        <w:rPr>
          <w:lang w:val="en-GB"/>
        </w:rPr>
        <w:br w:type="page"/>
      </w:r>
    </w:p>
    <w:p w14:paraId="65D12B85" w14:textId="77777777" w:rsidR="00B201E0" w:rsidRDefault="00B201E0" w:rsidP="00B14726">
      <w:pPr>
        <w:rPr>
          <w:lang w:val="en-GB"/>
        </w:rPr>
      </w:pPr>
    </w:p>
    <w:p w14:paraId="247F7ED6" w14:textId="77777777" w:rsidR="00B201E0" w:rsidRDefault="00B201E0" w:rsidP="00B14726">
      <w:pPr>
        <w:rPr>
          <w:lang w:val="en-GB"/>
        </w:rPr>
      </w:pPr>
    </w:p>
    <w:p w14:paraId="4A319256" w14:textId="77777777" w:rsidR="00CC438E" w:rsidRDefault="00CC438E" w:rsidP="00B14726">
      <w:pPr>
        <w:rPr>
          <w:lang w:val="en-GB"/>
        </w:rPr>
      </w:pPr>
    </w:p>
    <w:p w14:paraId="6AC7C8BA" w14:textId="77777777" w:rsidR="00CC438E" w:rsidRDefault="00CC438E" w:rsidP="00B14726">
      <w:pPr>
        <w:rPr>
          <w:lang w:val="en-GB"/>
        </w:rPr>
      </w:pPr>
    </w:p>
    <w:p w14:paraId="0D6C7F76" w14:textId="77777777" w:rsidR="00CC438E" w:rsidRDefault="00CC438E" w:rsidP="00B14726">
      <w:pPr>
        <w:rPr>
          <w:lang w:val="en-GB"/>
        </w:rPr>
      </w:pPr>
    </w:p>
    <w:p w14:paraId="166276F6" w14:textId="77777777" w:rsidR="00CC438E" w:rsidRDefault="00CC438E" w:rsidP="00B14726">
      <w:pPr>
        <w:rPr>
          <w:lang w:val="en-GB"/>
        </w:rPr>
      </w:pPr>
    </w:p>
    <w:p w14:paraId="5A7A6B78" w14:textId="77777777" w:rsidR="00CC438E" w:rsidRDefault="00CC438E" w:rsidP="00B14726">
      <w:pPr>
        <w:rPr>
          <w:lang w:val="en-GB"/>
        </w:rPr>
      </w:pPr>
    </w:p>
    <w:p w14:paraId="2579CBF6" w14:textId="77777777" w:rsidR="00B201E0" w:rsidRDefault="00B201E0" w:rsidP="00C17B09">
      <w:pPr>
        <w:jc w:val="center"/>
        <w:rPr>
          <w:lang w:val="en-GB"/>
        </w:rPr>
      </w:pPr>
      <w:r>
        <w:rPr>
          <w:noProof/>
          <w:lang w:val="en-GB" w:eastAsia="en-GB"/>
        </w:rPr>
        <w:drawing>
          <wp:inline distT="0" distB="0" distL="0" distR="0" wp14:anchorId="67AE2432" wp14:editId="183290F8">
            <wp:extent cx="4944776" cy="423035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SP1_PE-01.png"/>
                    <pic:cNvPicPr/>
                  </pic:nvPicPr>
                  <pic:blipFill>
                    <a:blip r:embed="rId22">
                      <a:extLst>
                        <a:ext uri="{28A0092B-C50C-407E-A947-70E740481C1C}">
                          <a14:useLocalDpi xmlns:a14="http://schemas.microsoft.com/office/drawing/2010/main" val="0"/>
                        </a:ext>
                      </a:extLst>
                    </a:blip>
                    <a:stretch>
                      <a:fillRect/>
                    </a:stretch>
                  </pic:blipFill>
                  <pic:spPr>
                    <a:xfrm>
                      <a:off x="0" y="0"/>
                      <a:ext cx="4947406" cy="4232606"/>
                    </a:xfrm>
                    <a:prstGeom prst="rect">
                      <a:avLst/>
                    </a:prstGeom>
                  </pic:spPr>
                </pic:pic>
              </a:graphicData>
            </a:graphic>
          </wp:inline>
        </w:drawing>
      </w:r>
    </w:p>
    <w:p w14:paraId="28C80CB2" w14:textId="2E8E6F40" w:rsidR="00CC438E" w:rsidRDefault="00B201E0" w:rsidP="009A023D">
      <w:pPr>
        <w:rPr>
          <w:lang w:val="en-GB"/>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sidR="000A24D2">
        <w:rPr>
          <w:rStyle w:val="CaptionChar"/>
          <w:noProof/>
        </w:rPr>
        <w:t>14</w:t>
      </w:r>
      <w:r w:rsidRPr="00B201E0">
        <w:rPr>
          <w:rStyle w:val="CaptionChar"/>
        </w:rPr>
        <w:fldChar w:fldCharType="end"/>
      </w:r>
      <w:r w:rsidRPr="00B201E0">
        <w:rPr>
          <w:rStyle w:val="CaptionChar"/>
        </w:rPr>
        <w:t>: Primary energy mix evolution for the SSP</w:t>
      </w:r>
      <w:r>
        <w:rPr>
          <w:rStyle w:val="CaptionChar"/>
        </w:rPr>
        <w:t>3</w:t>
      </w:r>
      <w:r w:rsidRPr="00B201E0">
        <w:rPr>
          <w:rStyle w:val="CaptionChar"/>
        </w:rPr>
        <w:t xml:space="preserve"> </w:t>
      </w:r>
      <w:r>
        <w:rPr>
          <w:rStyle w:val="CaptionChar"/>
        </w:rPr>
        <w:t>baseline</w:t>
      </w:r>
      <w:r w:rsidRPr="00B201E0">
        <w:rPr>
          <w:rStyle w:val="CaptionChar"/>
        </w:rPr>
        <w:t>, modelled by the IIASA IAM framework.</w:t>
      </w:r>
      <w:r w:rsidRPr="00B14726">
        <w:rPr>
          <w:lang w:val="en-GB"/>
        </w:rPr>
        <w:t xml:space="preserve"> </w:t>
      </w:r>
      <w:r w:rsidR="00CC438E">
        <w:rPr>
          <w:lang w:val="en-GB"/>
        </w:rPr>
        <w:br w:type="page"/>
      </w:r>
    </w:p>
    <w:p w14:paraId="1D9BD970" w14:textId="77777777" w:rsidR="00CC438E" w:rsidRDefault="00CC438E" w:rsidP="00CC438E">
      <w:pPr>
        <w:pStyle w:val="Heading2"/>
        <w:rPr>
          <w:lang w:val="en-GB"/>
        </w:rPr>
      </w:pPr>
      <w:bookmarkStart w:id="31" w:name="_Toc449104549"/>
      <w:r>
        <w:rPr>
          <w:lang w:val="en-GB"/>
        </w:rPr>
        <w:lastRenderedPageBreak/>
        <w:t>Primary energy evolution in SSP2 mitigation cases</w:t>
      </w:r>
      <w:bookmarkEnd w:id="31"/>
    </w:p>
    <w:p w14:paraId="0F699464" w14:textId="77777777" w:rsidR="00CC438E" w:rsidRDefault="00CC438E" w:rsidP="00C17B09">
      <w:pPr>
        <w:jc w:val="center"/>
        <w:rPr>
          <w:lang w:val="en-GB"/>
        </w:rPr>
      </w:pPr>
      <w:r>
        <w:rPr>
          <w:noProof/>
          <w:lang w:val="en-GB" w:eastAsia="en-GB"/>
        </w:rPr>
        <w:drawing>
          <wp:inline distT="0" distB="0" distL="0" distR="0" wp14:anchorId="4DDD10DC" wp14:editId="24540EE9">
            <wp:extent cx="4716651" cy="796567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SP2_45_26_PE-01.png"/>
                    <pic:cNvPicPr/>
                  </pic:nvPicPr>
                  <pic:blipFill>
                    <a:blip r:embed="rId23">
                      <a:extLst>
                        <a:ext uri="{28A0092B-C50C-407E-A947-70E740481C1C}">
                          <a14:useLocalDpi xmlns:a14="http://schemas.microsoft.com/office/drawing/2010/main" val="0"/>
                        </a:ext>
                      </a:extLst>
                    </a:blip>
                    <a:stretch>
                      <a:fillRect/>
                    </a:stretch>
                  </pic:blipFill>
                  <pic:spPr>
                    <a:xfrm>
                      <a:off x="0" y="0"/>
                      <a:ext cx="4716651" cy="7965677"/>
                    </a:xfrm>
                    <a:prstGeom prst="rect">
                      <a:avLst/>
                    </a:prstGeom>
                  </pic:spPr>
                </pic:pic>
              </a:graphicData>
            </a:graphic>
          </wp:inline>
        </w:drawing>
      </w:r>
    </w:p>
    <w:p w14:paraId="0B54555F" w14:textId="325D9ED3" w:rsidR="00632178" w:rsidRDefault="00CC438E" w:rsidP="009A023D">
      <w:pPr>
        <w:rPr>
          <w:lang w:val="en-GB"/>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sidR="000A24D2">
        <w:rPr>
          <w:rStyle w:val="CaptionChar"/>
          <w:noProof/>
        </w:rPr>
        <w:t>15</w:t>
      </w:r>
      <w:r w:rsidRPr="00B201E0">
        <w:rPr>
          <w:rStyle w:val="CaptionChar"/>
        </w:rPr>
        <w:fldChar w:fldCharType="end"/>
      </w:r>
      <w:r w:rsidRPr="00B201E0">
        <w:rPr>
          <w:rStyle w:val="CaptionChar"/>
        </w:rPr>
        <w:t xml:space="preserve">: Primary energy mix evolution for </w:t>
      </w:r>
      <w:r>
        <w:rPr>
          <w:rStyle w:val="CaptionChar"/>
        </w:rPr>
        <w:t>two</w:t>
      </w:r>
      <w:r w:rsidRPr="00B201E0">
        <w:rPr>
          <w:rStyle w:val="CaptionChar"/>
        </w:rPr>
        <w:t xml:space="preserve"> SSP</w:t>
      </w:r>
      <w:r>
        <w:rPr>
          <w:rStyle w:val="CaptionChar"/>
        </w:rPr>
        <w:t>2 mitigation cases leading to an end-of-century total anthropogenic radiative forcing of 2.6 (upper panel) and 4.5 (lower panel) W/m</w:t>
      </w:r>
      <w:r w:rsidRPr="00CC438E">
        <w:rPr>
          <w:rStyle w:val="CaptionChar"/>
          <w:vertAlign w:val="superscript"/>
        </w:rPr>
        <w:t>2</w:t>
      </w:r>
      <w:r w:rsidRPr="00B201E0">
        <w:rPr>
          <w:rStyle w:val="CaptionChar"/>
        </w:rPr>
        <w:t xml:space="preserve">, </w:t>
      </w:r>
      <w:r>
        <w:rPr>
          <w:rStyle w:val="CaptionChar"/>
        </w:rPr>
        <w:t xml:space="preserve">as </w:t>
      </w:r>
      <w:r w:rsidRPr="00B201E0">
        <w:rPr>
          <w:rStyle w:val="CaptionChar"/>
        </w:rPr>
        <w:t>modelled by the IIASA IAM framework.</w:t>
      </w:r>
      <w:r w:rsidR="00A30CFD">
        <w:rPr>
          <w:rStyle w:val="CaptionChar"/>
        </w:rPr>
        <w:t xml:space="preserve"> Hatched areas represent the shares of primary en</w:t>
      </w:r>
      <w:r w:rsidR="00A153E6">
        <w:rPr>
          <w:rStyle w:val="CaptionChar"/>
        </w:rPr>
        <w:t>ergy that are combined with carbon capture and storage (CCS).</w:t>
      </w:r>
      <w:r w:rsidR="00632178">
        <w:rPr>
          <w:lang w:val="en-GB"/>
        </w:rPr>
        <w:br w:type="page"/>
      </w:r>
    </w:p>
    <w:p w14:paraId="3D5BC2C0" w14:textId="77777777" w:rsidR="00632178" w:rsidRDefault="00632178" w:rsidP="00632178">
      <w:pPr>
        <w:pStyle w:val="Heading2"/>
        <w:rPr>
          <w:lang w:val="en-GB"/>
        </w:rPr>
      </w:pPr>
      <w:bookmarkStart w:id="32" w:name="_Toc449104550"/>
      <w:r w:rsidRPr="00632178">
        <w:rPr>
          <w:rFonts w:cs="Times New Roman"/>
          <w:lang w:val="en-GB"/>
        </w:rPr>
        <w:lastRenderedPageBreak/>
        <w:t>CO</w:t>
      </w:r>
      <w:r w:rsidRPr="00632178">
        <w:rPr>
          <w:rFonts w:cs="Times New Roman"/>
          <w:vertAlign w:val="subscript"/>
          <w:lang w:val="en-GB"/>
        </w:rPr>
        <w:t>2</w:t>
      </w:r>
      <w:r>
        <w:rPr>
          <w:lang w:val="en-GB"/>
        </w:rPr>
        <w:t xml:space="preserve"> mitigation</w:t>
      </w:r>
      <w:bookmarkEnd w:id="32"/>
      <w:r>
        <w:rPr>
          <w:lang w:val="en-GB"/>
        </w:rPr>
        <w:t xml:space="preserve"> </w:t>
      </w:r>
    </w:p>
    <w:p w14:paraId="044B2428" w14:textId="77777777" w:rsidR="004D528F" w:rsidRDefault="004D528F" w:rsidP="004D528F">
      <w:pPr>
        <w:rPr>
          <w:lang w:val="en-GB"/>
        </w:rPr>
      </w:pPr>
    </w:p>
    <w:p w14:paraId="51B6D54B" w14:textId="77777777" w:rsidR="00045F3C" w:rsidRDefault="00045F3C" w:rsidP="004D528F">
      <w:pPr>
        <w:rPr>
          <w:lang w:val="en-GB"/>
        </w:rPr>
      </w:pPr>
    </w:p>
    <w:p w14:paraId="6E217203" w14:textId="77777777" w:rsidR="00045F3C" w:rsidRDefault="00045F3C" w:rsidP="004D528F">
      <w:pPr>
        <w:rPr>
          <w:lang w:val="en-GB"/>
        </w:rPr>
      </w:pPr>
    </w:p>
    <w:p w14:paraId="141FE024" w14:textId="77777777" w:rsidR="00045F3C" w:rsidRDefault="00045F3C" w:rsidP="004D528F">
      <w:pPr>
        <w:rPr>
          <w:lang w:val="en-GB"/>
        </w:rPr>
      </w:pPr>
    </w:p>
    <w:p w14:paraId="25E69315" w14:textId="77777777" w:rsidR="00045F3C" w:rsidRPr="004D528F" w:rsidRDefault="00045F3C" w:rsidP="004D528F">
      <w:pPr>
        <w:rPr>
          <w:lang w:val="en-GB"/>
        </w:rPr>
      </w:pPr>
    </w:p>
    <w:p w14:paraId="19A5437B" w14:textId="77777777" w:rsidR="00B201E0" w:rsidRDefault="004D528F" w:rsidP="00B14726">
      <w:pPr>
        <w:rPr>
          <w:lang w:val="en-GB"/>
        </w:rPr>
      </w:pPr>
      <w:r>
        <w:rPr>
          <w:noProof/>
          <w:lang w:val="en-GB" w:eastAsia="en-GB"/>
        </w:rPr>
        <w:drawing>
          <wp:inline distT="0" distB="0" distL="0" distR="0" wp14:anchorId="0DE356C7" wp14:editId="2345A523">
            <wp:extent cx="5760720" cy="3946525"/>
            <wp:effectExtent l="0" t="0" r="1143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6D6E27" w14:textId="348FC87E" w:rsidR="00045F3C" w:rsidRDefault="00D5736F" w:rsidP="009A023D">
      <w:pPr>
        <w:rPr>
          <w:rStyle w:val="CaptionChar"/>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sidR="000A24D2">
        <w:rPr>
          <w:rStyle w:val="CaptionChar"/>
          <w:noProof/>
        </w:rPr>
        <w:t>16</w:t>
      </w:r>
      <w:r w:rsidRPr="00B201E0">
        <w:rPr>
          <w:rStyle w:val="CaptionChar"/>
        </w:rPr>
        <w:fldChar w:fldCharType="end"/>
      </w:r>
      <w:r w:rsidRPr="00B201E0">
        <w:rPr>
          <w:rStyle w:val="CaptionChar"/>
        </w:rPr>
        <w:t xml:space="preserve">: </w:t>
      </w:r>
      <w:r w:rsidR="005A05F4">
        <w:rPr>
          <w:rStyle w:val="CaptionChar"/>
        </w:rPr>
        <w:t xml:space="preserve">Annual amounts of </w:t>
      </w:r>
      <w:r w:rsidR="005A05F4" w:rsidRPr="005A05F4">
        <w:rPr>
          <w:rStyle w:val="CaptionChar"/>
          <w:rFonts w:cs="Times New Roman"/>
          <w:lang w:val="en-GB"/>
        </w:rPr>
        <w:t>CO</w:t>
      </w:r>
      <w:r w:rsidR="005A05F4" w:rsidRPr="005A05F4">
        <w:rPr>
          <w:rStyle w:val="CaptionChar"/>
          <w:rFonts w:cs="Times New Roman"/>
          <w:vertAlign w:val="subscript"/>
          <w:lang w:val="en-GB"/>
        </w:rPr>
        <w:t>2</w:t>
      </w:r>
      <w:r w:rsidR="005A05F4">
        <w:rPr>
          <w:rStyle w:val="CaptionChar"/>
        </w:rPr>
        <w:t xml:space="preserve"> removed by the deployment of bioenergy combined with carbon capture and storage (BECCS) versus annual land-use </w:t>
      </w:r>
      <w:r w:rsidR="005A05F4" w:rsidRPr="005A05F4">
        <w:rPr>
          <w:rStyle w:val="CaptionChar"/>
          <w:rFonts w:cs="Times New Roman"/>
          <w:lang w:val="en-GB"/>
        </w:rPr>
        <w:t>CO</w:t>
      </w:r>
      <w:r w:rsidR="005A05F4" w:rsidRPr="005A05F4">
        <w:rPr>
          <w:rStyle w:val="CaptionChar"/>
          <w:rFonts w:cs="Times New Roman"/>
          <w:vertAlign w:val="subscript"/>
          <w:lang w:val="en-GB"/>
        </w:rPr>
        <w:t>2</w:t>
      </w:r>
      <w:r w:rsidR="005A05F4">
        <w:rPr>
          <w:rStyle w:val="CaptionChar"/>
        </w:rPr>
        <w:t xml:space="preserve"> </w:t>
      </w:r>
      <w:r w:rsidR="00C229EF">
        <w:rPr>
          <w:rStyle w:val="CaptionChar"/>
        </w:rPr>
        <w:t xml:space="preserve">emissions for an illustrative set of mitigation cases in SSP1, SSP2, and SSP3. </w:t>
      </w:r>
      <w:r w:rsidR="00641870">
        <w:rPr>
          <w:rStyle w:val="CaptionChar"/>
        </w:rPr>
        <w:br/>
      </w:r>
      <w:r w:rsidR="00441B5F">
        <w:rPr>
          <w:rStyle w:val="CaptionChar"/>
        </w:rPr>
        <w:t>The l</w:t>
      </w:r>
      <w:r w:rsidR="00641870">
        <w:rPr>
          <w:rStyle w:val="CaptionChar"/>
        </w:rPr>
        <w:t>abel “SSP2-26” refers to the SSP2 mitigation scenario which limits total anthropogenic radiative forcing in 2100 to 2.6</w:t>
      </w:r>
      <w:r w:rsidR="00441B5F">
        <w:rPr>
          <w:rStyle w:val="CaptionChar"/>
        </w:rPr>
        <w:t> </w:t>
      </w:r>
      <w:r w:rsidR="00641870">
        <w:rPr>
          <w:rStyle w:val="CaptionChar"/>
        </w:rPr>
        <w:t>W/m</w:t>
      </w:r>
      <w:r w:rsidR="00641870" w:rsidRPr="00641870">
        <w:rPr>
          <w:rStyle w:val="CaptionChar"/>
          <w:vertAlign w:val="superscript"/>
        </w:rPr>
        <w:t>2</w:t>
      </w:r>
      <w:r w:rsidR="00441B5F" w:rsidRPr="00441B5F">
        <w:rPr>
          <w:rStyle w:val="CaptionChar"/>
        </w:rPr>
        <w:t>.</w:t>
      </w:r>
      <w:r w:rsidR="00045F3C">
        <w:rPr>
          <w:rStyle w:val="CaptionChar"/>
        </w:rPr>
        <w:br w:type="page"/>
      </w:r>
    </w:p>
    <w:p w14:paraId="1F27AD67" w14:textId="77777777" w:rsidR="00045F3C" w:rsidRDefault="00045F3C" w:rsidP="00D5736F">
      <w:pPr>
        <w:rPr>
          <w:lang w:val="en-GB"/>
        </w:rPr>
      </w:pPr>
    </w:p>
    <w:p w14:paraId="50341D16" w14:textId="77777777" w:rsidR="00045F3C" w:rsidRDefault="00045F3C" w:rsidP="00D5736F">
      <w:pPr>
        <w:rPr>
          <w:lang w:val="en-GB"/>
        </w:rPr>
      </w:pPr>
    </w:p>
    <w:p w14:paraId="6EB0CD0E" w14:textId="77777777" w:rsidR="009A023D" w:rsidRDefault="009A023D" w:rsidP="00D5736F">
      <w:pPr>
        <w:rPr>
          <w:lang w:val="en-GB"/>
        </w:rPr>
      </w:pPr>
    </w:p>
    <w:p w14:paraId="73AFCA5A" w14:textId="77777777" w:rsidR="009A023D" w:rsidRDefault="009A023D" w:rsidP="00D5736F">
      <w:pPr>
        <w:rPr>
          <w:lang w:val="en-GB"/>
        </w:rPr>
      </w:pPr>
    </w:p>
    <w:p w14:paraId="260D2EC8" w14:textId="77777777" w:rsidR="009A023D" w:rsidRDefault="009A023D" w:rsidP="00D5736F">
      <w:pPr>
        <w:rPr>
          <w:lang w:val="en-GB"/>
        </w:rPr>
      </w:pPr>
    </w:p>
    <w:p w14:paraId="7A4CB892" w14:textId="77777777" w:rsidR="00045F3C" w:rsidRDefault="00045F3C" w:rsidP="00D5736F">
      <w:pPr>
        <w:rPr>
          <w:lang w:val="en-GB"/>
        </w:rPr>
      </w:pPr>
    </w:p>
    <w:p w14:paraId="6C51A23C" w14:textId="77777777" w:rsidR="00045F3C" w:rsidRDefault="00045F3C" w:rsidP="00045F3C">
      <w:pPr>
        <w:rPr>
          <w:lang w:val="en-GB"/>
        </w:rPr>
      </w:pPr>
      <w:r>
        <w:rPr>
          <w:noProof/>
          <w:lang w:val="en-GB" w:eastAsia="en-GB"/>
        </w:rPr>
        <w:drawing>
          <wp:inline distT="0" distB="0" distL="0" distR="0" wp14:anchorId="2F68C47C" wp14:editId="2640B049">
            <wp:extent cx="5760720" cy="3935730"/>
            <wp:effectExtent l="0" t="0" r="1143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C194AD" w14:textId="3F82DD3B" w:rsidR="00EC48A2" w:rsidRDefault="00045F3C" w:rsidP="009A023D">
      <w:pPr>
        <w:rPr>
          <w:rStyle w:val="CaptionChar"/>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sidR="000A24D2">
        <w:rPr>
          <w:rStyle w:val="CaptionChar"/>
          <w:noProof/>
        </w:rPr>
        <w:t>17</w:t>
      </w:r>
      <w:r w:rsidRPr="00B201E0">
        <w:rPr>
          <w:rStyle w:val="CaptionChar"/>
        </w:rPr>
        <w:fldChar w:fldCharType="end"/>
      </w:r>
      <w:r w:rsidRPr="00B201E0">
        <w:rPr>
          <w:rStyle w:val="CaptionChar"/>
        </w:rPr>
        <w:t xml:space="preserve">: </w:t>
      </w:r>
      <w:r>
        <w:rPr>
          <w:rStyle w:val="CaptionChar"/>
        </w:rPr>
        <w:t xml:space="preserve">Annual amounts of </w:t>
      </w:r>
      <w:r w:rsidRPr="005A05F4">
        <w:rPr>
          <w:rStyle w:val="CaptionChar"/>
          <w:rFonts w:cs="Times New Roman"/>
          <w:lang w:val="en-GB"/>
        </w:rPr>
        <w:t>CO</w:t>
      </w:r>
      <w:r w:rsidRPr="005A05F4">
        <w:rPr>
          <w:rStyle w:val="CaptionChar"/>
          <w:rFonts w:cs="Times New Roman"/>
          <w:vertAlign w:val="subscript"/>
          <w:lang w:val="en-GB"/>
        </w:rPr>
        <w:t>2</w:t>
      </w:r>
      <w:r>
        <w:rPr>
          <w:rStyle w:val="CaptionChar"/>
        </w:rPr>
        <w:t xml:space="preserve"> removed by the deployment of bioenergy combined with carbon capture and storage (BECCS) versus annual amount of </w:t>
      </w:r>
      <w:r w:rsidRPr="005A05F4">
        <w:rPr>
          <w:rStyle w:val="CaptionChar"/>
          <w:rFonts w:cs="Times New Roman"/>
          <w:lang w:val="en-GB"/>
        </w:rPr>
        <w:t>CO</w:t>
      </w:r>
      <w:r w:rsidRPr="005A05F4">
        <w:rPr>
          <w:rStyle w:val="CaptionChar"/>
          <w:rFonts w:cs="Times New Roman"/>
          <w:vertAlign w:val="subscript"/>
          <w:lang w:val="en-GB"/>
        </w:rPr>
        <w:t>2</w:t>
      </w:r>
      <w:r>
        <w:rPr>
          <w:rStyle w:val="CaptionChar"/>
        </w:rPr>
        <w:t xml:space="preserve"> stored from fossil energy sources with carbon capture and storage (CCS) for an illustrative set of mitigation cases in SSP1, SSP2, and SSP3. </w:t>
      </w:r>
      <w:r w:rsidR="006F5945">
        <w:rPr>
          <w:rStyle w:val="CaptionChar"/>
        </w:rPr>
        <w:t>The label “SSP2-26” refers to the SSP2 mitigation scenario which limits total anthropogenic radiative forcing in 2100 to 2.6 W/m</w:t>
      </w:r>
      <w:r w:rsidR="006F5945" w:rsidRPr="00641870">
        <w:rPr>
          <w:rStyle w:val="CaptionChar"/>
          <w:vertAlign w:val="superscript"/>
        </w:rPr>
        <w:t>2</w:t>
      </w:r>
      <w:r w:rsidR="006F5945" w:rsidRPr="00441B5F">
        <w:rPr>
          <w:rStyle w:val="CaptionChar"/>
        </w:rPr>
        <w:t>.</w:t>
      </w:r>
      <w:r w:rsidR="00EC48A2">
        <w:rPr>
          <w:rStyle w:val="CaptionChar"/>
        </w:rPr>
        <w:br w:type="page"/>
      </w:r>
    </w:p>
    <w:p w14:paraId="2BA65CDB" w14:textId="77777777" w:rsidR="009A023D" w:rsidRDefault="009A023D" w:rsidP="00045F3C">
      <w:pPr>
        <w:rPr>
          <w:lang w:val="en-GB"/>
        </w:rPr>
      </w:pPr>
    </w:p>
    <w:p w14:paraId="094E2194" w14:textId="77777777" w:rsidR="009A023D" w:rsidRDefault="009A023D" w:rsidP="00045F3C">
      <w:pPr>
        <w:rPr>
          <w:lang w:val="en-GB"/>
        </w:rPr>
      </w:pPr>
    </w:p>
    <w:p w14:paraId="044BB86F" w14:textId="77777777" w:rsidR="009A023D" w:rsidRDefault="009A023D" w:rsidP="00045F3C">
      <w:pPr>
        <w:rPr>
          <w:lang w:val="en-GB"/>
        </w:rPr>
      </w:pPr>
    </w:p>
    <w:p w14:paraId="636F30C6" w14:textId="77777777" w:rsidR="009A023D" w:rsidRDefault="009A023D" w:rsidP="00045F3C">
      <w:pPr>
        <w:rPr>
          <w:lang w:val="en-GB"/>
        </w:rPr>
      </w:pPr>
    </w:p>
    <w:p w14:paraId="01B73452" w14:textId="77777777" w:rsidR="009A023D" w:rsidRDefault="009A023D" w:rsidP="00045F3C">
      <w:pPr>
        <w:rPr>
          <w:lang w:val="en-GB"/>
        </w:rPr>
      </w:pPr>
    </w:p>
    <w:p w14:paraId="6C8D6AA0" w14:textId="77777777" w:rsidR="009A023D" w:rsidRDefault="009A023D" w:rsidP="00045F3C">
      <w:pPr>
        <w:rPr>
          <w:lang w:val="en-GB"/>
        </w:rPr>
      </w:pPr>
    </w:p>
    <w:p w14:paraId="16856442" w14:textId="03DD1804" w:rsidR="009A023D" w:rsidRDefault="00CB7C44" w:rsidP="000A24D2">
      <w:pPr>
        <w:jc w:val="center"/>
        <w:rPr>
          <w:lang w:val="en-GB"/>
        </w:rPr>
      </w:pPr>
      <w:r>
        <w:rPr>
          <w:noProof/>
          <w:lang w:val="en-GB" w:eastAsia="en-GB"/>
        </w:rPr>
        <w:drawing>
          <wp:inline distT="0" distB="0" distL="0" distR="0" wp14:anchorId="53EEF126" wp14:editId="6054FD96">
            <wp:extent cx="5760720" cy="2487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LUmitigation layout 20160425-01.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487295"/>
                    </a:xfrm>
                    <a:prstGeom prst="rect">
                      <a:avLst/>
                    </a:prstGeom>
                  </pic:spPr>
                </pic:pic>
              </a:graphicData>
            </a:graphic>
          </wp:inline>
        </w:drawing>
      </w:r>
    </w:p>
    <w:p w14:paraId="5C0BF5E7" w14:textId="341CC1A3" w:rsidR="000A24D2" w:rsidRPr="000A24D2" w:rsidRDefault="00EC48A2" w:rsidP="00832AA4">
      <w:pPr>
        <w:pStyle w:val="Caption"/>
        <w:jc w:val="both"/>
        <w:rPr>
          <w:rStyle w:val="CaptionChar"/>
          <w:lang w:val="en-GB"/>
        </w:rPr>
      </w:pPr>
      <w:r w:rsidRPr="000A24D2">
        <w:rPr>
          <w:rStyle w:val="CaptionChar"/>
          <w:lang w:val="en-US"/>
        </w:rPr>
        <w:t>Figure S</w:t>
      </w:r>
      <w:r w:rsidRPr="00B201E0">
        <w:rPr>
          <w:rStyle w:val="CaptionChar"/>
        </w:rPr>
        <w:fldChar w:fldCharType="begin"/>
      </w:r>
      <w:r w:rsidRPr="000A24D2">
        <w:rPr>
          <w:rStyle w:val="CaptionChar"/>
          <w:lang w:val="en-US"/>
        </w:rPr>
        <w:instrText xml:space="preserve"> SEQ Figure \* ARABIC </w:instrText>
      </w:r>
      <w:r w:rsidRPr="00B201E0">
        <w:rPr>
          <w:rStyle w:val="CaptionChar"/>
        </w:rPr>
        <w:fldChar w:fldCharType="separate"/>
      </w:r>
      <w:r w:rsidR="000A24D2">
        <w:rPr>
          <w:rStyle w:val="CaptionChar"/>
          <w:noProof/>
          <w:lang w:val="en-US"/>
        </w:rPr>
        <w:t>18</w:t>
      </w:r>
      <w:r w:rsidRPr="00B201E0">
        <w:rPr>
          <w:rStyle w:val="CaptionChar"/>
        </w:rPr>
        <w:fldChar w:fldCharType="end"/>
      </w:r>
      <w:r w:rsidRPr="000A24D2">
        <w:rPr>
          <w:rStyle w:val="CaptionChar"/>
          <w:lang w:val="en-US"/>
        </w:rPr>
        <w:t xml:space="preserve">: </w:t>
      </w:r>
      <w:r w:rsidR="000A24D2" w:rsidRPr="00B25FEE">
        <w:rPr>
          <w:lang w:val="en-GB"/>
        </w:rPr>
        <w:t>Land use development in the ma</w:t>
      </w:r>
      <w:r w:rsidR="000A24D2">
        <w:rPr>
          <w:lang w:val="en-GB"/>
        </w:rPr>
        <w:t xml:space="preserve">rker SSP2 scenario in line with a </w:t>
      </w:r>
      <w:r w:rsidR="00832AA4">
        <w:rPr>
          <w:lang w:val="en-GB"/>
        </w:rPr>
        <w:t>2.6 W/m</w:t>
      </w:r>
      <w:r w:rsidR="00832AA4" w:rsidRPr="00832AA4">
        <w:rPr>
          <w:vertAlign w:val="superscript"/>
          <w:lang w:val="en-GB"/>
        </w:rPr>
        <w:t>2</w:t>
      </w:r>
      <w:r w:rsidR="00832AA4">
        <w:rPr>
          <w:lang w:val="en-GB"/>
        </w:rPr>
        <w:t xml:space="preserve"> climate target</w:t>
      </w:r>
      <w:r w:rsidR="000A24D2">
        <w:rPr>
          <w:lang w:val="en-GB"/>
        </w:rPr>
        <w:t xml:space="preserve">. Left panel:  evolution of global land area over time. Right panel: agricultural and forestry production over time in units of million tonnes of dry matter. </w:t>
      </w:r>
    </w:p>
    <w:p w14:paraId="27FE8873" w14:textId="77777777" w:rsidR="000A24D2" w:rsidRDefault="000A24D2">
      <w:pPr>
        <w:spacing w:line="259" w:lineRule="auto"/>
        <w:rPr>
          <w:rStyle w:val="CaptionChar"/>
        </w:rPr>
      </w:pPr>
      <w:r>
        <w:rPr>
          <w:rStyle w:val="CaptionChar"/>
        </w:rPr>
        <w:br w:type="page"/>
      </w:r>
    </w:p>
    <w:p w14:paraId="3844FA7A" w14:textId="77777777" w:rsidR="000A24D2" w:rsidRDefault="000A24D2" w:rsidP="000A24D2">
      <w:pPr>
        <w:rPr>
          <w:lang w:val="en-GB"/>
        </w:rPr>
      </w:pPr>
      <w:r>
        <w:rPr>
          <w:noProof/>
          <w:lang w:val="en-GB" w:eastAsia="en-GB"/>
        </w:rPr>
        <w:lastRenderedPageBreak/>
        <w:drawing>
          <wp:inline distT="0" distB="0" distL="0" distR="0" wp14:anchorId="327C7959" wp14:editId="6C481416">
            <wp:extent cx="5760720" cy="316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9_SI_26Wm2_CO2_mitigation_components_overview_20151215-01.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3162300"/>
                    </a:xfrm>
                    <a:prstGeom prst="rect">
                      <a:avLst/>
                    </a:prstGeom>
                  </pic:spPr>
                </pic:pic>
              </a:graphicData>
            </a:graphic>
          </wp:inline>
        </w:drawing>
      </w:r>
    </w:p>
    <w:p w14:paraId="4949E253" w14:textId="77777777" w:rsidR="000A24D2" w:rsidRDefault="000A24D2" w:rsidP="000A24D2">
      <w:pPr>
        <w:rPr>
          <w:rStyle w:val="CaptionChar"/>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Pr>
          <w:rStyle w:val="CaptionChar"/>
          <w:noProof/>
        </w:rPr>
        <w:t>19</w:t>
      </w:r>
      <w:r w:rsidRPr="00B201E0">
        <w:rPr>
          <w:rStyle w:val="CaptionChar"/>
        </w:rPr>
        <w:fldChar w:fldCharType="end"/>
      </w:r>
      <w:r w:rsidRPr="00B201E0">
        <w:rPr>
          <w:rStyle w:val="CaptionChar"/>
        </w:rPr>
        <w:t xml:space="preserve">: </w:t>
      </w:r>
      <w:r>
        <w:rPr>
          <w:rStyle w:val="CaptionChar"/>
        </w:rPr>
        <w:t xml:space="preserve">Mitigation of </w:t>
      </w:r>
      <w:r w:rsidRPr="005A05F4">
        <w:rPr>
          <w:rStyle w:val="CaptionChar"/>
          <w:rFonts w:cs="Times New Roman"/>
          <w:lang w:val="en-GB"/>
        </w:rPr>
        <w:t>CO</w:t>
      </w:r>
      <w:r w:rsidRPr="005A05F4">
        <w:rPr>
          <w:rStyle w:val="CaptionChar"/>
          <w:rFonts w:cs="Times New Roman"/>
          <w:vertAlign w:val="subscript"/>
          <w:lang w:val="en-GB"/>
        </w:rPr>
        <w:t>2</w:t>
      </w:r>
      <w:r>
        <w:rPr>
          <w:rStyle w:val="CaptionChar"/>
        </w:rPr>
        <w:t xml:space="preserve"> from baseline </w:t>
      </w:r>
      <w:r w:rsidRPr="00EC48A2">
        <w:rPr>
          <w:rStyle w:val="CaptionChar"/>
          <w:rFonts w:cs="Times New Roman"/>
          <w:lang w:val="en-GB"/>
        </w:rPr>
        <w:t>CO</w:t>
      </w:r>
      <w:r w:rsidRPr="00EC48A2">
        <w:rPr>
          <w:rStyle w:val="CaptionChar"/>
          <w:rFonts w:cs="Times New Roman"/>
          <w:vertAlign w:val="subscript"/>
          <w:lang w:val="en-GB"/>
        </w:rPr>
        <w:t>2</w:t>
      </w:r>
      <w:r>
        <w:rPr>
          <w:rStyle w:val="CaptionChar"/>
        </w:rPr>
        <w:t xml:space="preserve"> emission levels in SSP1, SSP2, and SSP3 for achieving a global radiative forcing target in 2100 of 4.5 W/m</w:t>
      </w:r>
      <w:r w:rsidRPr="00EC48A2">
        <w:rPr>
          <w:rStyle w:val="CaptionChar"/>
          <w:vertAlign w:val="superscript"/>
        </w:rPr>
        <w:t>2</w:t>
      </w:r>
      <w:r>
        <w:rPr>
          <w:rStyle w:val="CaptionChar"/>
        </w:rPr>
        <w:t xml:space="preserve"> (left) and 2.6 W/m</w:t>
      </w:r>
      <w:r w:rsidRPr="00EC48A2">
        <w:rPr>
          <w:rStyle w:val="CaptionChar"/>
          <w:vertAlign w:val="superscript"/>
        </w:rPr>
        <w:t>2</w:t>
      </w:r>
      <w:r>
        <w:rPr>
          <w:rStyle w:val="CaptionChar"/>
        </w:rPr>
        <w:t xml:space="preserve"> (right), respectively). Emissions reductions are calculated from direct emissions from different sectors. </w:t>
      </w:r>
    </w:p>
    <w:p w14:paraId="16EAF5CC" w14:textId="77777777" w:rsidR="00F57CFD" w:rsidRDefault="00F57CFD" w:rsidP="009A023D">
      <w:pPr>
        <w:rPr>
          <w:rStyle w:val="CaptionChar"/>
        </w:rPr>
      </w:pPr>
    </w:p>
    <w:p w14:paraId="6CCC2B55" w14:textId="77777777" w:rsidR="00F57CFD" w:rsidRDefault="00F57CFD">
      <w:pPr>
        <w:spacing w:line="259" w:lineRule="auto"/>
        <w:rPr>
          <w:rStyle w:val="CaptionChar"/>
        </w:rPr>
      </w:pPr>
      <w:r>
        <w:rPr>
          <w:rStyle w:val="CaptionChar"/>
        </w:rPr>
        <w:br w:type="page"/>
      </w:r>
    </w:p>
    <w:p w14:paraId="6CB8B055" w14:textId="21477120" w:rsidR="002D4CA0" w:rsidRDefault="002D4CA0" w:rsidP="002D4CA0">
      <w:pPr>
        <w:pStyle w:val="Heading2"/>
        <w:rPr>
          <w:lang w:val="en-GB"/>
        </w:rPr>
      </w:pPr>
      <w:bookmarkStart w:id="33" w:name="_Toc449104551"/>
      <w:r>
        <w:rPr>
          <w:rFonts w:cs="Times New Roman"/>
          <w:lang w:val="en-GB"/>
        </w:rPr>
        <w:lastRenderedPageBreak/>
        <w:t>Carbon price SSP-RCP matrix</w:t>
      </w:r>
      <w:bookmarkEnd w:id="33"/>
      <w:r>
        <w:rPr>
          <w:lang w:val="en-GB"/>
        </w:rPr>
        <w:t xml:space="preserve"> </w:t>
      </w:r>
    </w:p>
    <w:p w14:paraId="4C0B26D0" w14:textId="77777777" w:rsidR="002D4CA0" w:rsidRPr="002D4CA0" w:rsidRDefault="002D4CA0" w:rsidP="002D4CA0"/>
    <w:p w14:paraId="0BD0D912" w14:textId="3A57AA24" w:rsidR="00F57CFD" w:rsidRDefault="00F57CFD" w:rsidP="00F57CFD">
      <w:pPr>
        <w:jc w:val="center"/>
        <w:rPr>
          <w:lang w:val="en-GB"/>
        </w:rPr>
      </w:pPr>
      <w:r>
        <w:rPr>
          <w:noProof/>
          <w:lang w:val="en-GB" w:eastAsia="en-GB"/>
        </w:rPr>
        <w:drawing>
          <wp:inline distT="0" distB="0" distL="0" distR="0" wp14:anchorId="5026FED2" wp14:editId="29111924">
            <wp:extent cx="4556098" cy="3601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SP_RCP_CarbonPrices_layout_20160420-01.png"/>
                    <pic:cNvPicPr/>
                  </pic:nvPicPr>
                  <pic:blipFill>
                    <a:blip r:embed="rId28">
                      <a:extLst>
                        <a:ext uri="{28A0092B-C50C-407E-A947-70E740481C1C}">
                          <a14:useLocalDpi xmlns:a14="http://schemas.microsoft.com/office/drawing/2010/main" val="0"/>
                        </a:ext>
                      </a:extLst>
                    </a:blip>
                    <a:stretch>
                      <a:fillRect/>
                    </a:stretch>
                  </pic:blipFill>
                  <pic:spPr>
                    <a:xfrm>
                      <a:off x="0" y="0"/>
                      <a:ext cx="4557288" cy="3602328"/>
                    </a:xfrm>
                    <a:prstGeom prst="rect">
                      <a:avLst/>
                    </a:prstGeom>
                  </pic:spPr>
                </pic:pic>
              </a:graphicData>
            </a:graphic>
          </wp:inline>
        </w:drawing>
      </w:r>
    </w:p>
    <w:p w14:paraId="500E4992" w14:textId="040DE4DE" w:rsidR="001F2D3B" w:rsidRDefault="00F57CFD" w:rsidP="00F57CFD">
      <w:pPr>
        <w:rPr>
          <w:lang w:val="en-GB"/>
        </w:rPr>
      </w:pPr>
      <w:r w:rsidRPr="0064032A">
        <w:rPr>
          <w:rStyle w:val="CaptionChar"/>
        </w:rPr>
        <w:t>F</w:t>
      </w:r>
      <w:r w:rsidRPr="00B201E0">
        <w:rPr>
          <w:rStyle w:val="CaptionChar"/>
        </w:rPr>
        <w:t>igure S</w:t>
      </w:r>
      <w:r w:rsidRPr="00B201E0">
        <w:rPr>
          <w:rStyle w:val="CaptionChar"/>
        </w:rPr>
        <w:fldChar w:fldCharType="begin"/>
      </w:r>
      <w:r w:rsidRPr="00B201E0">
        <w:rPr>
          <w:rStyle w:val="CaptionChar"/>
        </w:rPr>
        <w:instrText xml:space="preserve"> SEQ Figure \* ARABIC </w:instrText>
      </w:r>
      <w:r w:rsidRPr="00B201E0">
        <w:rPr>
          <w:rStyle w:val="CaptionChar"/>
        </w:rPr>
        <w:fldChar w:fldCharType="separate"/>
      </w:r>
      <w:r w:rsidR="000A24D2">
        <w:rPr>
          <w:rStyle w:val="CaptionChar"/>
          <w:noProof/>
        </w:rPr>
        <w:t>20</w:t>
      </w:r>
      <w:r w:rsidRPr="00B201E0">
        <w:rPr>
          <w:rStyle w:val="CaptionChar"/>
        </w:rPr>
        <w:fldChar w:fldCharType="end"/>
      </w:r>
      <w:r w:rsidRPr="00B201E0">
        <w:rPr>
          <w:rStyle w:val="CaptionChar"/>
        </w:rPr>
        <w:t xml:space="preserve">: </w:t>
      </w:r>
      <w:r>
        <w:rPr>
          <w:rStyle w:val="CaptionChar"/>
        </w:rPr>
        <w:t>Carbon prices</w:t>
      </w:r>
      <w:r w:rsidRPr="00F57CFD">
        <w:rPr>
          <w:rStyle w:val="CaptionChar"/>
        </w:rPr>
        <w:t xml:space="preserve"> costs across SSPs and different levels of climate change mitigation. </w:t>
      </w:r>
      <w:r>
        <w:rPr>
          <w:rStyle w:val="CaptionChar"/>
        </w:rPr>
        <w:t>Carbon prices represent the year-2030 carbon price in 2005 USD</w:t>
      </w:r>
      <w:r w:rsidRPr="00F57CFD">
        <w:rPr>
          <w:rStyle w:val="CaptionChar"/>
        </w:rPr>
        <w:t>.</w:t>
      </w:r>
      <w:r>
        <w:rPr>
          <w:rStyle w:val="CaptionChar"/>
        </w:rPr>
        <w:t xml:space="preserve"> </w:t>
      </w:r>
      <w:r w:rsidRPr="00F57CFD">
        <w:rPr>
          <w:rStyle w:val="CaptionChar"/>
        </w:rPr>
        <w:t xml:space="preserve"> Cases marked with NA cannot be achieved in the IIASA IAM implementation of the SSPs.</w:t>
      </w:r>
      <w:r>
        <w:rPr>
          <w:rStyle w:val="CaptionChar"/>
        </w:rPr>
        <w:t xml:space="preserve"> A carbon price is already imposed before 2030, but because of the various SPAs, their difference becomes clearer over time. The full carbon price trajectories can be explored in the online database accompanying the SSP Special Issue. </w:t>
      </w:r>
      <w:r w:rsidR="001F2D3B">
        <w:rPr>
          <w:lang w:val="en-GB"/>
        </w:rPr>
        <w:br w:type="page"/>
      </w:r>
    </w:p>
    <w:p w14:paraId="3F1415F1" w14:textId="4AD45D5B" w:rsidR="00DA47E8" w:rsidRDefault="001F2D3B" w:rsidP="009A023D">
      <w:pPr>
        <w:pStyle w:val="Heading1"/>
        <w:spacing w:line="360" w:lineRule="auto"/>
        <w:rPr>
          <w:lang w:val="en-GB"/>
        </w:rPr>
      </w:pPr>
      <w:bookmarkStart w:id="34" w:name="_Toc449104552"/>
      <w:r>
        <w:rPr>
          <w:lang w:val="en-GB"/>
        </w:rPr>
        <w:lastRenderedPageBreak/>
        <w:t>Supplementary References</w:t>
      </w:r>
      <w:bookmarkEnd w:id="34"/>
    </w:p>
    <w:p w14:paraId="041B597E" w14:textId="77777777" w:rsidR="005A6D1C" w:rsidRPr="005A6D1C" w:rsidRDefault="00DA47E8" w:rsidP="005A6D1C">
      <w:pPr>
        <w:pStyle w:val="EndNoteBibliography"/>
        <w:spacing w:after="0"/>
        <w:ind w:left="720" w:hanging="720"/>
      </w:pPr>
      <w:r>
        <w:rPr>
          <w:lang w:val="en-GB"/>
        </w:rPr>
        <w:fldChar w:fldCharType="begin"/>
      </w:r>
      <w:r>
        <w:rPr>
          <w:lang w:val="en-GB"/>
        </w:rPr>
        <w:instrText xml:space="preserve"> ADDIN EN.REFLIST </w:instrText>
      </w:r>
      <w:r>
        <w:rPr>
          <w:lang w:val="en-GB"/>
        </w:rPr>
        <w:fldChar w:fldCharType="separate"/>
      </w:r>
      <w:r w:rsidR="005A6D1C" w:rsidRPr="005A6D1C">
        <w:t>Alexandratos N and Bruinsma J 2012 World Agriculture Towards 2030/2050: The 2012 Revision. ESA Working Paper.  (Rome, Italy: Food and Agriculture Organization of the United Nations (FAO)) pp 1-154</w:t>
      </w:r>
    </w:p>
    <w:p w14:paraId="0E06B480" w14:textId="77777777" w:rsidR="005A6D1C" w:rsidRPr="005A6D1C" w:rsidRDefault="005A6D1C" w:rsidP="005A6D1C">
      <w:pPr>
        <w:pStyle w:val="EndNoteBibliography"/>
        <w:spacing w:after="0"/>
        <w:ind w:left="720" w:hanging="720"/>
      </w:pPr>
      <w:r w:rsidRPr="005A6D1C">
        <w:t xml:space="preserve">Bouët A, Decreux Y, Fontagné L, Jean S and Laborde D 2008 Assessing Applied Protection across the World* </w:t>
      </w:r>
      <w:r w:rsidRPr="005A6D1C">
        <w:rPr>
          <w:i/>
        </w:rPr>
        <w:t>Review of International Economics</w:t>
      </w:r>
      <w:r w:rsidRPr="005A6D1C">
        <w:t xml:space="preserve"> </w:t>
      </w:r>
      <w:r w:rsidRPr="005A6D1C">
        <w:rPr>
          <w:b/>
        </w:rPr>
        <w:t>16</w:t>
      </w:r>
      <w:r w:rsidRPr="005A6D1C">
        <w:t xml:space="preserve"> 850-63</w:t>
      </w:r>
    </w:p>
    <w:p w14:paraId="7182AE71" w14:textId="77777777" w:rsidR="005A6D1C" w:rsidRPr="005A6D1C" w:rsidRDefault="005A6D1C" w:rsidP="005A6D1C">
      <w:pPr>
        <w:pStyle w:val="EndNoteBibliography"/>
        <w:spacing w:after="0"/>
        <w:ind w:left="720" w:hanging="720"/>
      </w:pPr>
      <w:r w:rsidRPr="005A6D1C">
        <w:t xml:space="preserve">Dellink R, Chateau J, Lanzi E and Magné B 2015 Long-term economic growth projections in the Shared Socioeconomic Pathways </w:t>
      </w:r>
      <w:r w:rsidRPr="005A6D1C">
        <w:rPr>
          <w:i/>
        </w:rPr>
        <w:t>Global Environmental Change</w:t>
      </w:r>
      <w:r w:rsidRPr="005A6D1C">
        <w:t xml:space="preserve"> </w:t>
      </w:r>
    </w:p>
    <w:p w14:paraId="54269BE4" w14:textId="77777777" w:rsidR="005A6D1C" w:rsidRPr="005A6D1C" w:rsidRDefault="005A6D1C" w:rsidP="005A6D1C">
      <w:pPr>
        <w:pStyle w:val="EndNoteBibliography"/>
        <w:spacing w:after="0"/>
        <w:ind w:left="720" w:hanging="720"/>
      </w:pPr>
      <w:r w:rsidRPr="005A6D1C">
        <w:t xml:space="preserve">Gaulier G and Zignago S 2008 BACI: A World Database of International Trade at the Product-level (The 1995-2004 Version). MPRA Paper. </w:t>
      </w:r>
    </w:p>
    <w:p w14:paraId="06167ABE" w14:textId="77777777" w:rsidR="005A6D1C" w:rsidRPr="005A6D1C" w:rsidRDefault="005A6D1C" w:rsidP="005A6D1C">
      <w:pPr>
        <w:pStyle w:val="EndNoteBibliography"/>
        <w:spacing w:after="0"/>
        <w:ind w:left="720" w:hanging="720"/>
      </w:pPr>
      <w:r w:rsidRPr="005A6D1C">
        <w:t>Gustavsson J, Cederberg C, Sonesson U, van Otterdijk R and Meybeck A 2011 Global food losses and food waste. Extent, causes and prevention.  (Rome, Italy: Food and Agricultural Organisation of the United Nations (FAO))</w:t>
      </w:r>
    </w:p>
    <w:p w14:paraId="624CA64D" w14:textId="77777777" w:rsidR="005A6D1C" w:rsidRPr="005A6D1C" w:rsidRDefault="005A6D1C" w:rsidP="005A6D1C">
      <w:pPr>
        <w:pStyle w:val="EndNoteBibliography"/>
        <w:spacing w:after="0"/>
        <w:ind w:left="720" w:hanging="720"/>
      </w:pPr>
      <w:r w:rsidRPr="005A6D1C">
        <w:t xml:space="preserve">Havlík P, Schneider U A, Schmid E, Böttcher H, Fritz S, Skalský R, Aoki K, Cara S D, Kindermann G, Kraxner F, Leduc S, McCallum I, Mosnier A, Sauer T and Obersteiner M 2011 Global land-use implications of first and second generation biofuel targets </w:t>
      </w:r>
      <w:r w:rsidRPr="005A6D1C">
        <w:rPr>
          <w:i/>
        </w:rPr>
        <w:t>Energy Policy</w:t>
      </w:r>
      <w:r w:rsidRPr="005A6D1C">
        <w:t xml:space="preserve"> </w:t>
      </w:r>
      <w:r w:rsidRPr="005A6D1C">
        <w:rPr>
          <w:b/>
        </w:rPr>
        <w:t>39</w:t>
      </w:r>
      <w:r w:rsidRPr="005A6D1C">
        <w:t xml:space="preserve"> 5690-702</w:t>
      </w:r>
    </w:p>
    <w:p w14:paraId="34D1980F" w14:textId="77777777" w:rsidR="005A6D1C" w:rsidRPr="005A6D1C" w:rsidRDefault="005A6D1C" w:rsidP="005A6D1C">
      <w:pPr>
        <w:pStyle w:val="EndNoteBibliography"/>
        <w:spacing w:after="0"/>
        <w:ind w:left="720" w:hanging="720"/>
      </w:pPr>
      <w:r w:rsidRPr="005A6D1C">
        <w:t>Hummels D 2001 Toward a Geography of Trade Costs (Working Papers). Department of Economics, Purdue University, US)</w:t>
      </w:r>
    </w:p>
    <w:p w14:paraId="1C0A94AF" w14:textId="77777777" w:rsidR="005A6D1C" w:rsidRPr="005A6D1C" w:rsidRDefault="005A6D1C" w:rsidP="005A6D1C">
      <w:pPr>
        <w:pStyle w:val="EndNoteBibliography"/>
        <w:spacing w:after="0"/>
        <w:ind w:left="720" w:hanging="720"/>
      </w:pPr>
      <w:r w:rsidRPr="005A6D1C">
        <w:t xml:space="preserve">IEA 2012 World energy balances. In: </w:t>
      </w:r>
      <w:r w:rsidRPr="005A6D1C">
        <w:rPr>
          <w:i/>
        </w:rPr>
        <w:t>IEA World Energy Statistics and Balances (database),</w:t>
      </w:r>
      <w:r w:rsidRPr="005A6D1C">
        <w:t xml:space="preserve"> ed I E Agency (Paris, France</w:t>
      </w:r>
    </w:p>
    <w:p w14:paraId="0054A17E" w14:textId="77777777" w:rsidR="005A6D1C" w:rsidRPr="005A6D1C" w:rsidRDefault="005A6D1C" w:rsidP="005A6D1C">
      <w:pPr>
        <w:pStyle w:val="EndNoteBibliography"/>
        <w:spacing w:after="0"/>
        <w:ind w:left="720" w:hanging="720"/>
      </w:pPr>
      <w:r w:rsidRPr="005A6D1C">
        <w:t xml:space="preserve">Jewell J 2011 Ready for nuclear energy?: An assessment of capacities and motivations for launching new national nuclear power programs </w:t>
      </w:r>
      <w:r w:rsidRPr="005A6D1C">
        <w:rPr>
          <w:i/>
        </w:rPr>
        <w:t>Energy Policy</w:t>
      </w:r>
      <w:r w:rsidRPr="005A6D1C">
        <w:t xml:space="preserve"> </w:t>
      </w:r>
      <w:r w:rsidRPr="005A6D1C">
        <w:rPr>
          <w:b/>
        </w:rPr>
        <w:t>39</w:t>
      </w:r>
      <w:r w:rsidRPr="005A6D1C">
        <w:t xml:space="preserve"> 1041-55</w:t>
      </w:r>
    </w:p>
    <w:p w14:paraId="565E9E15" w14:textId="77777777" w:rsidR="005A6D1C" w:rsidRPr="005A6D1C" w:rsidRDefault="005A6D1C" w:rsidP="005A6D1C">
      <w:pPr>
        <w:pStyle w:val="EndNoteBibliography"/>
        <w:spacing w:after="0"/>
        <w:ind w:left="720" w:hanging="720"/>
      </w:pPr>
      <w:r w:rsidRPr="005A6D1C">
        <w:t xml:space="preserve">KC S and Lutz W 2015 The human core of the shared socioeconomic pathways: Population scenarios by age, sex and level of education for all countries to 2100 </w:t>
      </w:r>
      <w:r w:rsidRPr="005A6D1C">
        <w:rPr>
          <w:i/>
        </w:rPr>
        <w:t>Global Environmental Change</w:t>
      </w:r>
      <w:r w:rsidRPr="005A6D1C">
        <w:t xml:space="preserve"> </w:t>
      </w:r>
    </w:p>
    <w:p w14:paraId="41CBBF29" w14:textId="77777777" w:rsidR="005A6D1C" w:rsidRPr="005A6D1C" w:rsidRDefault="005A6D1C" w:rsidP="005A6D1C">
      <w:pPr>
        <w:pStyle w:val="EndNoteBibliography"/>
        <w:spacing w:after="0"/>
        <w:ind w:left="720" w:hanging="720"/>
      </w:pPr>
      <w:r w:rsidRPr="005A6D1C">
        <w:t xml:space="preserve">O’Neill B C, Kriegler E, Ebi K L, Kemp-Benedict E, Riahi K, Rothman D S, van Ruijven B J, van Vuuren D P, Birkmann J, Kok K, Levy M and Solecki W 2015 The roads ahead: Narratives for shared socioeconomic pathways describing world futures in the 21st century </w:t>
      </w:r>
      <w:r w:rsidRPr="005A6D1C">
        <w:rPr>
          <w:i/>
        </w:rPr>
        <w:t>Global Environmental Change</w:t>
      </w:r>
      <w:r w:rsidRPr="005A6D1C">
        <w:t xml:space="preserve"> </w:t>
      </w:r>
    </w:p>
    <w:p w14:paraId="2DF5D90A" w14:textId="77777777" w:rsidR="005A6D1C" w:rsidRPr="005A6D1C" w:rsidRDefault="005A6D1C" w:rsidP="005A6D1C">
      <w:pPr>
        <w:pStyle w:val="EndNoteBibliography"/>
        <w:spacing w:after="0"/>
        <w:ind w:left="720" w:hanging="720"/>
      </w:pPr>
      <w:r w:rsidRPr="005A6D1C">
        <w:t xml:space="preserve">Pepper W, Leggett J, Swart R, Wasson J, Edmonds J and Mintzer I 1992 </w:t>
      </w:r>
      <w:r w:rsidRPr="005A6D1C">
        <w:rPr>
          <w:i/>
        </w:rPr>
        <w:t>Climate Change 1992: Supplementary Report to the IPCC Scientific Assessment,</w:t>
      </w:r>
      <w:r w:rsidRPr="005A6D1C">
        <w:t xml:space="preserve"> ed J Houghton</w:t>
      </w:r>
      <w:r w:rsidRPr="005A6D1C">
        <w:rPr>
          <w:i/>
        </w:rPr>
        <w:t>, et al.</w:t>
      </w:r>
      <w:r w:rsidRPr="005A6D1C">
        <w:t xml:space="preserve"> (Cambridge, UK: Cambridge University Press)</w:t>
      </w:r>
    </w:p>
    <w:p w14:paraId="048D2CB0" w14:textId="77777777" w:rsidR="005A6D1C" w:rsidRPr="005A6D1C" w:rsidRDefault="005A6D1C" w:rsidP="005A6D1C">
      <w:pPr>
        <w:pStyle w:val="EndNoteBibliography"/>
        <w:spacing w:after="0"/>
        <w:ind w:left="720" w:hanging="720"/>
      </w:pPr>
      <w:r w:rsidRPr="005A6D1C">
        <w:t xml:space="preserve">Riahi K, Dentener F, Gielen D, Grubler A, Jewell J, Klimont Z, Krey V, McCollum D, Pachauri S, Rao S, van Ruijven B, van Vuuren D P and Wilson C 2012 </w:t>
      </w:r>
      <w:r w:rsidRPr="005A6D1C">
        <w:rPr>
          <w:i/>
        </w:rPr>
        <w:t>Global Energy Assessment - Toward a Sustainable Future</w:t>
      </w:r>
      <w:r w:rsidRPr="005A6D1C">
        <w:t>: Cambridge University Press, Cambridge, UK and New York, NY, USA and the International Institute for Applied Systems Analysis, Laxenburg, Austria) pp 1203-306</w:t>
      </w:r>
    </w:p>
    <w:p w14:paraId="62B9A69B" w14:textId="77777777" w:rsidR="005A6D1C" w:rsidRPr="005A6D1C" w:rsidRDefault="005A6D1C" w:rsidP="005A6D1C">
      <w:pPr>
        <w:pStyle w:val="EndNoteBibliography"/>
        <w:spacing w:after="0"/>
        <w:ind w:left="720" w:hanging="720"/>
      </w:pPr>
      <w:r w:rsidRPr="005A6D1C">
        <w:t xml:space="preserve">Riahi K and Roehrl R A 2000 Greenhouse gas emissions in a dynamics-as-usual scenario of economic and energy development </w:t>
      </w:r>
      <w:r w:rsidRPr="005A6D1C">
        <w:rPr>
          <w:i/>
        </w:rPr>
        <w:t>Technological Forecasting and Social Change</w:t>
      </w:r>
      <w:r w:rsidRPr="005A6D1C">
        <w:t xml:space="preserve"> </w:t>
      </w:r>
      <w:r w:rsidRPr="005A6D1C">
        <w:rPr>
          <w:b/>
        </w:rPr>
        <w:t>63</w:t>
      </w:r>
      <w:r w:rsidRPr="005A6D1C">
        <w:t xml:space="preserve"> 175-205</w:t>
      </w:r>
    </w:p>
    <w:p w14:paraId="3BF24411" w14:textId="77777777" w:rsidR="005A6D1C" w:rsidRPr="005A6D1C" w:rsidRDefault="005A6D1C" w:rsidP="005A6D1C">
      <w:pPr>
        <w:pStyle w:val="EndNoteBibliography"/>
        <w:spacing w:after="0"/>
        <w:ind w:left="720" w:hanging="720"/>
      </w:pPr>
      <w:r w:rsidRPr="005A6D1C">
        <w:t xml:space="preserve">Riahi K, van Vuuren D P, Kriegler E, Edmonds J, O’Neill B, Fujimori S, Bauer N, Calvin K, Dellink R, Fricko O, Lutz W, Popp A, Cuaresma J C, Leimbach M, Kram T, Rao S, Emmerling J, Hasegawa T, Havlik P, Humpenöder F, Aleluia Da Silva L, Smith S, Stehfest E, Bosetti V, Eom J, Gernaat D, Masui T, Rogelj J, Strefler J, Drouet L, Krey V, Luderer G, Harmsen M, Takahashi K, Wise M, Baumstark L, Doelman J, Kainuma M, Klimont Z, Marangoni G, Moss R, Lotze-Campen H, Obersteiner M, Tabeau A and Tavoni M in review The Shared Socioeconomic Pathways: An Overview </w:t>
      </w:r>
      <w:r w:rsidRPr="005A6D1C">
        <w:rPr>
          <w:i/>
        </w:rPr>
        <w:t>Global Environmental Change</w:t>
      </w:r>
      <w:r w:rsidRPr="005A6D1C">
        <w:t xml:space="preserve"> </w:t>
      </w:r>
    </w:p>
    <w:p w14:paraId="17CFB3E9" w14:textId="77777777" w:rsidR="005A6D1C" w:rsidRPr="005A6D1C" w:rsidRDefault="005A6D1C" w:rsidP="005A6D1C">
      <w:pPr>
        <w:pStyle w:val="EndNoteBibliography"/>
        <w:spacing w:after="0"/>
        <w:ind w:left="720" w:hanging="720"/>
      </w:pPr>
      <w:r w:rsidRPr="005A6D1C">
        <w:t xml:space="preserve">Rogner H-H, Aguilera R F, Bertani R, Bhattacharya S C, Dusseault M B, Gagnon L, Haberl H, Hoogwijk M, Johnson A, Rogner M L, Wagner H and Yakushev V 2012 </w:t>
      </w:r>
      <w:r w:rsidRPr="005A6D1C">
        <w:rPr>
          <w:i/>
        </w:rPr>
        <w:t>Global Energy Assessment - Toward a Sustainable Future,</w:t>
      </w:r>
      <w:r w:rsidRPr="005A6D1C">
        <w:t xml:space="preserve"> (Cambridge University Press, Cambridge, UK and New York, NY, USA and the International Institute for Applied Systems Analysis, Laxenburg, Austria pp 423-512</w:t>
      </w:r>
    </w:p>
    <w:p w14:paraId="26E65B94" w14:textId="77777777" w:rsidR="005A6D1C" w:rsidRPr="005A6D1C" w:rsidRDefault="005A6D1C" w:rsidP="005A6D1C">
      <w:pPr>
        <w:pStyle w:val="EndNoteBibliography"/>
        <w:spacing w:after="0"/>
        <w:ind w:left="720" w:hanging="720"/>
      </w:pPr>
      <w:r w:rsidRPr="005A6D1C">
        <w:t xml:space="preserve">Schäfer A 2005 Structural change in energy use </w:t>
      </w:r>
      <w:r w:rsidRPr="005A6D1C">
        <w:rPr>
          <w:i/>
        </w:rPr>
        <w:t>Energy Policy</w:t>
      </w:r>
      <w:r w:rsidRPr="005A6D1C">
        <w:t xml:space="preserve"> </w:t>
      </w:r>
      <w:r w:rsidRPr="005A6D1C">
        <w:rPr>
          <w:b/>
        </w:rPr>
        <w:t>33</w:t>
      </w:r>
      <w:r w:rsidRPr="005A6D1C">
        <w:t xml:space="preserve"> 429-37</w:t>
      </w:r>
    </w:p>
    <w:p w14:paraId="547025A5" w14:textId="77777777" w:rsidR="005A6D1C" w:rsidRPr="005A6D1C" w:rsidRDefault="005A6D1C" w:rsidP="005A6D1C">
      <w:pPr>
        <w:pStyle w:val="EndNoteBibliography"/>
        <w:spacing w:after="0"/>
        <w:ind w:left="720" w:hanging="720"/>
      </w:pPr>
      <w:r w:rsidRPr="005A6D1C">
        <w:lastRenderedPageBreak/>
        <w:t>UN 2010 World Population Prospects: The 2010 Revision.  (New York: United Nations, Department of Economic and Social Affairs, Population Division)</w:t>
      </w:r>
    </w:p>
    <w:p w14:paraId="56184ADA" w14:textId="77777777" w:rsidR="005A6D1C" w:rsidRPr="005A6D1C" w:rsidRDefault="005A6D1C" w:rsidP="005A6D1C">
      <w:pPr>
        <w:pStyle w:val="EndNoteBibliography"/>
        <w:spacing w:after="0"/>
        <w:ind w:left="720" w:hanging="720"/>
      </w:pPr>
      <w:r w:rsidRPr="005A6D1C">
        <w:t xml:space="preserve">Valin H, Sands R D, van der Mensbrugghe D, Nelson G C, Ahammad H, Blanc E, Bodirsky B, Fujimori S, Hasegawa T, Havlik P, Heyhoe E, Kyle P, Mason d'Croz D, Paltsev S, Rolinski S, Tabeau A, van Meijl H, von Lampe M and Willenbockel D 2014 The future of food demand: understanding differences in global economic models </w:t>
      </w:r>
      <w:r w:rsidRPr="005A6D1C">
        <w:rPr>
          <w:i/>
        </w:rPr>
        <w:t>Agricultural Economics</w:t>
      </w:r>
      <w:r w:rsidRPr="005A6D1C">
        <w:t xml:space="preserve"> </w:t>
      </w:r>
      <w:r w:rsidRPr="005A6D1C">
        <w:rPr>
          <w:b/>
        </w:rPr>
        <w:t>45</w:t>
      </w:r>
      <w:r w:rsidRPr="005A6D1C">
        <w:t xml:space="preserve"> 51-67</w:t>
      </w:r>
    </w:p>
    <w:p w14:paraId="1BF5C318" w14:textId="77777777" w:rsidR="005A6D1C" w:rsidRPr="005A6D1C" w:rsidRDefault="005A6D1C" w:rsidP="005A6D1C">
      <w:pPr>
        <w:pStyle w:val="EndNoteBibliography"/>
        <w:spacing w:after="0"/>
        <w:ind w:left="720" w:hanging="720"/>
      </w:pPr>
      <w:r w:rsidRPr="005A6D1C">
        <w:t xml:space="preserve">Vuuren D P and Carter T R 2013 Climate and socio-economic scenarios for climate change research and assessment: reconciling the new with the old </w:t>
      </w:r>
      <w:r w:rsidRPr="005A6D1C">
        <w:rPr>
          <w:i/>
        </w:rPr>
        <w:t>Climatic Change</w:t>
      </w:r>
      <w:r w:rsidRPr="005A6D1C">
        <w:t xml:space="preserve"> </w:t>
      </w:r>
      <w:r w:rsidRPr="005A6D1C">
        <w:rPr>
          <w:b/>
        </w:rPr>
        <w:t>122</w:t>
      </w:r>
      <w:r w:rsidRPr="005A6D1C">
        <w:t xml:space="preserve"> 415-29</w:t>
      </w:r>
    </w:p>
    <w:p w14:paraId="3D9C822E" w14:textId="77777777" w:rsidR="005A6D1C" w:rsidRPr="005A6D1C" w:rsidRDefault="005A6D1C" w:rsidP="005A6D1C">
      <w:pPr>
        <w:pStyle w:val="EndNoteBibliography"/>
        <w:ind w:left="720" w:hanging="720"/>
      </w:pPr>
      <w:r w:rsidRPr="005A6D1C">
        <w:t xml:space="preserve">World Bank 2012 World Development Indicators. </w:t>
      </w:r>
    </w:p>
    <w:p w14:paraId="6E16FB6E" w14:textId="3E4A25E4" w:rsidR="00D5736F" w:rsidRPr="00B14726" w:rsidRDefault="00DA47E8" w:rsidP="009A023D">
      <w:pPr>
        <w:spacing w:line="360" w:lineRule="auto"/>
        <w:rPr>
          <w:lang w:val="en-GB"/>
        </w:rPr>
      </w:pPr>
      <w:r>
        <w:rPr>
          <w:lang w:val="en-GB"/>
        </w:rPr>
        <w:fldChar w:fldCharType="end"/>
      </w:r>
    </w:p>
    <w:sectPr w:rsidR="00D5736F" w:rsidRPr="00B14726" w:rsidSect="007C5AF5">
      <w:footnotePr>
        <w:numFmt w:val="chicago"/>
      </w:footnotePr>
      <w:pgSz w:w="11906" w:h="16838"/>
      <w:pgMar w:top="1417" w:right="1417" w:bottom="1418"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B4B5D" w14:textId="77777777" w:rsidR="00BE5929" w:rsidRDefault="00BE5929" w:rsidP="00F4483B">
      <w:pPr>
        <w:spacing w:after="0" w:line="240" w:lineRule="auto"/>
      </w:pPr>
      <w:r>
        <w:separator/>
      </w:r>
    </w:p>
  </w:endnote>
  <w:endnote w:type="continuationSeparator" w:id="0">
    <w:p w14:paraId="0D058D85" w14:textId="77777777" w:rsidR="00BE5929" w:rsidRDefault="00BE5929" w:rsidP="00F44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18A5C" w14:textId="77777777" w:rsidR="007B3576" w:rsidRPr="00981190" w:rsidRDefault="007B3576">
    <w:pPr>
      <w:pStyle w:val="Footer"/>
      <w:rPr>
        <w:lang w:val="en-GB"/>
      </w:rPr>
    </w:pPr>
    <w:r w:rsidRPr="00981190">
      <w:rPr>
        <w:lang w:val="en-GB"/>
      </w:rPr>
      <w:t>SI – SSP2: a middle-of-the-road scenario for the 21</w:t>
    </w:r>
    <w:r w:rsidRPr="004649A3">
      <w:rPr>
        <w:vertAlign w:val="superscript"/>
        <w:lang w:val="en-GB"/>
      </w:rPr>
      <w:t>st</w:t>
    </w:r>
    <w:r>
      <w:rPr>
        <w:lang w:val="en-GB"/>
      </w:rPr>
      <w:t xml:space="preserve"> </w:t>
    </w:r>
    <w:r w:rsidRPr="00981190">
      <w:rPr>
        <w:lang w:val="en-GB"/>
      </w:rPr>
      <w:t>century</w:t>
    </w:r>
    <w:r w:rsidRPr="00981190">
      <w:rPr>
        <w:lang w:val="en-GB"/>
      </w:rPr>
      <w:tab/>
    </w:r>
    <w:r>
      <w:rPr>
        <w:lang w:val="en-GB"/>
      </w:rPr>
      <w:t xml:space="preserve">Page </w:t>
    </w:r>
    <w:r>
      <w:rPr>
        <w:lang w:val="en-GB"/>
      </w:rPr>
      <w:fldChar w:fldCharType="begin"/>
    </w:r>
    <w:r>
      <w:rPr>
        <w:lang w:val="en-GB"/>
      </w:rPr>
      <w:instrText xml:space="preserve"> PAGE   \* MERGEFORMAT </w:instrText>
    </w:r>
    <w:r>
      <w:rPr>
        <w:lang w:val="en-GB"/>
      </w:rPr>
      <w:fldChar w:fldCharType="separate"/>
    </w:r>
    <w:r w:rsidR="007A11C7">
      <w:rPr>
        <w:noProof/>
        <w:lang w:val="en-GB"/>
      </w:rPr>
      <w:t>2</w:t>
    </w:r>
    <w:r>
      <w:rPr>
        <w:lang w:val="en-GB"/>
      </w:rPr>
      <w:fldChar w:fldCharType="end"/>
    </w:r>
    <w:r>
      <w:rPr>
        <w:lang w:val="en-GB"/>
      </w:rPr>
      <w:t>/</w:t>
    </w:r>
    <w:r>
      <w:rPr>
        <w:lang w:val="en-GB"/>
      </w:rPr>
      <w:fldChar w:fldCharType="begin"/>
    </w:r>
    <w:r>
      <w:rPr>
        <w:lang w:val="en-GB"/>
      </w:rPr>
      <w:instrText xml:space="preserve"> NUMPAGES  \* Arabic  \* MERGEFORMAT </w:instrText>
    </w:r>
    <w:r>
      <w:rPr>
        <w:lang w:val="en-GB"/>
      </w:rPr>
      <w:fldChar w:fldCharType="separate"/>
    </w:r>
    <w:r w:rsidR="007A11C7">
      <w:rPr>
        <w:noProof/>
        <w:lang w:val="en-GB"/>
      </w:rPr>
      <w:t>36</w:t>
    </w:r>
    <w:r>
      <w:rPr>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9C451" w14:textId="77777777" w:rsidR="00BE5929" w:rsidRDefault="00BE5929" w:rsidP="00F4483B">
      <w:pPr>
        <w:spacing w:after="0" w:line="240" w:lineRule="auto"/>
      </w:pPr>
      <w:r>
        <w:separator/>
      </w:r>
    </w:p>
  </w:footnote>
  <w:footnote w:type="continuationSeparator" w:id="0">
    <w:p w14:paraId="624F7C61" w14:textId="77777777" w:rsidR="00BE5929" w:rsidRDefault="00BE5929" w:rsidP="00F448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5484"/>
    <w:multiLevelType w:val="hybridMultilevel"/>
    <w:tmpl w:val="D7427D34"/>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28303E"/>
    <w:multiLevelType w:val="hybridMultilevel"/>
    <w:tmpl w:val="D7427D34"/>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BDA516E"/>
    <w:multiLevelType w:val="hybridMultilevel"/>
    <w:tmpl w:val="D7427D34"/>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CAC5A52"/>
    <w:multiLevelType w:val="multilevel"/>
    <w:tmpl w:val="8994970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697159D9"/>
    <w:multiLevelType w:val="hybridMultilevel"/>
    <w:tmpl w:val="D06C6D48"/>
    <w:lvl w:ilvl="0" w:tplc="E7E605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E62444"/>
    <w:multiLevelType w:val="hybridMultilevel"/>
    <w:tmpl w:val="D7427D34"/>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OP 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vzee9zparzwaexw9qxadxmr00vr5rte9p0&quot;&gt;JR_RefLibrary_20100312&lt;record-ids&gt;&lt;item&gt;4412&lt;/item&gt;&lt;item&gt;4588&lt;/item&gt;&lt;item&gt;4595&lt;/item&gt;&lt;item&gt;4641&lt;/item&gt;&lt;item&gt;5370&lt;/item&gt;&lt;item&gt;5371&lt;/item&gt;&lt;item&gt;5372&lt;/item&gt;&lt;item&gt;5379&lt;/item&gt;&lt;item&gt;5432&lt;/item&gt;&lt;item&gt;5433&lt;/item&gt;&lt;item&gt;5435&lt;/item&gt;&lt;item&gt;5436&lt;/item&gt;&lt;item&gt;5438&lt;/item&gt;&lt;item&gt;5439&lt;/item&gt;&lt;item&gt;5447&lt;/item&gt;&lt;item&gt;5509&lt;/item&gt;&lt;item&gt;5510&lt;/item&gt;&lt;item&gt;5515&lt;/item&gt;&lt;item&gt;5516&lt;/item&gt;&lt;item&gt;5517&lt;/item&gt;&lt;item&gt;5518&lt;/item&gt;&lt;/record-ids&gt;&lt;/item&gt;&lt;/Libraries&gt;"/>
  </w:docVars>
  <w:rsids>
    <w:rsidRoot w:val="00F4483B"/>
    <w:rsid w:val="00000317"/>
    <w:rsid w:val="00011F59"/>
    <w:rsid w:val="00015A5A"/>
    <w:rsid w:val="00040C51"/>
    <w:rsid w:val="00045F3C"/>
    <w:rsid w:val="00063765"/>
    <w:rsid w:val="0007495E"/>
    <w:rsid w:val="000A078F"/>
    <w:rsid w:val="000A24D2"/>
    <w:rsid w:val="000A73AD"/>
    <w:rsid w:val="000C3C65"/>
    <w:rsid w:val="000D5B30"/>
    <w:rsid w:val="000E797A"/>
    <w:rsid w:val="00135776"/>
    <w:rsid w:val="00143E7A"/>
    <w:rsid w:val="00150741"/>
    <w:rsid w:val="00152AA1"/>
    <w:rsid w:val="001567CB"/>
    <w:rsid w:val="001A0C92"/>
    <w:rsid w:val="001A2827"/>
    <w:rsid w:val="001A3340"/>
    <w:rsid w:val="001C22F1"/>
    <w:rsid w:val="001D3164"/>
    <w:rsid w:val="001E0C31"/>
    <w:rsid w:val="001F250F"/>
    <w:rsid w:val="001F2D3B"/>
    <w:rsid w:val="001F2FF7"/>
    <w:rsid w:val="0020479B"/>
    <w:rsid w:val="0021360A"/>
    <w:rsid w:val="00216FC3"/>
    <w:rsid w:val="00223C21"/>
    <w:rsid w:val="00244081"/>
    <w:rsid w:val="00246DA5"/>
    <w:rsid w:val="00257C15"/>
    <w:rsid w:val="00257CFF"/>
    <w:rsid w:val="0027046B"/>
    <w:rsid w:val="00275A43"/>
    <w:rsid w:val="00287A3C"/>
    <w:rsid w:val="002922AF"/>
    <w:rsid w:val="002A4D28"/>
    <w:rsid w:val="002A6A68"/>
    <w:rsid w:val="002C479C"/>
    <w:rsid w:val="002C49A3"/>
    <w:rsid w:val="002C4FDB"/>
    <w:rsid w:val="002D4CA0"/>
    <w:rsid w:val="002F04D5"/>
    <w:rsid w:val="002F05DB"/>
    <w:rsid w:val="002F2CAD"/>
    <w:rsid w:val="002F378C"/>
    <w:rsid w:val="002F711A"/>
    <w:rsid w:val="0031095D"/>
    <w:rsid w:val="00316CE6"/>
    <w:rsid w:val="003240F0"/>
    <w:rsid w:val="003246FB"/>
    <w:rsid w:val="00326828"/>
    <w:rsid w:val="00330359"/>
    <w:rsid w:val="00340E6C"/>
    <w:rsid w:val="003441EC"/>
    <w:rsid w:val="0036456D"/>
    <w:rsid w:val="00375DCD"/>
    <w:rsid w:val="003903B3"/>
    <w:rsid w:val="00392D2A"/>
    <w:rsid w:val="003961CE"/>
    <w:rsid w:val="003A2B31"/>
    <w:rsid w:val="003B7AD2"/>
    <w:rsid w:val="003C1CFA"/>
    <w:rsid w:val="003C1FFF"/>
    <w:rsid w:val="003D7A98"/>
    <w:rsid w:val="00402BE9"/>
    <w:rsid w:val="00410D7A"/>
    <w:rsid w:val="0043302D"/>
    <w:rsid w:val="004331BA"/>
    <w:rsid w:val="00434BCF"/>
    <w:rsid w:val="004358B6"/>
    <w:rsid w:val="00441B5F"/>
    <w:rsid w:val="004428A2"/>
    <w:rsid w:val="004649A3"/>
    <w:rsid w:val="0047224E"/>
    <w:rsid w:val="00494B92"/>
    <w:rsid w:val="004A4FAF"/>
    <w:rsid w:val="004B4717"/>
    <w:rsid w:val="004B5F79"/>
    <w:rsid w:val="004C2ED2"/>
    <w:rsid w:val="004D528F"/>
    <w:rsid w:val="004F41F9"/>
    <w:rsid w:val="00510692"/>
    <w:rsid w:val="00516C9E"/>
    <w:rsid w:val="0051799A"/>
    <w:rsid w:val="00517C67"/>
    <w:rsid w:val="00522E4A"/>
    <w:rsid w:val="00535889"/>
    <w:rsid w:val="00541315"/>
    <w:rsid w:val="00545DB9"/>
    <w:rsid w:val="005527FF"/>
    <w:rsid w:val="00566B06"/>
    <w:rsid w:val="00580883"/>
    <w:rsid w:val="005827E6"/>
    <w:rsid w:val="0059436D"/>
    <w:rsid w:val="005A05F4"/>
    <w:rsid w:val="005A61F3"/>
    <w:rsid w:val="005A6D1C"/>
    <w:rsid w:val="005B7BFA"/>
    <w:rsid w:val="005D0EFD"/>
    <w:rsid w:val="005E2A6D"/>
    <w:rsid w:val="005E799F"/>
    <w:rsid w:val="005F5E43"/>
    <w:rsid w:val="00611645"/>
    <w:rsid w:val="00616EDE"/>
    <w:rsid w:val="0061773F"/>
    <w:rsid w:val="00632178"/>
    <w:rsid w:val="00632B5E"/>
    <w:rsid w:val="0064032A"/>
    <w:rsid w:val="00641870"/>
    <w:rsid w:val="00665AF8"/>
    <w:rsid w:val="0069364E"/>
    <w:rsid w:val="006A0790"/>
    <w:rsid w:val="006A63D1"/>
    <w:rsid w:val="006B0FAF"/>
    <w:rsid w:val="006B5888"/>
    <w:rsid w:val="006C07AA"/>
    <w:rsid w:val="006C5B97"/>
    <w:rsid w:val="006F08E9"/>
    <w:rsid w:val="006F5945"/>
    <w:rsid w:val="007015E8"/>
    <w:rsid w:val="007018FE"/>
    <w:rsid w:val="007177D6"/>
    <w:rsid w:val="007203AE"/>
    <w:rsid w:val="00724467"/>
    <w:rsid w:val="00732321"/>
    <w:rsid w:val="0074059B"/>
    <w:rsid w:val="00740AF0"/>
    <w:rsid w:val="007541C1"/>
    <w:rsid w:val="007623DC"/>
    <w:rsid w:val="0076633A"/>
    <w:rsid w:val="007910C2"/>
    <w:rsid w:val="00796178"/>
    <w:rsid w:val="007A11C7"/>
    <w:rsid w:val="007A27B0"/>
    <w:rsid w:val="007B20F1"/>
    <w:rsid w:val="007B2EBC"/>
    <w:rsid w:val="007B3576"/>
    <w:rsid w:val="007B456A"/>
    <w:rsid w:val="007C5AF5"/>
    <w:rsid w:val="007D3CAF"/>
    <w:rsid w:val="007F2700"/>
    <w:rsid w:val="007F549C"/>
    <w:rsid w:val="00801BB2"/>
    <w:rsid w:val="00823D61"/>
    <w:rsid w:val="00830905"/>
    <w:rsid w:val="00832AA4"/>
    <w:rsid w:val="0085317F"/>
    <w:rsid w:val="00866A35"/>
    <w:rsid w:val="0086716F"/>
    <w:rsid w:val="00867710"/>
    <w:rsid w:val="00886601"/>
    <w:rsid w:val="008960DC"/>
    <w:rsid w:val="008A0A2C"/>
    <w:rsid w:val="008C2CD6"/>
    <w:rsid w:val="008C5F6C"/>
    <w:rsid w:val="008D1262"/>
    <w:rsid w:val="008D411F"/>
    <w:rsid w:val="009126CE"/>
    <w:rsid w:val="00912CD3"/>
    <w:rsid w:val="00920B01"/>
    <w:rsid w:val="009369DB"/>
    <w:rsid w:val="00944875"/>
    <w:rsid w:val="00974D18"/>
    <w:rsid w:val="00976939"/>
    <w:rsid w:val="00981190"/>
    <w:rsid w:val="0099023D"/>
    <w:rsid w:val="009A023D"/>
    <w:rsid w:val="009A3351"/>
    <w:rsid w:val="009B3EC4"/>
    <w:rsid w:val="009B4691"/>
    <w:rsid w:val="009C6B1B"/>
    <w:rsid w:val="00A0121B"/>
    <w:rsid w:val="00A060B4"/>
    <w:rsid w:val="00A07ED0"/>
    <w:rsid w:val="00A12BBF"/>
    <w:rsid w:val="00A153E6"/>
    <w:rsid w:val="00A30850"/>
    <w:rsid w:val="00A30CFD"/>
    <w:rsid w:val="00A36572"/>
    <w:rsid w:val="00A44CC8"/>
    <w:rsid w:val="00A4580A"/>
    <w:rsid w:val="00A523E3"/>
    <w:rsid w:val="00A52FA3"/>
    <w:rsid w:val="00A55865"/>
    <w:rsid w:val="00A606F2"/>
    <w:rsid w:val="00A75602"/>
    <w:rsid w:val="00A904CA"/>
    <w:rsid w:val="00A93426"/>
    <w:rsid w:val="00AB5AEB"/>
    <w:rsid w:val="00AB67AD"/>
    <w:rsid w:val="00AC0B4E"/>
    <w:rsid w:val="00AC2536"/>
    <w:rsid w:val="00AD415E"/>
    <w:rsid w:val="00AD6A09"/>
    <w:rsid w:val="00AE5F9E"/>
    <w:rsid w:val="00AE7793"/>
    <w:rsid w:val="00B01B82"/>
    <w:rsid w:val="00B05796"/>
    <w:rsid w:val="00B14726"/>
    <w:rsid w:val="00B201E0"/>
    <w:rsid w:val="00B40316"/>
    <w:rsid w:val="00B53BAD"/>
    <w:rsid w:val="00B608A3"/>
    <w:rsid w:val="00B62222"/>
    <w:rsid w:val="00B65182"/>
    <w:rsid w:val="00B66F53"/>
    <w:rsid w:val="00B70043"/>
    <w:rsid w:val="00B7695F"/>
    <w:rsid w:val="00B85FE9"/>
    <w:rsid w:val="00B91C68"/>
    <w:rsid w:val="00B939D5"/>
    <w:rsid w:val="00B949DC"/>
    <w:rsid w:val="00B94CF2"/>
    <w:rsid w:val="00B95D56"/>
    <w:rsid w:val="00BB309B"/>
    <w:rsid w:val="00BB55F9"/>
    <w:rsid w:val="00BC42B8"/>
    <w:rsid w:val="00BC536E"/>
    <w:rsid w:val="00BC69EC"/>
    <w:rsid w:val="00BD3F58"/>
    <w:rsid w:val="00BE5929"/>
    <w:rsid w:val="00BF319B"/>
    <w:rsid w:val="00C07804"/>
    <w:rsid w:val="00C1113C"/>
    <w:rsid w:val="00C164A7"/>
    <w:rsid w:val="00C17B09"/>
    <w:rsid w:val="00C229EF"/>
    <w:rsid w:val="00C3222A"/>
    <w:rsid w:val="00C50434"/>
    <w:rsid w:val="00C54D76"/>
    <w:rsid w:val="00C570BB"/>
    <w:rsid w:val="00C658AC"/>
    <w:rsid w:val="00C81B18"/>
    <w:rsid w:val="00C95311"/>
    <w:rsid w:val="00C975A7"/>
    <w:rsid w:val="00CA5B8C"/>
    <w:rsid w:val="00CB7C44"/>
    <w:rsid w:val="00CC438E"/>
    <w:rsid w:val="00CE3AFF"/>
    <w:rsid w:val="00CE3E2A"/>
    <w:rsid w:val="00D10868"/>
    <w:rsid w:val="00D11835"/>
    <w:rsid w:val="00D21AC2"/>
    <w:rsid w:val="00D5690F"/>
    <w:rsid w:val="00D5724F"/>
    <w:rsid w:val="00D5736F"/>
    <w:rsid w:val="00D64EA7"/>
    <w:rsid w:val="00D72444"/>
    <w:rsid w:val="00D81892"/>
    <w:rsid w:val="00D83CBA"/>
    <w:rsid w:val="00D93514"/>
    <w:rsid w:val="00DA47E8"/>
    <w:rsid w:val="00DA50CD"/>
    <w:rsid w:val="00DA7B12"/>
    <w:rsid w:val="00DB343E"/>
    <w:rsid w:val="00DB4FFF"/>
    <w:rsid w:val="00DB5362"/>
    <w:rsid w:val="00DC1BF5"/>
    <w:rsid w:val="00DD5062"/>
    <w:rsid w:val="00DF17C6"/>
    <w:rsid w:val="00DF44A9"/>
    <w:rsid w:val="00DF5033"/>
    <w:rsid w:val="00E00C40"/>
    <w:rsid w:val="00E04A15"/>
    <w:rsid w:val="00E21289"/>
    <w:rsid w:val="00E359E5"/>
    <w:rsid w:val="00E419DF"/>
    <w:rsid w:val="00E429A6"/>
    <w:rsid w:val="00E53CA2"/>
    <w:rsid w:val="00E61CA8"/>
    <w:rsid w:val="00E6258C"/>
    <w:rsid w:val="00E65196"/>
    <w:rsid w:val="00E658DD"/>
    <w:rsid w:val="00E75514"/>
    <w:rsid w:val="00E76581"/>
    <w:rsid w:val="00E80A9F"/>
    <w:rsid w:val="00E81495"/>
    <w:rsid w:val="00E90FC3"/>
    <w:rsid w:val="00EA597D"/>
    <w:rsid w:val="00EC1ADF"/>
    <w:rsid w:val="00EC1CF4"/>
    <w:rsid w:val="00EC48A2"/>
    <w:rsid w:val="00ED5D97"/>
    <w:rsid w:val="00ED61C5"/>
    <w:rsid w:val="00EE23FF"/>
    <w:rsid w:val="00F01912"/>
    <w:rsid w:val="00F13223"/>
    <w:rsid w:val="00F1386B"/>
    <w:rsid w:val="00F14538"/>
    <w:rsid w:val="00F26717"/>
    <w:rsid w:val="00F42098"/>
    <w:rsid w:val="00F4483B"/>
    <w:rsid w:val="00F54B90"/>
    <w:rsid w:val="00F57CFD"/>
    <w:rsid w:val="00F659FF"/>
    <w:rsid w:val="00F86D7F"/>
    <w:rsid w:val="00F90EE7"/>
    <w:rsid w:val="00F9324E"/>
    <w:rsid w:val="00FB4FCA"/>
    <w:rsid w:val="00FC03D0"/>
    <w:rsid w:val="00FC0BEF"/>
    <w:rsid w:val="00FD5ECD"/>
    <w:rsid w:val="00FE1745"/>
    <w:rsid w:val="00FF730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2AC5C"/>
  <w15:docId w15:val="{E0A510E6-2ADD-481D-94D0-37544B8E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83B"/>
    <w:pPr>
      <w:spacing w:line="256" w:lineRule="auto"/>
    </w:pPr>
    <w:rPr>
      <w:lang w:val="en-US"/>
    </w:rPr>
  </w:style>
  <w:style w:type="paragraph" w:styleId="Heading1">
    <w:name w:val="heading 1"/>
    <w:basedOn w:val="Normal"/>
    <w:next w:val="Normal"/>
    <w:link w:val="Heading1Char"/>
    <w:uiPriority w:val="9"/>
    <w:qFormat/>
    <w:rsid w:val="00F448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47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246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83B"/>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F4483B"/>
    <w:rPr>
      <w:color w:val="0563C1" w:themeColor="hyperlink"/>
      <w:u w:val="single"/>
    </w:rPr>
  </w:style>
  <w:style w:type="paragraph" w:styleId="FootnoteText">
    <w:name w:val="footnote text"/>
    <w:basedOn w:val="Normal"/>
    <w:link w:val="FootnoteTextChar"/>
    <w:uiPriority w:val="99"/>
    <w:semiHidden/>
    <w:unhideWhenUsed/>
    <w:rsid w:val="00F448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B"/>
    <w:rPr>
      <w:sz w:val="20"/>
      <w:szCs w:val="20"/>
      <w:lang w:val="en-US"/>
    </w:rPr>
  </w:style>
  <w:style w:type="character" w:styleId="FootnoteReference">
    <w:name w:val="footnote reference"/>
    <w:basedOn w:val="DefaultParagraphFont"/>
    <w:uiPriority w:val="99"/>
    <w:semiHidden/>
    <w:unhideWhenUsed/>
    <w:rsid w:val="00F4483B"/>
    <w:rPr>
      <w:vertAlign w:val="superscript"/>
    </w:rPr>
  </w:style>
  <w:style w:type="paragraph" w:styleId="ListParagraph">
    <w:name w:val="List Paragraph"/>
    <w:basedOn w:val="Normal"/>
    <w:uiPriority w:val="34"/>
    <w:qFormat/>
    <w:rsid w:val="00867710"/>
    <w:pPr>
      <w:spacing w:line="259" w:lineRule="auto"/>
      <w:ind w:left="720"/>
      <w:contextualSpacing/>
    </w:pPr>
  </w:style>
  <w:style w:type="character" w:customStyle="1" w:styleId="Heading2Char">
    <w:name w:val="Heading 2 Char"/>
    <w:basedOn w:val="DefaultParagraphFont"/>
    <w:link w:val="Heading2"/>
    <w:uiPriority w:val="9"/>
    <w:rsid w:val="004B4717"/>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246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locked/>
    <w:rsid w:val="00EE23FF"/>
    <w:rPr>
      <w:i/>
      <w:iCs/>
      <w:color w:val="44546A" w:themeColor="text2"/>
      <w:sz w:val="18"/>
      <w:szCs w:val="18"/>
    </w:rPr>
  </w:style>
  <w:style w:type="paragraph" w:styleId="Caption">
    <w:name w:val="caption"/>
    <w:basedOn w:val="Normal"/>
    <w:next w:val="Normal"/>
    <w:link w:val="CaptionChar"/>
    <w:uiPriority w:val="35"/>
    <w:unhideWhenUsed/>
    <w:qFormat/>
    <w:rsid w:val="00EE23FF"/>
    <w:pPr>
      <w:spacing w:after="200" w:line="240" w:lineRule="auto"/>
    </w:pPr>
    <w:rPr>
      <w:i/>
      <w:iCs/>
      <w:color w:val="44546A" w:themeColor="text2"/>
      <w:sz w:val="18"/>
      <w:szCs w:val="18"/>
      <w:lang w:val="de-CH"/>
    </w:rPr>
  </w:style>
  <w:style w:type="paragraph" w:styleId="Header">
    <w:name w:val="header"/>
    <w:basedOn w:val="Normal"/>
    <w:link w:val="HeaderChar"/>
    <w:uiPriority w:val="99"/>
    <w:unhideWhenUsed/>
    <w:rsid w:val="009811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81190"/>
    <w:rPr>
      <w:lang w:val="en-US"/>
    </w:rPr>
  </w:style>
  <w:style w:type="paragraph" w:styleId="Footer">
    <w:name w:val="footer"/>
    <w:basedOn w:val="Normal"/>
    <w:link w:val="FooterChar"/>
    <w:uiPriority w:val="99"/>
    <w:unhideWhenUsed/>
    <w:rsid w:val="009811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81190"/>
    <w:rPr>
      <w:lang w:val="en-US"/>
    </w:rPr>
  </w:style>
  <w:style w:type="paragraph" w:styleId="BalloonText">
    <w:name w:val="Balloon Text"/>
    <w:basedOn w:val="Normal"/>
    <w:link w:val="BalloonTextChar"/>
    <w:uiPriority w:val="99"/>
    <w:semiHidden/>
    <w:unhideWhenUsed/>
    <w:rsid w:val="00434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BCF"/>
    <w:rPr>
      <w:rFonts w:ascii="Segoe UI" w:hAnsi="Segoe UI" w:cs="Segoe UI"/>
      <w:sz w:val="18"/>
      <w:szCs w:val="18"/>
      <w:lang w:val="en-US"/>
    </w:rPr>
  </w:style>
  <w:style w:type="character" w:customStyle="1" w:styleId="apple-converted-space">
    <w:name w:val="apple-converted-space"/>
    <w:basedOn w:val="DefaultParagraphFont"/>
    <w:rsid w:val="00375DCD"/>
  </w:style>
  <w:style w:type="paragraph" w:styleId="TOCHeading">
    <w:name w:val="TOC Heading"/>
    <w:basedOn w:val="Heading1"/>
    <w:next w:val="Normal"/>
    <w:uiPriority w:val="39"/>
    <w:unhideWhenUsed/>
    <w:qFormat/>
    <w:rsid w:val="00C07804"/>
    <w:pPr>
      <w:spacing w:line="259" w:lineRule="auto"/>
      <w:outlineLvl w:val="9"/>
    </w:pPr>
  </w:style>
  <w:style w:type="paragraph" w:styleId="TOC1">
    <w:name w:val="toc 1"/>
    <w:basedOn w:val="Normal"/>
    <w:next w:val="Normal"/>
    <w:autoRedefine/>
    <w:uiPriority w:val="39"/>
    <w:unhideWhenUsed/>
    <w:rsid w:val="00C07804"/>
    <w:pPr>
      <w:spacing w:after="100"/>
    </w:pPr>
  </w:style>
  <w:style w:type="paragraph" w:styleId="TOC2">
    <w:name w:val="toc 2"/>
    <w:basedOn w:val="Normal"/>
    <w:next w:val="Normal"/>
    <w:autoRedefine/>
    <w:uiPriority w:val="39"/>
    <w:unhideWhenUsed/>
    <w:rsid w:val="00C07804"/>
    <w:pPr>
      <w:spacing w:after="100"/>
      <w:ind w:left="220"/>
    </w:pPr>
  </w:style>
  <w:style w:type="character" w:styleId="CommentReference">
    <w:name w:val="annotation reference"/>
    <w:basedOn w:val="DefaultParagraphFont"/>
    <w:uiPriority w:val="99"/>
    <w:semiHidden/>
    <w:unhideWhenUsed/>
    <w:rsid w:val="00A30850"/>
    <w:rPr>
      <w:sz w:val="16"/>
      <w:szCs w:val="16"/>
    </w:rPr>
  </w:style>
  <w:style w:type="paragraph" w:styleId="TOC3">
    <w:name w:val="toc 3"/>
    <w:basedOn w:val="Normal"/>
    <w:next w:val="Normal"/>
    <w:autoRedefine/>
    <w:uiPriority w:val="39"/>
    <w:semiHidden/>
    <w:unhideWhenUsed/>
    <w:rsid w:val="00B949DC"/>
    <w:pPr>
      <w:spacing w:after="100"/>
      <w:ind w:left="440"/>
    </w:pPr>
  </w:style>
  <w:style w:type="paragraph" w:styleId="CommentText">
    <w:name w:val="annotation text"/>
    <w:basedOn w:val="Normal"/>
    <w:link w:val="CommentTextChar"/>
    <w:uiPriority w:val="99"/>
    <w:unhideWhenUsed/>
    <w:rsid w:val="00A30850"/>
    <w:pPr>
      <w:spacing w:line="240" w:lineRule="auto"/>
    </w:pPr>
    <w:rPr>
      <w:sz w:val="20"/>
      <w:szCs w:val="20"/>
    </w:rPr>
  </w:style>
  <w:style w:type="character" w:customStyle="1" w:styleId="CommentTextChar">
    <w:name w:val="Comment Text Char"/>
    <w:basedOn w:val="DefaultParagraphFont"/>
    <w:link w:val="CommentText"/>
    <w:uiPriority w:val="99"/>
    <w:rsid w:val="00A30850"/>
    <w:rPr>
      <w:sz w:val="20"/>
      <w:szCs w:val="20"/>
      <w:lang w:val="en-US"/>
    </w:rPr>
  </w:style>
  <w:style w:type="paragraph" w:styleId="CommentSubject">
    <w:name w:val="annotation subject"/>
    <w:basedOn w:val="CommentText"/>
    <w:next w:val="CommentText"/>
    <w:link w:val="CommentSubjectChar"/>
    <w:uiPriority w:val="99"/>
    <w:semiHidden/>
    <w:unhideWhenUsed/>
    <w:rsid w:val="00A30850"/>
    <w:rPr>
      <w:b/>
      <w:bCs/>
    </w:rPr>
  </w:style>
  <w:style w:type="character" w:customStyle="1" w:styleId="CommentSubjectChar">
    <w:name w:val="Comment Subject Char"/>
    <w:basedOn w:val="CommentTextChar"/>
    <w:link w:val="CommentSubject"/>
    <w:uiPriority w:val="99"/>
    <w:semiHidden/>
    <w:rsid w:val="00A30850"/>
    <w:rPr>
      <w:b/>
      <w:bCs/>
      <w:sz w:val="20"/>
      <w:szCs w:val="20"/>
      <w:lang w:val="en-US"/>
    </w:rPr>
  </w:style>
  <w:style w:type="paragraph" w:customStyle="1" w:styleId="EndNoteBibliographyTitle">
    <w:name w:val="EndNote Bibliography Title"/>
    <w:basedOn w:val="Normal"/>
    <w:link w:val="EndNoteBibliographyTitleChar"/>
    <w:rsid w:val="00DA47E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A47E8"/>
    <w:rPr>
      <w:rFonts w:ascii="Calibri" w:hAnsi="Calibri"/>
      <w:noProof/>
      <w:lang w:val="en-US"/>
    </w:rPr>
  </w:style>
  <w:style w:type="paragraph" w:customStyle="1" w:styleId="EndNoteBibliography">
    <w:name w:val="EndNote Bibliography"/>
    <w:basedOn w:val="Normal"/>
    <w:link w:val="EndNoteBibliographyChar"/>
    <w:rsid w:val="00DA47E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A47E8"/>
    <w:rPr>
      <w:rFonts w:ascii="Calibri" w:hAnsi="Calibri"/>
      <w:noProof/>
      <w:lang w:val="en-US"/>
    </w:rPr>
  </w:style>
  <w:style w:type="table" w:customStyle="1" w:styleId="PlainTable21">
    <w:name w:val="Plain Table 21"/>
    <w:basedOn w:val="TableNormal"/>
    <w:uiPriority w:val="42"/>
    <w:rsid w:val="003903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3246FB"/>
    <w:rPr>
      <w:rFonts w:asciiTheme="majorHAnsi" w:eastAsiaTheme="majorEastAsia" w:hAnsiTheme="majorHAnsi" w:cstheme="majorBidi"/>
      <w:color w:val="1F4D78" w:themeColor="accent1" w:themeShade="7F"/>
      <w:sz w:val="24"/>
      <w:szCs w:val="24"/>
      <w:lang w:val="en-US"/>
    </w:rPr>
  </w:style>
  <w:style w:type="paragraph" w:styleId="NormalWeb">
    <w:name w:val="Normal (Web)"/>
    <w:basedOn w:val="Normal"/>
    <w:uiPriority w:val="99"/>
    <w:semiHidden/>
    <w:unhideWhenUsed/>
    <w:rsid w:val="003246F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46FB"/>
    <w:rPr>
      <w:b/>
      <w:bCs/>
    </w:rPr>
  </w:style>
  <w:style w:type="character" w:styleId="LineNumber">
    <w:name w:val="line number"/>
    <w:basedOn w:val="DefaultParagraphFont"/>
    <w:uiPriority w:val="99"/>
    <w:semiHidden/>
    <w:unhideWhenUsed/>
    <w:rsid w:val="00C658AC"/>
  </w:style>
  <w:style w:type="paragraph" w:styleId="HTMLPreformatted">
    <w:name w:val="HTML Preformatted"/>
    <w:basedOn w:val="Normal"/>
    <w:link w:val="HTMLPreformattedChar"/>
    <w:uiPriority w:val="99"/>
    <w:semiHidden/>
    <w:unhideWhenUsed/>
    <w:rsid w:val="0079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de-CH" w:eastAsia="de-CH"/>
    </w:rPr>
  </w:style>
  <w:style w:type="character" w:customStyle="1" w:styleId="HTMLPreformattedChar">
    <w:name w:val="HTML Preformatted Char"/>
    <w:basedOn w:val="DefaultParagraphFont"/>
    <w:link w:val="HTMLPreformatted"/>
    <w:uiPriority w:val="99"/>
    <w:semiHidden/>
    <w:rsid w:val="00796178"/>
    <w:rPr>
      <w:rFonts w:ascii="Courier New" w:hAnsi="Courier New" w:cs="Courier New"/>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68498">
      <w:bodyDiv w:val="1"/>
      <w:marLeft w:val="0"/>
      <w:marRight w:val="0"/>
      <w:marTop w:val="0"/>
      <w:marBottom w:val="0"/>
      <w:divBdr>
        <w:top w:val="none" w:sz="0" w:space="0" w:color="auto"/>
        <w:left w:val="none" w:sz="0" w:space="0" w:color="auto"/>
        <w:bottom w:val="none" w:sz="0" w:space="0" w:color="auto"/>
        <w:right w:val="none" w:sz="0" w:space="0" w:color="auto"/>
      </w:divBdr>
    </w:div>
    <w:div w:id="662204815">
      <w:bodyDiv w:val="1"/>
      <w:marLeft w:val="0"/>
      <w:marRight w:val="0"/>
      <w:marTop w:val="0"/>
      <w:marBottom w:val="0"/>
      <w:divBdr>
        <w:top w:val="none" w:sz="0" w:space="0" w:color="auto"/>
        <w:left w:val="none" w:sz="0" w:space="0" w:color="auto"/>
        <w:bottom w:val="none" w:sz="0" w:space="0" w:color="auto"/>
        <w:right w:val="none" w:sz="0" w:space="0" w:color="auto"/>
      </w:divBdr>
      <w:divsChild>
        <w:div w:id="125143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064457">
      <w:bodyDiv w:val="1"/>
      <w:marLeft w:val="0"/>
      <w:marRight w:val="0"/>
      <w:marTop w:val="0"/>
      <w:marBottom w:val="0"/>
      <w:divBdr>
        <w:top w:val="none" w:sz="0" w:space="0" w:color="auto"/>
        <w:left w:val="none" w:sz="0" w:space="0" w:color="auto"/>
        <w:bottom w:val="none" w:sz="0" w:space="0" w:color="auto"/>
        <w:right w:val="none" w:sz="0" w:space="0" w:color="auto"/>
      </w:divBdr>
    </w:div>
    <w:div w:id="746149165">
      <w:bodyDiv w:val="1"/>
      <w:marLeft w:val="0"/>
      <w:marRight w:val="0"/>
      <w:marTop w:val="0"/>
      <w:marBottom w:val="0"/>
      <w:divBdr>
        <w:top w:val="none" w:sz="0" w:space="0" w:color="auto"/>
        <w:left w:val="none" w:sz="0" w:space="0" w:color="auto"/>
        <w:bottom w:val="none" w:sz="0" w:space="0" w:color="auto"/>
        <w:right w:val="none" w:sz="0" w:space="0" w:color="auto"/>
      </w:divBdr>
      <w:divsChild>
        <w:div w:id="2085183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274853">
      <w:bodyDiv w:val="1"/>
      <w:marLeft w:val="0"/>
      <w:marRight w:val="0"/>
      <w:marTop w:val="0"/>
      <w:marBottom w:val="0"/>
      <w:divBdr>
        <w:top w:val="none" w:sz="0" w:space="0" w:color="auto"/>
        <w:left w:val="none" w:sz="0" w:space="0" w:color="auto"/>
        <w:bottom w:val="none" w:sz="0" w:space="0" w:color="auto"/>
        <w:right w:val="none" w:sz="0" w:space="0" w:color="auto"/>
      </w:divBdr>
    </w:div>
    <w:div w:id="945044544">
      <w:bodyDiv w:val="1"/>
      <w:marLeft w:val="0"/>
      <w:marRight w:val="0"/>
      <w:marTop w:val="0"/>
      <w:marBottom w:val="0"/>
      <w:divBdr>
        <w:top w:val="none" w:sz="0" w:space="0" w:color="auto"/>
        <w:left w:val="none" w:sz="0" w:space="0" w:color="auto"/>
        <w:bottom w:val="none" w:sz="0" w:space="0" w:color="auto"/>
        <w:right w:val="none" w:sz="0" w:space="0" w:color="auto"/>
      </w:divBdr>
    </w:div>
    <w:div w:id="1025130706">
      <w:bodyDiv w:val="1"/>
      <w:marLeft w:val="0"/>
      <w:marRight w:val="0"/>
      <w:marTop w:val="0"/>
      <w:marBottom w:val="0"/>
      <w:divBdr>
        <w:top w:val="none" w:sz="0" w:space="0" w:color="auto"/>
        <w:left w:val="none" w:sz="0" w:space="0" w:color="auto"/>
        <w:bottom w:val="none" w:sz="0" w:space="0" w:color="auto"/>
        <w:right w:val="none" w:sz="0" w:space="0" w:color="auto"/>
      </w:divBdr>
    </w:div>
    <w:div w:id="1049768611">
      <w:bodyDiv w:val="1"/>
      <w:marLeft w:val="0"/>
      <w:marRight w:val="0"/>
      <w:marTop w:val="0"/>
      <w:marBottom w:val="0"/>
      <w:divBdr>
        <w:top w:val="none" w:sz="0" w:space="0" w:color="auto"/>
        <w:left w:val="none" w:sz="0" w:space="0" w:color="auto"/>
        <w:bottom w:val="none" w:sz="0" w:space="0" w:color="auto"/>
        <w:right w:val="none" w:sz="0" w:space="0" w:color="auto"/>
      </w:divBdr>
    </w:div>
    <w:div w:id="1102334123">
      <w:bodyDiv w:val="1"/>
      <w:marLeft w:val="0"/>
      <w:marRight w:val="0"/>
      <w:marTop w:val="0"/>
      <w:marBottom w:val="0"/>
      <w:divBdr>
        <w:top w:val="none" w:sz="0" w:space="0" w:color="auto"/>
        <w:left w:val="none" w:sz="0" w:space="0" w:color="auto"/>
        <w:bottom w:val="none" w:sz="0" w:space="0" w:color="auto"/>
        <w:right w:val="none" w:sz="0" w:space="0" w:color="auto"/>
      </w:divBdr>
    </w:div>
    <w:div w:id="1681278627">
      <w:bodyDiv w:val="1"/>
      <w:marLeft w:val="0"/>
      <w:marRight w:val="0"/>
      <w:marTop w:val="0"/>
      <w:marBottom w:val="0"/>
      <w:divBdr>
        <w:top w:val="none" w:sz="0" w:space="0" w:color="auto"/>
        <w:left w:val="none" w:sz="0" w:space="0" w:color="auto"/>
        <w:bottom w:val="none" w:sz="0" w:space="0" w:color="auto"/>
        <w:right w:val="none" w:sz="0" w:space="0" w:color="auto"/>
      </w:divBdr>
    </w:div>
    <w:div w:id="1754620680">
      <w:bodyDiv w:val="1"/>
      <w:marLeft w:val="0"/>
      <w:marRight w:val="0"/>
      <w:marTop w:val="0"/>
      <w:marBottom w:val="0"/>
      <w:divBdr>
        <w:top w:val="none" w:sz="0" w:space="0" w:color="auto"/>
        <w:left w:val="none" w:sz="0" w:space="0" w:color="auto"/>
        <w:bottom w:val="none" w:sz="0" w:space="0" w:color="auto"/>
        <w:right w:val="none" w:sz="0" w:space="0" w:color="auto"/>
      </w:divBdr>
    </w:div>
    <w:div w:id="1801223235">
      <w:bodyDiv w:val="1"/>
      <w:marLeft w:val="0"/>
      <w:marRight w:val="0"/>
      <w:marTop w:val="0"/>
      <w:marBottom w:val="0"/>
      <w:divBdr>
        <w:top w:val="none" w:sz="0" w:space="0" w:color="auto"/>
        <w:left w:val="none" w:sz="0" w:space="0" w:color="auto"/>
        <w:bottom w:val="none" w:sz="0" w:space="0" w:color="auto"/>
        <w:right w:val="none" w:sz="0" w:space="0" w:color="auto"/>
      </w:divBdr>
    </w:div>
    <w:div w:id="1870483592">
      <w:bodyDiv w:val="1"/>
      <w:marLeft w:val="0"/>
      <w:marRight w:val="0"/>
      <w:marTop w:val="0"/>
      <w:marBottom w:val="0"/>
      <w:divBdr>
        <w:top w:val="none" w:sz="0" w:space="0" w:color="auto"/>
        <w:left w:val="none" w:sz="0" w:space="0" w:color="auto"/>
        <w:bottom w:val="none" w:sz="0" w:space="0" w:color="auto"/>
        <w:right w:val="none" w:sz="0" w:space="0" w:color="auto"/>
      </w:divBdr>
    </w:div>
    <w:div w:id="199317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PDRIVE\LINK$\fricko.PDRV\ene.general\Publications\Fricko\SSP-Modelling%20paper\R-Figures\Additional%20figures%20for%20diagnost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DRIVE\LINK$\fricko.PDRV\ene.general\Publications\Fricko\SSP-Modelling%20paper\R-Figures\Additional%20figures%20for%20diagnost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RIMAP\Article_workshop\2015_SSP2_MESSAGE\figures\revision\SI_Figure%20X1%20-%20MESSAGE-GLOBIOM%20Feedback%20-%20EXCEL%20OK\20160330_SSP2_Feedback_Comparis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DRIVE\LINK$\fricko.PDRV\ene.general\Publications\Fricko\SSP-Modelling%20paper\R-Figures\Additional%20figures%20for%20diagnostic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DRIVE\LINK$\fricko.PDRV\ene.general\Publications\Fricko\SSP-Modelling%20paper\R-Figures\Additional%20figures%20for%20diagnostic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DRIVE\LINK$\fricko.PDRV\ene.general\Publications\Fricko\SSP-Modelling%20paper\R-Figures\Additional%20figures%20for%20diagnost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RIMAP\Article_workshop\2015_SSP2_MESSAGE\Additional%20figures%20for%20diagnostics_2015112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RIMAP\Article_workshop\2015_SSP2_MESSAGE\Additional%20figures%20for%20diagnostics_20151126.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SI_Calories!$I$29</c:f>
              <c:strCache>
                <c:ptCount val="1"/>
                <c:pt idx="0">
                  <c:v>Livestock</c:v>
                </c:pt>
              </c:strCache>
            </c:strRef>
          </c:tx>
          <c:spPr>
            <a:solidFill>
              <a:schemeClr val="accent4">
                <a:lumMod val="50000"/>
              </a:schemeClr>
            </a:solidFill>
            <a:ln>
              <a:solidFill>
                <a:schemeClr val="tx1"/>
              </a:solidFill>
            </a:ln>
            <a:effectLst/>
          </c:spPr>
          <c:invertIfNegative val="0"/>
          <c:cat>
            <c:strRef>
              <c:f>SI_Calories!$J$28:$S$28</c:f>
              <c:strCache>
                <c:ptCount val="10"/>
                <c:pt idx="0">
                  <c:v>
Baseyear</c:v>
                </c:pt>
                <c:pt idx="2">
                  <c:v>SSP1</c:v>
                </c:pt>
                <c:pt idx="3">
                  <c:v>SSP2</c:v>
                </c:pt>
                <c:pt idx="4">
                  <c:v>SSP3</c:v>
                </c:pt>
                <c:pt idx="7">
                  <c:v>SSP1</c:v>
                </c:pt>
                <c:pt idx="8">
                  <c:v>SSP2</c:v>
                </c:pt>
                <c:pt idx="9">
                  <c:v>SSP3</c:v>
                </c:pt>
              </c:strCache>
            </c:strRef>
          </c:cat>
          <c:val>
            <c:numRef>
              <c:f>SI_Calories!$J$29:$S$29</c:f>
              <c:numCache>
                <c:formatCode>General</c:formatCode>
                <c:ptCount val="10"/>
                <c:pt idx="0">
                  <c:v>476.43599999999992</c:v>
                </c:pt>
                <c:pt idx="2">
                  <c:v>573.26900000000001</c:v>
                </c:pt>
                <c:pt idx="3">
                  <c:v>612.19000000000005</c:v>
                </c:pt>
                <c:pt idx="4">
                  <c:v>515.94999999999993</c:v>
                </c:pt>
                <c:pt idx="7">
                  <c:v>645.69799999999998</c:v>
                </c:pt>
                <c:pt idx="8">
                  <c:v>743.30599999999993</c:v>
                </c:pt>
                <c:pt idx="9">
                  <c:v>495.38299999999992</c:v>
                </c:pt>
              </c:numCache>
            </c:numRef>
          </c:val>
        </c:ser>
        <c:ser>
          <c:idx val="1"/>
          <c:order val="1"/>
          <c:tx>
            <c:strRef>
              <c:f>SI_Calories!$I$30</c:f>
              <c:strCache>
                <c:ptCount val="1"/>
                <c:pt idx="0">
                  <c:v>Crops</c:v>
                </c:pt>
              </c:strCache>
            </c:strRef>
          </c:tx>
          <c:spPr>
            <a:solidFill>
              <a:schemeClr val="accent4">
                <a:lumMod val="60000"/>
                <a:lumOff val="40000"/>
              </a:schemeClr>
            </a:solidFill>
            <a:ln>
              <a:solidFill>
                <a:sysClr val="windowText" lastClr="000000"/>
              </a:solidFill>
            </a:ln>
            <a:effectLst/>
          </c:spPr>
          <c:invertIfNegative val="0"/>
          <c:cat>
            <c:strRef>
              <c:f>SI_Calories!$J$28:$S$28</c:f>
              <c:strCache>
                <c:ptCount val="10"/>
                <c:pt idx="0">
                  <c:v>
Baseyear</c:v>
                </c:pt>
                <c:pt idx="2">
                  <c:v>SSP1</c:v>
                </c:pt>
                <c:pt idx="3">
                  <c:v>SSP2</c:v>
                </c:pt>
                <c:pt idx="4">
                  <c:v>SSP3</c:v>
                </c:pt>
                <c:pt idx="7">
                  <c:v>SSP1</c:v>
                </c:pt>
                <c:pt idx="8">
                  <c:v>SSP2</c:v>
                </c:pt>
                <c:pt idx="9">
                  <c:v>SSP3</c:v>
                </c:pt>
              </c:strCache>
            </c:strRef>
          </c:cat>
          <c:val>
            <c:numRef>
              <c:f>SI_Calories!$J$30:$S$30</c:f>
              <c:numCache>
                <c:formatCode>General</c:formatCode>
                <c:ptCount val="10"/>
                <c:pt idx="0">
                  <c:v>2339.9760000000001</c:v>
                </c:pt>
                <c:pt idx="2">
                  <c:v>2601.7469999999989</c:v>
                </c:pt>
                <c:pt idx="3">
                  <c:v>2547.9850000000001</c:v>
                </c:pt>
                <c:pt idx="4">
                  <c:v>2422.1640000000002</c:v>
                </c:pt>
                <c:pt idx="7">
                  <c:v>2727.4389999999999</c:v>
                </c:pt>
                <c:pt idx="8">
                  <c:v>2700.5430000000001</c:v>
                </c:pt>
                <c:pt idx="9">
                  <c:v>2506.904</c:v>
                </c:pt>
              </c:numCache>
            </c:numRef>
          </c:val>
        </c:ser>
        <c:dLbls>
          <c:showLegendKey val="0"/>
          <c:showVal val="0"/>
          <c:showCatName val="0"/>
          <c:showSerName val="0"/>
          <c:showPercent val="0"/>
          <c:showBubbleSize val="0"/>
        </c:dLbls>
        <c:gapWidth val="100"/>
        <c:overlap val="100"/>
        <c:axId val="308000696"/>
        <c:axId val="308001088"/>
      </c:barChart>
      <c:catAx>
        <c:axId val="308000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2050 2100</a:t>
                </a:r>
                <a:endParaRPr lang="en-US" sz="1000">
                  <a:effectLst/>
                </a:endParaRPr>
              </a:p>
            </c:rich>
          </c:tx>
          <c:layout>
            <c:manualLayout>
              <c:xMode val="edge"/>
              <c:yMode val="edge"/>
              <c:x val="0.35520526600841501"/>
              <c:y val="0.896910155461337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8001088"/>
        <c:crosses val="autoZero"/>
        <c:auto val="1"/>
        <c:lblAlgn val="ctr"/>
        <c:lblOffset val="100"/>
        <c:noMultiLvlLbl val="0"/>
      </c:catAx>
      <c:valAx>
        <c:axId val="308001088"/>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[kcal/cap/day]</a:t>
                </a:r>
                <a:endParaRPr lang="en-US" sz="1200">
                  <a:effectLst/>
                </a:endParaRPr>
              </a:p>
            </c:rich>
          </c:tx>
          <c:layout>
            <c:manualLayout>
              <c:xMode val="edge"/>
              <c:yMode val="edge"/>
              <c:x val="1.26984126984127E-2"/>
              <c:y val="0.3312327882091660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8000696"/>
        <c:crosses val="autoZero"/>
        <c:crossBetween val="between"/>
      </c:valAx>
      <c:spPr>
        <a:noFill/>
        <a:ln>
          <a:noFill/>
        </a:ln>
        <a:effectLst/>
      </c:spPr>
    </c:plotArea>
    <c:legend>
      <c:legendPos val="r"/>
      <c:overlay val="0"/>
      <c:spPr>
        <a:noFill/>
        <a:ln>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SI_Feedstocks!$F$26</c:f>
              <c:strCache>
                <c:ptCount val="1"/>
                <c:pt idx="0">
                  <c:v>Plantation</c:v>
                </c:pt>
              </c:strCache>
            </c:strRef>
          </c:tx>
          <c:spPr>
            <a:solidFill>
              <a:schemeClr val="accent6"/>
            </a:solidFill>
            <a:ln>
              <a:solidFill>
                <a:schemeClr val="tx1"/>
              </a:solidFill>
            </a:ln>
            <a:effectLst/>
          </c:spPr>
          <c:invertIfNegative val="0"/>
          <c:cat>
            <c:strRef>
              <c:f>SI_Feedstocks!$G$25:$O$25</c:f>
              <c:strCache>
                <c:ptCount val="9"/>
                <c:pt idx="0">
                  <c:v>
Baseyear</c:v>
                </c:pt>
                <c:pt idx="2">
                  <c:v>SSP1</c:v>
                </c:pt>
                <c:pt idx="3">
                  <c:v>SSP2</c:v>
                </c:pt>
                <c:pt idx="4">
                  <c:v>SSP3</c:v>
                </c:pt>
                <c:pt idx="6">
                  <c:v>SSP1</c:v>
                </c:pt>
                <c:pt idx="7">
                  <c:v>SSP2</c:v>
                </c:pt>
                <c:pt idx="8">
                  <c:v>SSP3</c:v>
                </c:pt>
              </c:strCache>
            </c:strRef>
          </c:cat>
          <c:val>
            <c:numRef>
              <c:f>SI_Feedstocks!$G$26:$O$26</c:f>
              <c:numCache>
                <c:formatCode>General</c:formatCode>
                <c:ptCount val="9"/>
                <c:pt idx="0">
                  <c:v>12.868470479650931</c:v>
                </c:pt>
                <c:pt idx="2">
                  <c:v>115.981901705486</c:v>
                </c:pt>
                <c:pt idx="3">
                  <c:v>116.6714473014142</c:v>
                </c:pt>
                <c:pt idx="4">
                  <c:v>116.6886576514011</c:v>
                </c:pt>
                <c:pt idx="6">
                  <c:v>166.2210226908384</c:v>
                </c:pt>
                <c:pt idx="7">
                  <c:v>166.71548568057861</c:v>
                </c:pt>
                <c:pt idx="8">
                  <c:v>168.07989253403741</c:v>
                </c:pt>
              </c:numCache>
            </c:numRef>
          </c:val>
        </c:ser>
        <c:ser>
          <c:idx val="1"/>
          <c:order val="1"/>
          <c:tx>
            <c:strRef>
              <c:f>SI_Feedstocks!$F$27</c:f>
              <c:strCache>
                <c:ptCount val="1"/>
                <c:pt idx="0">
                  <c:v>First generation</c:v>
                </c:pt>
              </c:strCache>
            </c:strRef>
          </c:tx>
          <c:spPr>
            <a:solidFill>
              <a:schemeClr val="accent6">
                <a:lumMod val="40000"/>
                <a:lumOff val="60000"/>
              </a:schemeClr>
            </a:solidFill>
            <a:ln>
              <a:solidFill>
                <a:sysClr val="windowText" lastClr="000000"/>
              </a:solidFill>
            </a:ln>
            <a:effectLst/>
          </c:spPr>
          <c:invertIfNegative val="0"/>
          <c:cat>
            <c:strRef>
              <c:f>SI_Feedstocks!$G$25:$O$25</c:f>
              <c:strCache>
                <c:ptCount val="9"/>
                <c:pt idx="0">
                  <c:v>
Baseyear</c:v>
                </c:pt>
                <c:pt idx="2">
                  <c:v>SSP1</c:v>
                </c:pt>
                <c:pt idx="3">
                  <c:v>SSP2</c:v>
                </c:pt>
                <c:pt idx="4">
                  <c:v>SSP3</c:v>
                </c:pt>
                <c:pt idx="6">
                  <c:v>SSP1</c:v>
                </c:pt>
                <c:pt idx="7">
                  <c:v>SSP2</c:v>
                </c:pt>
                <c:pt idx="8">
                  <c:v>SSP3</c:v>
                </c:pt>
              </c:strCache>
            </c:strRef>
          </c:cat>
          <c:val>
            <c:numRef>
              <c:f>SI_Feedstocks!$G$27:$O$27</c:f>
              <c:numCache>
                <c:formatCode>General</c:formatCode>
                <c:ptCount val="9"/>
                <c:pt idx="0">
                  <c:v>6.1387780875624527</c:v>
                </c:pt>
                <c:pt idx="2">
                  <c:v>6.2396612580062474</c:v>
                </c:pt>
                <c:pt idx="3">
                  <c:v>6.2318114616298734</c:v>
                </c:pt>
                <c:pt idx="4">
                  <c:v>6.2282347151279636</c:v>
                </c:pt>
                <c:pt idx="6">
                  <c:v>6.227818666501916</c:v>
                </c:pt>
                <c:pt idx="7">
                  <c:v>6.2133370685851306</c:v>
                </c:pt>
                <c:pt idx="8">
                  <c:v>6.1689609495828446</c:v>
                </c:pt>
              </c:numCache>
            </c:numRef>
          </c:val>
        </c:ser>
        <c:ser>
          <c:idx val="2"/>
          <c:order val="2"/>
          <c:tx>
            <c:strRef>
              <c:f>SI_Feedstocks!$F$28</c:f>
              <c:strCache>
                <c:ptCount val="1"/>
                <c:pt idx="0">
                  <c:v>Forest</c:v>
                </c:pt>
              </c:strCache>
            </c:strRef>
          </c:tx>
          <c:spPr>
            <a:solidFill>
              <a:schemeClr val="accent6">
                <a:lumMod val="60000"/>
                <a:lumOff val="40000"/>
              </a:schemeClr>
            </a:solidFill>
            <a:ln>
              <a:solidFill>
                <a:sysClr val="windowText" lastClr="000000"/>
              </a:solidFill>
            </a:ln>
            <a:effectLst/>
          </c:spPr>
          <c:invertIfNegative val="0"/>
          <c:cat>
            <c:strRef>
              <c:f>SI_Feedstocks!$G$25:$O$25</c:f>
              <c:strCache>
                <c:ptCount val="9"/>
                <c:pt idx="0">
                  <c:v>
Baseyear</c:v>
                </c:pt>
                <c:pt idx="2">
                  <c:v>SSP1</c:v>
                </c:pt>
                <c:pt idx="3">
                  <c:v>SSP2</c:v>
                </c:pt>
                <c:pt idx="4">
                  <c:v>SSP3</c:v>
                </c:pt>
                <c:pt idx="6">
                  <c:v>SSP1</c:v>
                </c:pt>
                <c:pt idx="7">
                  <c:v>SSP2</c:v>
                </c:pt>
                <c:pt idx="8">
                  <c:v>SSP3</c:v>
                </c:pt>
              </c:strCache>
            </c:strRef>
          </c:cat>
          <c:val>
            <c:numRef>
              <c:f>SI_Feedstocks!$G$28:$O$28</c:f>
              <c:numCache>
                <c:formatCode>General</c:formatCode>
                <c:ptCount val="9"/>
                <c:pt idx="0">
                  <c:v>3.5874448349395101</c:v>
                </c:pt>
                <c:pt idx="2">
                  <c:v>76.755129541291524</c:v>
                </c:pt>
                <c:pt idx="3">
                  <c:v>66.074529582895053</c:v>
                </c:pt>
                <c:pt idx="4">
                  <c:v>65.931866510366561</c:v>
                </c:pt>
                <c:pt idx="6">
                  <c:v>81.674479230746243</c:v>
                </c:pt>
                <c:pt idx="7">
                  <c:v>78.768102887180589</c:v>
                </c:pt>
                <c:pt idx="8">
                  <c:v>74.831376275538972</c:v>
                </c:pt>
              </c:numCache>
            </c:numRef>
          </c:val>
        </c:ser>
        <c:ser>
          <c:idx val="3"/>
          <c:order val="3"/>
          <c:tx>
            <c:strRef>
              <c:f>SI_Feedstocks!$F$29</c:f>
              <c:strCache>
                <c:ptCount val="1"/>
                <c:pt idx="0">
                  <c:v>Fuel wood</c:v>
                </c:pt>
              </c:strCache>
            </c:strRef>
          </c:tx>
          <c:spPr>
            <a:solidFill>
              <a:schemeClr val="accent6">
                <a:lumMod val="20000"/>
                <a:lumOff val="80000"/>
              </a:schemeClr>
            </a:solidFill>
            <a:ln>
              <a:solidFill>
                <a:sysClr val="windowText" lastClr="000000"/>
              </a:solidFill>
            </a:ln>
            <a:effectLst/>
          </c:spPr>
          <c:invertIfNegative val="0"/>
          <c:cat>
            <c:strRef>
              <c:f>SI_Feedstocks!$G$25:$O$25</c:f>
              <c:strCache>
                <c:ptCount val="9"/>
                <c:pt idx="0">
                  <c:v>
Baseyear</c:v>
                </c:pt>
                <c:pt idx="2">
                  <c:v>SSP1</c:v>
                </c:pt>
                <c:pt idx="3">
                  <c:v>SSP2</c:v>
                </c:pt>
                <c:pt idx="4">
                  <c:v>SSP3</c:v>
                </c:pt>
                <c:pt idx="6">
                  <c:v>SSP1</c:v>
                </c:pt>
                <c:pt idx="7">
                  <c:v>SSP2</c:v>
                </c:pt>
                <c:pt idx="8">
                  <c:v>SSP3</c:v>
                </c:pt>
              </c:strCache>
            </c:strRef>
          </c:cat>
          <c:val>
            <c:numRef>
              <c:f>SI_Feedstocks!$G$29:$O$29</c:f>
              <c:numCache>
                <c:formatCode>General</c:formatCode>
                <c:ptCount val="9"/>
                <c:pt idx="0">
                  <c:v>11.88126188475702</c:v>
                </c:pt>
                <c:pt idx="2">
                  <c:v>1.459793309129195</c:v>
                </c:pt>
                <c:pt idx="3">
                  <c:v>6.0389952101429403</c:v>
                </c:pt>
                <c:pt idx="4">
                  <c:v>9.7061601468597818</c:v>
                </c:pt>
                <c:pt idx="6">
                  <c:v>1.4330510022324421</c:v>
                </c:pt>
                <c:pt idx="7">
                  <c:v>1.040770098976056</c:v>
                </c:pt>
                <c:pt idx="8">
                  <c:v>6.6528633298455953</c:v>
                </c:pt>
              </c:numCache>
            </c:numRef>
          </c:val>
        </c:ser>
        <c:ser>
          <c:idx val="4"/>
          <c:order val="4"/>
          <c:tx>
            <c:strRef>
              <c:f>SI_Feedstocks!$F$30</c:f>
              <c:strCache>
                <c:ptCount val="1"/>
                <c:pt idx="0">
                  <c:v>Sawmill residues</c:v>
                </c:pt>
              </c:strCache>
            </c:strRef>
          </c:tx>
          <c:spPr>
            <a:solidFill>
              <a:schemeClr val="accent6">
                <a:lumMod val="75000"/>
              </a:schemeClr>
            </a:solidFill>
            <a:ln>
              <a:solidFill>
                <a:schemeClr val="tx1"/>
              </a:solidFill>
            </a:ln>
            <a:effectLst/>
          </c:spPr>
          <c:invertIfNegative val="0"/>
          <c:cat>
            <c:strRef>
              <c:f>SI_Feedstocks!$G$25:$O$25</c:f>
              <c:strCache>
                <c:ptCount val="9"/>
                <c:pt idx="0">
                  <c:v>
Baseyear</c:v>
                </c:pt>
                <c:pt idx="2">
                  <c:v>SSP1</c:v>
                </c:pt>
                <c:pt idx="3">
                  <c:v>SSP2</c:v>
                </c:pt>
                <c:pt idx="4">
                  <c:v>SSP3</c:v>
                </c:pt>
                <c:pt idx="6">
                  <c:v>SSP1</c:v>
                </c:pt>
                <c:pt idx="7">
                  <c:v>SSP2</c:v>
                </c:pt>
                <c:pt idx="8">
                  <c:v>SSP3</c:v>
                </c:pt>
              </c:strCache>
            </c:strRef>
          </c:cat>
          <c:val>
            <c:numRef>
              <c:f>SI_Feedstocks!$G$30:$O$30</c:f>
              <c:numCache>
                <c:formatCode>General</c:formatCode>
                <c:ptCount val="9"/>
                <c:pt idx="0">
                  <c:v>1.722256423781706</c:v>
                </c:pt>
                <c:pt idx="2">
                  <c:v>2.9087219638508159</c:v>
                </c:pt>
                <c:pt idx="3">
                  <c:v>2.9044095526847609</c:v>
                </c:pt>
                <c:pt idx="4">
                  <c:v>2.339025493239268</c:v>
                </c:pt>
                <c:pt idx="6">
                  <c:v>3.3463186422687752</c:v>
                </c:pt>
                <c:pt idx="7">
                  <c:v>3.3463186422687752</c:v>
                </c:pt>
                <c:pt idx="8">
                  <c:v>2.8763621970403861</c:v>
                </c:pt>
              </c:numCache>
            </c:numRef>
          </c:val>
        </c:ser>
        <c:ser>
          <c:idx val="5"/>
          <c:order val="5"/>
          <c:tx>
            <c:strRef>
              <c:f>SI_Feedstocks!$F$31</c:f>
              <c:strCache>
                <c:ptCount val="1"/>
                <c:pt idx="0">
                  <c:v>Non-commercial</c:v>
                </c:pt>
              </c:strCache>
            </c:strRef>
          </c:tx>
          <c:spPr>
            <a:solidFill>
              <a:schemeClr val="accent6">
                <a:lumMod val="50000"/>
              </a:schemeClr>
            </a:solidFill>
            <a:ln>
              <a:solidFill>
                <a:schemeClr val="tx1"/>
              </a:solidFill>
            </a:ln>
            <a:effectLst/>
          </c:spPr>
          <c:invertIfNegative val="0"/>
          <c:cat>
            <c:strRef>
              <c:f>SI_Feedstocks!$G$25:$O$25</c:f>
              <c:strCache>
                <c:ptCount val="9"/>
                <c:pt idx="0">
                  <c:v>
Baseyear</c:v>
                </c:pt>
                <c:pt idx="2">
                  <c:v>SSP1</c:v>
                </c:pt>
                <c:pt idx="3">
                  <c:v>SSP2</c:v>
                </c:pt>
                <c:pt idx="4">
                  <c:v>SSP3</c:v>
                </c:pt>
                <c:pt idx="6">
                  <c:v>SSP1</c:v>
                </c:pt>
                <c:pt idx="7">
                  <c:v>SSP2</c:v>
                </c:pt>
                <c:pt idx="8">
                  <c:v>SSP3</c:v>
                </c:pt>
              </c:strCache>
            </c:strRef>
          </c:cat>
          <c:val>
            <c:numRef>
              <c:f>SI_Feedstocks!$G$31:$O$31</c:f>
              <c:numCache>
                <c:formatCode>General</c:formatCode>
                <c:ptCount val="9"/>
                <c:pt idx="0">
                  <c:v>19.217129826204999</c:v>
                </c:pt>
                <c:pt idx="2">
                  <c:v>0</c:v>
                </c:pt>
                <c:pt idx="3">
                  <c:v>24.219170868230009</c:v>
                </c:pt>
                <c:pt idx="4">
                  <c:v>32.759730180220011</c:v>
                </c:pt>
                <c:pt idx="6">
                  <c:v>0</c:v>
                </c:pt>
                <c:pt idx="7">
                  <c:v>0</c:v>
                </c:pt>
                <c:pt idx="8">
                  <c:v>45.8402347456</c:v>
                </c:pt>
              </c:numCache>
            </c:numRef>
          </c:val>
        </c:ser>
        <c:dLbls>
          <c:showLegendKey val="0"/>
          <c:showVal val="0"/>
          <c:showCatName val="0"/>
          <c:showSerName val="0"/>
          <c:showPercent val="0"/>
          <c:showBubbleSize val="0"/>
        </c:dLbls>
        <c:gapWidth val="100"/>
        <c:overlap val="100"/>
        <c:axId val="307998344"/>
        <c:axId val="307999520"/>
      </c:barChart>
      <c:catAx>
        <c:axId val="307998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20502100</a:t>
                </a:r>
              </a:p>
            </c:rich>
          </c:tx>
          <c:layout>
            <c:manualLayout>
              <c:xMode val="edge"/>
              <c:yMode val="edge"/>
              <c:x val="0.34361854211784698"/>
              <c:y val="0.891894264662004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7999520"/>
        <c:crosses val="autoZero"/>
        <c:auto val="1"/>
        <c:lblAlgn val="ctr"/>
        <c:lblOffset val="100"/>
        <c:noMultiLvlLbl val="0"/>
      </c:catAx>
      <c:valAx>
        <c:axId val="30799952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EJ/yr</a:t>
                </a:r>
              </a:p>
            </c:rich>
          </c:tx>
          <c:layout>
            <c:manualLayout>
              <c:xMode val="edge"/>
              <c:yMode val="edge"/>
              <c:x val="1.48383677795442E-2"/>
              <c:y val="0.3929757913208830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7998344"/>
        <c:crosses val="autoZero"/>
        <c:crossBetween val="between"/>
      </c:valAx>
      <c:spPr>
        <a:noFill/>
        <a:ln>
          <a:noFill/>
        </a:ln>
        <a:effectLst/>
      </c:spPr>
    </c:plotArea>
    <c:legend>
      <c:legendPos val="r"/>
      <c:overlay val="0"/>
      <c:spPr>
        <a:noFill/>
        <a:ln w="12700">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SSP2 - Global GHG Emissions [Mt CO2e]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SSP2_SPA0!$AB$32</c:f>
              <c:strCache>
                <c:ptCount val="1"/>
                <c:pt idx="0">
                  <c:v>2.6</c:v>
                </c:pt>
              </c:strCache>
            </c:strRef>
          </c:tx>
          <c:spPr>
            <a:ln w="19050" cap="rnd">
              <a:solidFill>
                <a:schemeClr val="accent6"/>
              </a:solidFill>
              <a:prstDash val="sysDash"/>
              <a:round/>
            </a:ln>
            <a:effectLst/>
          </c:spPr>
          <c:marker>
            <c:symbol val="none"/>
          </c:marker>
          <c:xVal>
            <c:numRef>
              <c:f>SSP2_SPA0!$AC$1:$AM$1</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xVal>
          <c:yVal>
            <c:numRef>
              <c:f>SSP2_SPA0!$AC$32:$AM$32</c:f>
              <c:numCache>
                <c:formatCode>_-* #,##0_-;\-* #,##0_-;_-* "-"??_-;_-@_-</c:formatCode>
                <c:ptCount val="11"/>
                <c:pt idx="0">
                  <c:v>11216.8223</c:v>
                </c:pt>
                <c:pt idx="1">
                  <c:v>11550.240470000001</c:v>
                </c:pt>
                <c:pt idx="2">
                  <c:v>7990.9801500000003</c:v>
                </c:pt>
                <c:pt idx="3">
                  <c:v>4002.0690800000002</c:v>
                </c:pt>
                <c:pt idx="4">
                  <c:v>3051.4991400000008</c:v>
                </c:pt>
                <c:pt idx="5">
                  <c:v>2360.8290999999999</c:v>
                </c:pt>
                <c:pt idx="6">
                  <c:v>868.4964100000002</c:v>
                </c:pt>
                <c:pt idx="7">
                  <c:v>249.07576000000009</c:v>
                </c:pt>
                <c:pt idx="8">
                  <c:v>-456.62359000000032</c:v>
                </c:pt>
                <c:pt idx="9">
                  <c:v>-776.8055599999999</c:v>
                </c:pt>
                <c:pt idx="10">
                  <c:v>-510.86341000000021</c:v>
                </c:pt>
              </c:numCache>
            </c:numRef>
          </c:yVal>
          <c:smooth val="0"/>
        </c:ser>
        <c:ser>
          <c:idx val="2"/>
          <c:order val="1"/>
          <c:tx>
            <c:strRef>
              <c:f>SSP2_SPA0!$AB$34</c:f>
              <c:strCache>
                <c:ptCount val="1"/>
                <c:pt idx="0">
                  <c:v>4.5</c:v>
                </c:pt>
              </c:strCache>
            </c:strRef>
          </c:tx>
          <c:spPr>
            <a:ln w="19050" cap="rnd">
              <a:solidFill>
                <a:schemeClr val="accent4"/>
              </a:solidFill>
              <a:prstDash val="sysDash"/>
              <a:round/>
            </a:ln>
            <a:effectLst/>
          </c:spPr>
          <c:marker>
            <c:symbol val="none"/>
          </c:marker>
          <c:xVal>
            <c:numRef>
              <c:f>SSP2_SPA0!$AC$1:$AM$1</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xVal>
          <c:yVal>
            <c:numRef>
              <c:f>SSP2_SPA0!$AC$34:$AM$34</c:f>
              <c:numCache>
                <c:formatCode>_-* #,##0_-;\-* #,##0_-;_-* "-"??_-;_-@_-</c:formatCode>
                <c:ptCount val="11"/>
                <c:pt idx="0">
                  <c:v>11216.8223</c:v>
                </c:pt>
                <c:pt idx="1">
                  <c:v>11550.240470000001</c:v>
                </c:pt>
                <c:pt idx="2">
                  <c:v>10571.44795</c:v>
                </c:pt>
                <c:pt idx="3">
                  <c:v>8530.6841100000001</c:v>
                </c:pt>
                <c:pt idx="4">
                  <c:v>6674.1849700000002</c:v>
                </c:pt>
                <c:pt idx="5">
                  <c:v>5422.2708499999999</c:v>
                </c:pt>
                <c:pt idx="6">
                  <c:v>3829.3276799999999</c:v>
                </c:pt>
                <c:pt idx="7">
                  <c:v>2712.1933600000002</c:v>
                </c:pt>
                <c:pt idx="8">
                  <c:v>1942.6402</c:v>
                </c:pt>
                <c:pt idx="9">
                  <c:v>1096.9248</c:v>
                </c:pt>
                <c:pt idx="10">
                  <c:v>936.00460000000021</c:v>
                </c:pt>
              </c:numCache>
            </c:numRef>
          </c:yVal>
          <c:smooth val="0"/>
        </c:ser>
        <c:ser>
          <c:idx val="4"/>
          <c:order val="2"/>
          <c:tx>
            <c:strRef>
              <c:f>SSP2_SPA0!$AB$36</c:f>
              <c:strCache>
                <c:ptCount val="1"/>
                <c:pt idx="0">
                  <c:v>Baseline</c:v>
                </c:pt>
              </c:strCache>
            </c:strRef>
          </c:tx>
          <c:spPr>
            <a:ln w="19050" cap="rnd">
              <a:solidFill>
                <a:schemeClr val="accent2"/>
              </a:solidFill>
              <a:prstDash val="sysDash"/>
              <a:round/>
            </a:ln>
            <a:effectLst/>
          </c:spPr>
          <c:marker>
            <c:symbol val="none"/>
          </c:marker>
          <c:xVal>
            <c:numRef>
              <c:f>SSP2_SPA0!$AC$1:$AM$1</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xVal>
          <c:yVal>
            <c:numRef>
              <c:f>SSP2_SPA0!$AC$36:$AM$36</c:f>
              <c:numCache>
                <c:formatCode>_-* #,##0_-;\-* #,##0_-;_-* "-"??_-;_-@_-</c:formatCode>
                <c:ptCount val="11"/>
                <c:pt idx="0">
                  <c:v>11216.8223</c:v>
                </c:pt>
                <c:pt idx="1">
                  <c:v>11550.240470000001</c:v>
                </c:pt>
                <c:pt idx="2">
                  <c:v>11196.85427</c:v>
                </c:pt>
                <c:pt idx="3">
                  <c:v>10502.99134</c:v>
                </c:pt>
                <c:pt idx="4">
                  <c:v>10007.012350000001</c:v>
                </c:pt>
                <c:pt idx="5">
                  <c:v>9331.5441300000002</c:v>
                </c:pt>
                <c:pt idx="6">
                  <c:v>8296.6931199999981</c:v>
                </c:pt>
                <c:pt idx="7">
                  <c:v>7447.6609800000006</c:v>
                </c:pt>
                <c:pt idx="8">
                  <c:v>6742.4014800000004</c:v>
                </c:pt>
                <c:pt idx="9">
                  <c:v>6139.2067200000001</c:v>
                </c:pt>
                <c:pt idx="10">
                  <c:v>5692.7883199999997</c:v>
                </c:pt>
              </c:numCache>
            </c:numRef>
          </c:yVal>
          <c:smooth val="0"/>
        </c:ser>
        <c:ser>
          <c:idx val="5"/>
          <c:order val="3"/>
          <c:tx>
            <c:strRef>
              <c:f>SSP2_SPA0!$AB$37</c:f>
              <c:strCache>
                <c:ptCount val="1"/>
                <c:pt idx="0">
                  <c:v>2.6</c:v>
                </c:pt>
              </c:strCache>
            </c:strRef>
          </c:tx>
          <c:spPr>
            <a:ln w="19050" cap="rnd">
              <a:solidFill>
                <a:schemeClr val="accent6"/>
              </a:solidFill>
              <a:round/>
            </a:ln>
            <a:effectLst/>
          </c:spPr>
          <c:marker>
            <c:symbol val="none"/>
          </c:marker>
          <c:xVal>
            <c:numRef>
              <c:f>SSP2_SPA0!$AC$1:$AM$1</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xVal>
          <c:yVal>
            <c:numRef>
              <c:f>SSP2_SPA0!$AC$37:$AM$37</c:f>
              <c:numCache>
                <c:formatCode>_-* #,##0_-;\-* #,##0_-;_-* "-"??_-;_-@_-</c:formatCode>
                <c:ptCount val="11"/>
                <c:pt idx="0">
                  <c:v>11362.89047</c:v>
                </c:pt>
                <c:pt idx="1">
                  <c:v>11806.23595</c:v>
                </c:pt>
                <c:pt idx="2">
                  <c:v>7539.8383999999996</c:v>
                </c:pt>
                <c:pt idx="3">
                  <c:v>4530.4421900000007</c:v>
                </c:pt>
                <c:pt idx="4">
                  <c:v>3774.95568</c:v>
                </c:pt>
                <c:pt idx="5">
                  <c:v>2763.6790799999999</c:v>
                </c:pt>
                <c:pt idx="6">
                  <c:v>1435.9867000000011</c:v>
                </c:pt>
                <c:pt idx="7">
                  <c:v>613.95564999999931</c:v>
                </c:pt>
                <c:pt idx="8">
                  <c:v>-565.81257000000028</c:v>
                </c:pt>
                <c:pt idx="9">
                  <c:v>-1038.853499999999</c:v>
                </c:pt>
                <c:pt idx="10">
                  <c:v>-1488.27493</c:v>
                </c:pt>
              </c:numCache>
            </c:numRef>
          </c:yVal>
          <c:smooth val="0"/>
        </c:ser>
        <c:ser>
          <c:idx val="7"/>
          <c:order val="4"/>
          <c:tx>
            <c:strRef>
              <c:f>SSP2_SPA0!$AB$39</c:f>
              <c:strCache>
                <c:ptCount val="1"/>
                <c:pt idx="0">
                  <c:v>4.5</c:v>
                </c:pt>
              </c:strCache>
            </c:strRef>
          </c:tx>
          <c:spPr>
            <a:ln w="19050" cap="rnd">
              <a:solidFill>
                <a:schemeClr val="accent4"/>
              </a:solidFill>
              <a:round/>
            </a:ln>
            <a:effectLst/>
          </c:spPr>
          <c:marker>
            <c:symbol val="none"/>
          </c:marker>
          <c:xVal>
            <c:numRef>
              <c:f>SSP2_SPA0!$AC$1:$AM$1</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xVal>
          <c:yVal>
            <c:numRef>
              <c:f>SSP2_SPA0!$AC$39:$AM$39</c:f>
              <c:numCache>
                <c:formatCode>_-* #,##0_-;\-* #,##0_-;_-* "-"??_-;_-@_-</c:formatCode>
                <c:ptCount val="11"/>
                <c:pt idx="0">
                  <c:v>11362.89047</c:v>
                </c:pt>
                <c:pt idx="1">
                  <c:v>11806.23595</c:v>
                </c:pt>
                <c:pt idx="2">
                  <c:v>9557.0390000000007</c:v>
                </c:pt>
                <c:pt idx="3">
                  <c:v>8218.8868299999958</c:v>
                </c:pt>
                <c:pt idx="4">
                  <c:v>7070.1178</c:v>
                </c:pt>
                <c:pt idx="5">
                  <c:v>5488.7619000000004</c:v>
                </c:pt>
                <c:pt idx="6">
                  <c:v>3897.3476500000002</c:v>
                </c:pt>
                <c:pt idx="7">
                  <c:v>2693.1347899999992</c:v>
                </c:pt>
                <c:pt idx="8">
                  <c:v>1698.0557799999999</c:v>
                </c:pt>
                <c:pt idx="9">
                  <c:v>1411.11607</c:v>
                </c:pt>
                <c:pt idx="10">
                  <c:v>977.56817000000001</c:v>
                </c:pt>
              </c:numCache>
            </c:numRef>
          </c:yVal>
          <c:smooth val="0"/>
        </c:ser>
        <c:ser>
          <c:idx val="9"/>
          <c:order val="5"/>
          <c:tx>
            <c:strRef>
              <c:f>SSP2_SPA0!$AB$41</c:f>
              <c:strCache>
                <c:ptCount val="1"/>
                <c:pt idx="0">
                  <c:v>Baseline</c:v>
                </c:pt>
              </c:strCache>
            </c:strRef>
          </c:tx>
          <c:spPr>
            <a:ln w="19050" cap="rnd">
              <a:solidFill>
                <a:schemeClr val="accent2"/>
              </a:solidFill>
              <a:round/>
            </a:ln>
            <a:effectLst/>
          </c:spPr>
          <c:marker>
            <c:symbol val="none"/>
          </c:marker>
          <c:xVal>
            <c:numRef>
              <c:f>SSP2_SPA0!$AC$1:$AM$1</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xVal>
          <c:yVal>
            <c:numRef>
              <c:f>SSP2_SPA0!$AC$41:$AM$41</c:f>
              <c:numCache>
                <c:formatCode>_-* #,##0_-;\-* #,##0_-;_-* "-"??_-;_-@_-</c:formatCode>
                <c:ptCount val="11"/>
                <c:pt idx="0">
                  <c:v>11362.89047</c:v>
                </c:pt>
                <c:pt idx="1">
                  <c:v>11806.23595</c:v>
                </c:pt>
                <c:pt idx="2">
                  <c:v>10165.567489999999</c:v>
                </c:pt>
                <c:pt idx="3">
                  <c:v>9734.2963</c:v>
                </c:pt>
                <c:pt idx="4">
                  <c:v>9770.2258000000002</c:v>
                </c:pt>
                <c:pt idx="5">
                  <c:v>9225.8448100000005</c:v>
                </c:pt>
                <c:pt idx="6">
                  <c:v>8315.4871799999983</c:v>
                </c:pt>
                <c:pt idx="7">
                  <c:v>7397.3873100000001</c:v>
                </c:pt>
                <c:pt idx="8">
                  <c:v>6603.1296700000003</c:v>
                </c:pt>
                <c:pt idx="9">
                  <c:v>6314.0197500000004</c:v>
                </c:pt>
                <c:pt idx="10">
                  <c:v>6075.5009800000007</c:v>
                </c:pt>
              </c:numCache>
            </c:numRef>
          </c:yVal>
          <c:smooth val="0"/>
        </c:ser>
        <c:dLbls>
          <c:showLegendKey val="0"/>
          <c:showVal val="0"/>
          <c:showCatName val="0"/>
          <c:showSerName val="0"/>
          <c:showPercent val="0"/>
          <c:showBubbleSize val="0"/>
        </c:dLbls>
        <c:axId val="302725456"/>
        <c:axId val="302724280"/>
      </c:scatterChart>
      <c:valAx>
        <c:axId val="30272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724280"/>
        <c:crosses val="autoZero"/>
        <c:crossBetween val="midCat"/>
      </c:valAx>
      <c:valAx>
        <c:axId val="30272428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725456"/>
        <c:crosses val="autoZero"/>
        <c:crossBetween val="midCat"/>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'SI_Final Energy'!$E$50</c:f>
              <c:strCache>
                <c:ptCount val="1"/>
                <c:pt idx="0">
                  <c:v>North_IND</c:v>
                </c:pt>
              </c:strCache>
            </c:strRef>
          </c:tx>
          <c:spPr>
            <a:solidFill>
              <a:schemeClr val="bg1">
                <a:lumMod val="75000"/>
              </a:schemeClr>
            </a:solidFill>
            <a:ln>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Energy'!$F$50:$P$50</c:f>
              <c:numCache>
                <c:formatCode>_-* #\,##0.0_-;\-* #\,##0.0_-;_-* "-"??_-;_-@_-</c:formatCode>
                <c:ptCount val="11"/>
                <c:pt idx="0">
                  <c:v>59.414999999999999</c:v>
                </c:pt>
                <c:pt idx="1">
                  <c:v>56.814999999999998</c:v>
                </c:pt>
                <c:pt idx="2">
                  <c:v>59.171000000000006</c:v>
                </c:pt>
                <c:pt idx="3">
                  <c:v>61.206000000000003</c:v>
                </c:pt>
                <c:pt idx="4">
                  <c:v>63.399000000000001</c:v>
                </c:pt>
                <c:pt idx="5">
                  <c:v>64.31</c:v>
                </c:pt>
                <c:pt idx="6">
                  <c:v>66.728000000000009</c:v>
                </c:pt>
                <c:pt idx="7">
                  <c:v>67.652999999999977</c:v>
                </c:pt>
                <c:pt idx="8">
                  <c:v>68.182999999999979</c:v>
                </c:pt>
                <c:pt idx="9">
                  <c:v>67.91</c:v>
                </c:pt>
                <c:pt idx="10">
                  <c:v>66.691999999999993</c:v>
                </c:pt>
              </c:numCache>
            </c:numRef>
          </c:val>
        </c:ser>
        <c:ser>
          <c:idx val="1"/>
          <c:order val="1"/>
          <c:tx>
            <c:strRef>
              <c:f>'SI_Final Energy'!$E$51</c:f>
              <c:strCache>
                <c:ptCount val="1"/>
                <c:pt idx="0">
                  <c:v>North_RC</c:v>
                </c:pt>
              </c:strCache>
            </c:strRef>
          </c:tx>
          <c:spPr>
            <a:solidFill>
              <a:schemeClr val="bg1">
                <a:lumMod val="65000"/>
              </a:schemeClr>
            </a:solidFill>
            <a:ln>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Energy'!$F$51:$P$51</c:f>
              <c:numCache>
                <c:formatCode>_-* #\,##0.0_-;\-* #\,##0.0_-;_-* "-"??_-;_-@_-</c:formatCode>
                <c:ptCount val="11"/>
                <c:pt idx="0">
                  <c:v>63.758000000000003</c:v>
                </c:pt>
                <c:pt idx="1">
                  <c:v>63.243000000000009</c:v>
                </c:pt>
                <c:pt idx="2">
                  <c:v>66.412000000000006</c:v>
                </c:pt>
                <c:pt idx="3">
                  <c:v>66.534999999999997</c:v>
                </c:pt>
                <c:pt idx="4">
                  <c:v>63.731999999999999</c:v>
                </c:pt>
                <c:pt idx="5">
                  <c:v>62.756</c:v>
                </c:pt>
                <c:pt idx="6">
                  <c:v>64.558000000000007</c:v>
                </c:pt>
                <c:pt idx="7">
                  <c:v>65.232000000000014</c:v>
                </c:pt>
                <c:pt idx="8">
                  <c:v>64.607999999999976</c:v>
                </c:pt>
                <c:pt idx="9">
                  <c:v>62.844000000000001</c:v>
                </c:pt>
                <c:pt idx="10">
                  <c:v>59.987000000000002</c:v>
                </c:pt>
              </c:numCache>
            </c:numRef>
          </c:val>
        </c:ser>
        <c:ser>
          <c:idx val="2"/>
          <c:order val="2"/>
          <c:tx>
            <c:strRef>
              <c:f>'SI_Final Energy'!$E$52</c:f>
              <c:strCache>
                <c:ptCount val="1"/>
                <c:pt idx="0">
                  <c:v>North_TRN</c:v>
                </c:pt>
              </c:strCache>
            </c:strRef>
          </c:tx>
          <c:spPr>
            <a:solidFill>
              <a:schemeClr val="bg1">
                <a:lumMod val="50000"/>
              </a:schemeClr>
            </a:solidFill>
            <a:ln>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Energy'!$F$52:$P$52</c:f>
              <c:numCache>
                <c:formatCode>_-* #\,##0.0_-;\-* #\,##0.0_-;_-* "-"??_-;_-@_-</c:formatCode>
                <c:ptCount val="11"/>
                <c:pt idx="0">
                  <c:v>53.576000000000001</c:v>
                </c:pt>
                <c:pt idx="1">
                  <c:v>53.25</c:v>
                </c:pt>
                <c:pt idx="2">
                  <c:v>58.295000000000002</c:v>
                </c:pt>
                <c:pt idx="3">
                  <c:v>63.863999999999997</c:v>
                </c:pt>
                <c:pt idx="4">
                  <c:v>67.821999999999974</c:v>
                </c:pt>
                <c:pt idx="5">
                  <c:v>68.468000000000004</c:v>
                </c:pt>
                <c:pt idx="6">
                  <c:v>64.623999999999981</c:v>
                </c:pt>
                <c:pt idx="7">
                  <c:v>52.037000000000013</c:v>
                </c:pt>
                <c:pt idx="8">
                  <c:v>40.905000000000001</c:v>
                </c:pt>
                <c:pt idx="9">
                  <c:v>36.343000000000004</c:v>
                </c:pt>
                <c:pt idx="10">
                  <c:v>35.327000000000012</c:v>
                </c:pt>
              </c:numCache>
            </c:numRef>
          </c:val>
        </c:ser>
        <c:ser>
          <c:idx val="3"/>
          <c:order val="3"/>
          <c:tx>
            <c:strRef>
              <c:f>'SI_Final Energy'!$E$63</c:f>
              <c:strCache>
                <c:ptCount val="1"/>
                <c:pt idx="0">
                  <c:v>South_IND</c:v>
                </c:pt>
              </c:strCache>
            </c:strRef>
          </c:tx>
          <c:spPr>
            <a:solidFill>
              <a:schemeClr val="accent2">
                <a:lumMod val="20000"/>
                <a:lumOff val="80000"/>
              </a:schemeClr>
            </a:solidFill>
            <a:ln>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Energy'!$F$63:$P$63</c:f>
              <c:numCache>
                <c:formatCode>_-* #\,##0.0_-;\-* #\,##0.0_-;_-* "-"??_-;_-@_-</c:formatCode>
                <c:ptCount val="11"/>
                <c:pt idx="0">
                  <c:v>57.456000000000003</c:v>
                </c:pt>
                <c:pt idx="1">
                  <c:v>78.745999999999995</c:v>
                </c:pt>
                <c:pt idx="2">
                  <c:v>103.012</c:v>
                </c:pt>
                <c:pt idx="3">
                  <c:v>128.77699999999999</c:v>
                </c:pt>
                <c:pt idx="4">
                  <c:v>152.31399999999999</c:v>
                </c:pt>
                <c:pt idx="5">
                  <c:v>173.02</c:v>
                </c:pt>
                <c:pt idx="6">
                  <c:v>190.45800000000011</c:v>
                </c:pt>
                <c:pt idx="7">
                  <c:v>202.226</c:v>
                </c:pt>
                <c:pt idx="8">
                  <c:v>209.774</c:v>
                </c:pt>
                <c:pt idx="9">
                  <c:v>212.935</c:v>
                </c:pt>
                <c:pt idx="10">
                  <c:v>211.892</c:v>
                </c:pt>
              </c:numCache>
            </c:numRef>
          </c:val>
        </c:ser>
        <c:ser>
          <c:idx val="4"/>
          <c:order val="4"/>
          <c:tx>
            <c:strRef>
              <c:f>'SI_Final Energy'!$E$64</c:f>
              <c:strCache>
                <c:ptCount val="1"/>
                <c:pt idx="0">
                  <c:v>South_RC</c:v>
                </c:pt>
              </c:strCache>
            </c:strRef>
          </c:tx>
          <c:spPr>
            <a:solidFill>
              <a:schemeClr val="accent2">
                <a:lumMod val="60000"/>
                <a:lumOff val="40000"/>
              </a:schemeClr>
            </a:solidFill>
            <a:ln>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Energy'!$F$64:$P$64</c:f>
              <c:numCache>
                <c:formatCode>_-* #\,##0.0_-;\-* #\,##0.0_-;_-* "-"??_-;_-@_-</c:formatCode>
                <c:ptCount val="11"/>
                <c:pt idx="0">
                  <c:v>55.792000000000002</c:v>
                </c:pt>
                <c:pt idx="1">
                  <c:v>67.846999999999994</c:v>
                </c:pt>
                <c:pt idx="2">
                  <c:v>74.692999999999998</c:v>
                </c:pt>
                <c:pt idx="3">
                  <c:v>79.099999999999994</c:v>
                </c:pt>
                <c:pt idx="4">
                  <c:v>95.516000000000005</c:v>
                </c:pt>
                <c:pt idx="5">
                  <c:v>111.545</c:v>
                </c:pt>
                <c:pt idx="6">
                  <c:v>127.18</c:v>
                </c:pt>
                <c:pt idx="7">
                  <c:v>145.14699999999999</c:v>
                </c:pt>
                <c:pt idx="8">
                  <c:v>161.834</c:v>
                </c:pt>
                <c:pt idx="9">
                  <c:v>174.988</c:v>
                </c:pt>
                <c:pt idx="10">
                  <c:v>183.04400000000001</c:v>
                </c:pt>
              </c:numCache>
            </c:numRef>
          </c:val>
        </c:ser>
        <c:ser>
          <c:idx val="5"/>
          <c:order val="5"/>
          <c:tx>
            <c:strRef>
              <c:f>'SI_Final Energy'!$E$65</c:f>
              <c:strCache>
                <c:ptCount val="1"/>
                <c:pt idx="0">
                  <c:v>South_TRN</c:v>
                </c:pt>
              </c:strCache>
            </c:strRef>
          </c:tx>
          <c:spPr>
            <a:solidFill>
              <a:schemeClr val="accent2">
                <a:lumMod val="75000"/>
              </a:schemeClr>
            </a:solidFill>
            <a:ln>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Energy'!$F$65:$P$65</c:f>
              <c:numCache>
                <c:formatCode>_-* #\,##0.0_-;\-* #\,##0.0_-;_-* "-"??_-;_-@_-</c:formatCode>
                <c:ptCount val="11"/>
                <c:pt idx="0">
                  <c:v>26.783999999999999</c:v>
                </c:pt>
                <c:pt idx="1">
                  <c:v>35.603000000000009</c:v>
                </c:pt>
                <c:pt idx="2">
                  <c:v>49.223000000000013</c:v>
                </c:pt>
                <c:pt idx="3">
                  <c:v>68.349999999999994</c:v>
                </c:pt>
                <c:pt idx="4">
                  <c:v>91.98</c:v>
                </c:pt>
                <c:pt idx="5">
                  <c:v>108.66500000000001</c:v>
                </c:pt>
                <c:pt idx="6">
                  <c:v>114.67700000000001</c:v>
                </c:pt>
                <c:pt idx="7">
                  <c:v>110.715</c:v>
                </c:pt>
                <c:pt idx="8">
                  <c:v>95.725999999999999</c:v>
                </c:pt>
                <c:pt idx="9">
                  <c:v>90.795000000000002</c:v>
                </c:pt>
                <c:pt idx="10">
                  <c:v>87.058999999999983</c:v>
                </c:pt>
              </c:numCache>
            </c:numRef>
          </c:val>
        </c:ser>
        <c:dLbls>
          <c:showLegendKey val="0"/>
          <c:showVal val="0"/>
          <c:showCatName val="0"/>
          <c:showSerName val="0"/>
          <c:showPercent val="0"/>
          <c:showBubbleSize val="0"/>
        </c:dLbls>
        <c:axId val="302722320"/>
        <c:axId val="302724672"/>
      </c:areaChart>
      <c:catAx>
        <c:axId val="30272232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years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2724672"/>
        <c:crosses val="autoZero"/>
        <c:auto val="1"/>
        <c:lblAlgn val="ctr"/>
        <c:lblOffset val="100"/>
        <c:noMultiLvlLbl val="0"/>
      </c:catAx>
      <c:valAx>
        <c:axId val="302724672"/>
        <c:scaling>
          <c:orientation val="minMax"/>
          <c:max val="140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Final Energy [EJ/yr]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2722320"/>
        <c:crosses val="autoZero"/>
        <c:crossBetween val="midCat"/>
      </c:valAx>
      <c:spPr>
        <a:noFill/>
        <a:ln>
          <a:noFill/>
        </a:ln>
        <a:effectLst/>
      </c:spPr>
    </c:plotArea>
    <c:legend>
      <c:legendPos val="r"/>
      <c:overlay val="0"/>
      <c:spPr>
        <a:noFill/>
        <a:ln w="12700">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'SI_Final Energy'!$E$50</c:f>
              <c:strCache>
                <c:ptCount val="1"/>
                <c:pt idx="0">
                  <c:v>North_IND</c:v>
                </c:pt>
              </c:strCache>
            </c:strRef>
          </c:tx>
          <c:spPr>
            <a:solidFill>
              <a:schemeClr val="bg1">
                <a:lumMod val="75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Energy'!$F$54:$P$54</c:f>
              <c:numCache>
                <c:formatCode>_-* #\,##0.0_-;\-* #\,##0.0_-;_-* "-"??_-;_-@_-</c:formatCode>
                <c:ptCount val="11"/>
                <c:pt idx="0">
                  <c:v>59.397000000000013</c:v>
                </c:pt>
                <c:pt idx="1">
                  <c:v>56.792000000000002</c:v>
                </c:pt>
                <c:pt idx="2">
                  <c:v>60.408000000000001</c:v>
                </c:pt>
                <c:pt idx="3">
                  <c:v>64.099000000000004</c:v>
                </c:pt>
                <c:pt idx="4">
                  <c:v>66.835999999999999</c:v>
                </c:pt>
                <c:pt idx="5">
                  <c:v>68.455000000000013</c:v>
                </c:pt>
                <c:pt idx="6">
                  <c:v>70.861000000000004</c:v>
                </c:pt>
                <c:pt idx="7">
                  <c:v>74.010000000000005</c:v>
                </c:pt>
                <c:pt idx="8">
                  <c:v>76.391999999999996</c:v>
                </c:pt>
                <c:pt idx="9">
                  <c:v>78.554000000000002</c:v>
                </c:pt>
                <c:pt idx="10">
                  <c:v>80.001000000000005</c:v>
                </c:pt>
              </c:numCache>
            </c:numRef>
          </c:val>
        </c:ser>
        <c:ser>
          <c:idx val="1"/>
          <c:order val="1"/>
          <c:tx>
            <c:strRef>
              <c:f>'SI_Final Energy'!$E$51</c:f>
              <c:strCache>
                <c:ptCount val="1"/>
                <c:pt idx="0">
                  <c:v>North_RC</c:v>
                </c:pt>
              </c:strCache>
            </c:strRef>
          </c:tx>
          <c:spPr>
            <a:solidFill>
              <a:schemeClr val="bg1">
                <a:lumMod val="65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Energy'!$F$55:$P$55</c:f>
              <c:numCache>
                <c:formatCode>_-* #\,##0.0_-;\-* #\,##0.0_-;_-* "-"??_-;_-@_-</c:formatCode>
                <c:ptCount val="11"/>
                <c:pt idx="0">
                  <c:v>63.758000000000003</c:v>
                </c:pt>
                <c:pt idx="1">
                  <c:v>63.369</c:v>
                </c:pt>
                <c:pt idx="2">
                  <c:v>70.331999999999994</c:v>
                </c:pt>
                <c:pt idx="3">
                  <c:v>73.287999999999997</c:v>
                </c:pt>
                <c:pt idx="4">
                  <c:v>71.831000000000003</c:v>
                </c:pt>
                <c:pt idx="5">
                  <c:v>72.122999999999976</c:v>
                </c:pt>
                <c:pt idx="6">
                  <c:v>76.282999999999987</c:v>
                </c:pt>
                <c:pt idx="7">
                  <c:v>80.424999999999997</c:v>
                </c:pt>
                <c:pt idx="8">
                  <c:v>84.033000000000001</c:v>
                </c:pt>
                <c:pt idx="9">
                  <c:v>87.353999999999999</c:v>
                </c:pt>
                <c:pt idx="10">
                  <c:v>90.351999999999975</c:v>
                </c:pt>
              </c:numCache>
            </c:numRef>
          </c:val>
        </c:ser>
        <c:ser>
          <c:idx val="2"/>
          <c:order val="2"/>
          <c:tx>
            <c:strRef>
              <c:f>'SI_Final Energy'!$E$52</c:f>
              <c:strCache>
                <c:ptCount val="1"/>
                <c:pt idx="0">
                  <c:v>North_TRN</c:v>
                </c:pt>
              </c:strCache>
            </c:strRef>
          </c:tx>
          <c:spPr>
            <a:solidFill>
              <a:schemeClr val="bg1">
                <a:lumMod val="50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Energy'!$F$56:$P$56</c:f>
              <c:numCache>
                <c:formatCode>_-* #\,##0.0_-;\-* #\,##0.0_-;_-* "-"??_-;_-@_-</c:formatCode>
                <c:ptCount val="11"/>
                <c:pt idx="0">
                  <c:v>53.576000000000001</c:v>
                </c:pt>
                <c:pt idx="1">
                  <c:v>53.220000000000013</c:v>
                </c:pt>
                <c:pt idx="2">
                  <c:v>60.749000000000009</c:v>
                </c:pt>
                <c:pt idx="3">
                  <c:v>67.956999999999994</c:v>
                </c:pt>
                <c:pt idx="4">
                  <c:v>74.857999999999976</c:v>
                </c:pt>
                <c:pt idx="5">
                  <c:v>77.27</c:v>
                </c:pt>
                <c:pt idx="6">
                  <c:v>73.415000000000006</c:v>
                </c:pt>
                <c:pt idx="7">
                  <c:v>66.373999999999981</c:v>
                </c:pt>
                <c:pt idx="8">
                  <c:v>67.35899999999998</c:v>
                </c:pt>
                <c:pt idx="9">
                  <c:v>72.694999999999993</c:v>
                </c:pt>
                <c:pt idx="10">
                  <c:v>79.085000000000008</c:v>
                </c:pt>
              </c:numCache>
            </c:numRef>
          </c:val>
        </c:ser>
        <c:ser>
          <c:idx val="3"/>
          <c:order val="3"/>
          <c:tx>
            <c:strRef>
              <c:f>'SI_Final Energy'!$E$63</c:f>
              <c:strCache>
                <c:ptCount val="1"/>
                <c:pt idx="0">
                  <c:v>South_IND</c:v>
                </c:pt>
              </c:strCache>
            </c:strRef>
          </c:tx>
          <c:spPr>
            <a:solidFill>
              <a:schemeClr val="accent2">
                <a:lumMod val="20000"/>
                <a:lumOff val="80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Energy'!$F$67:$P$67</c:f>
              <c:numCache>
                <c:formatCode>_-* #\,##0.0_-;\-* #\,##0.0_-;_-* "-"??_-;_-@_-</c:formatCode>
                <c:ptCount val="11"/>
                <c:pt idx="0">
                  <c:v>57.436999999999998</c:v>
                </c:pt>
                <c:pt idx="1">
                  <c:v>78.198000000000008</c:v>
                </c:pt>
                <c:pt idx="2">
                  <c:v>105.15300000000001</c:v>
                </c:pt>
                <c:pt idx="3">
                  <c:v>130.55600000000001</c:v>
                </c:pt>
                <c:pt idx="4">
                  <c:v>152.29900000000001</c:v>
                </c:pt>
                <c:pt idx="5">
                  <c:v>173.136</c:v>
                </c:pt>
                <c:pt idx="6">
                  <c:v>195.27699999999999</c:v>
                </c:pt>
                <c:pt idx="7">
                  <c:v>214.435</c:v>
                </c:pt>
                <c:pt idx="8">
                  <c:v>232.536</c:v>
                </c:pt>
                <c:pt idx="9">
                  <c:v>249.95699999999999</c:v>
                </c:pt>
                <c:pt idx="10">
                  <c:v>266.59300000000002</c:v>
                </c:pt>
              </c:numCache>
            </c:numRef>
          </c:val>
        </c:ser>
        <c:ser>
          <c:idx val="4"/>
          <c:order val="4"/>
          <c:tx>
            <c:strRef>
              <c:f>'SI_Final Energy'!$E$64</c:f>
              <c:strCache>
                <c:ptCount val="1"/>
                <c:pt idx="0">
                  <c:v>South_RC</c:v>
                </c:pt>
              </c:strCache>
            </c:strRef>
          </c:tx>
          <c:spPr>
            <a:solidFill>
              <a:schemeClr val="accent2">
                <a:lumMod val="60000"/>
                <a:lumOff val="40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Energy'!$F$68:$P$68</c:f>
              <c:numCache>
                <c:formatCode>_-* #\,##0.0_-;\-* #\,##0.0_-;_-* "-"??_-;_-@_-</c:formatCode>
                <c:ptCount val="11"/>
                <c:pt idx="0">
                  <c:v>55.792000000000002</c:v>
                </c:pt>
                <c:pt idx="1">
                  <c:v>67.921000000000006</c:v>
                </c:pt>
                <c:pt idx="2">
                  <c:v>81.963999999999999</c:v>
                </c:pt>
                <c:pt idx="3">
                  <c:v>99.651999999999987</c:v>
                </c:pt>
                <c:pt idx="4">
                  <c:v>120.328</c:v>
                </c:pt>
                <c:pt idx="5">
                  <c:v>137.47499999999999</c:v>
                </c:pt>
                <c:pt idx="6">
                  <c:v>158.375</c:v>
                </c:pt>
                <c:pt idx="7">
                  <c:v>183.274</c:v>
                </c:pt>
                <c:pt idx="8">
                  <c:v>206.95599999999999</c:v>
                </c:pt>
                <c:pt idx="9">
                  <c:v>233.38600000000011</c:v>
                </c:pt>
                <c:pt idx="10">
                  <c:v>265.70699999999988</c:v>
                </c:pt>
              </c:numCache>
            </c:numRef>
          </c:val>
        </c:ser>
        <c:ser>
          <c:idx val="5"/>
          <c:order val="5"/>
          <c:tx>
            <c:strRef>
              <c:f>'SI_Final Energy'!$E$65</c:f>
              <c:strCache>
                <c:ptCount val="1"/>
                <c:pt idx="0">
                  <c:v>South_TRN</c:v>
                </c:pt>
              </c:strCache>
            </c:strRef>
          </c:tx>
          <c:spPr>
            <a:solidFill>
              <a:schemeClr val="accent2">
                <a:lumMod val="75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Energy'!$F$69:$P$69</c:f>
              <c:numCache>
                <c:formatCode>_-* #\,##0.0_-;\-* #\,##0.0_-;_-* "-"??_-;_-@_-</c:formatCode>
                <c:ptCount val="11"/>
                <c:pt idx="0">
                  <c:v>26.783999999999999</c:v>
                </c:pt>
                <c:pt idx="1">
                  <c:v>35.554000000000002</c:v>
                </c:pt>
                <c:pt idx="2">
                  <c:v>50.645000000000003</c:v>
                </c:pt>
                <c:pt idx="3">
                  <c:v>70.426000000000002</c:v>
                </c:pt>
                <c:pt idx="4">
                  <c:v>88.423000000000002</c:v>
                </c:pt>
                <c:pt idx="5">
                  <c:v>101.508</c:v>
                </c:pt>
                <c:pt idx="6">
                  <c:v>104.024</c:v>
                </c:pt>
                <c:pt idx="7">
                  <c:v>111.80500000000001</c:v>
                </c:pt>
                <c:pt idx="8">
                  <c:v>131.46199999999999</c:v>
                </c:pt>
                <c:pt idx="9">
                  <c:v>153.34200000000001</c:v>
                </c:pt>
                <c:pt idx="10">
                  <c:v>177.59</c:v>
                </c:pt>
              </c:numCache>
            </c:numRef>
          </c:val>
        </c:ser>
        <c:dLbls>
          <c:showLegendKey val="0"/>
          <c:showVal val="0"/>
          <c:showCatName val="0"/>
          <c:showSerName val="0"/>
          <c:showPercent val="0"/>
          <c:showBubbleSize val="0"/>
        </c:dLbls>
        <c:axId val="302723104"/>
        <c:axId val="310303752"/>
      </c:areaChart>
      <c:catAx>
        <c:axId val="3027231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years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0303752"/>
        <c:crosses val="autoZero"/>
        <c:auto val="1"/>
        <c:lblAlgn val="ctr"/>
        <c:lblOffset val="100"/>
        <c:noMultiLvlLbl val="0"/>
      </c:catAx>
      <c:valAx>
        <c:axId val="310303752"/>
        <c:scaling>
          <c:orientation val="minMax"/>
          <c:max val="1400"/>
        </c:scaling>
        <c:delete val="0"/>
        <c:axPos val="l"/>
        <c:majorGridlines>
          <c:spPr>
            <a:ln w="9525" cap="flat" cmpd="sng" algn="ctr">
              <a:solidFill>
                <a:schemeClr val="bg1">
                  <a:lumMod val="65000"/>
                </a:schemeClr>
              </a:solidFill>
              <a:prstDash val="dash"/>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Final Energy [EJ/yr]</a:t>
                </a:r>
                <a:endParaRPr lang="en-US"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2723104"/>
        <c:crosses val="autoZero"/>
        <c:crossBetween val="midCat"/>
      </c:valAx>
      <c:spPr>
        <a:noFill/>
        <a:ln>
          <a:noFill/>
        </a:ln>
        <a:effectLst/>
      </c:spPr>
    </c:plotArea>
    <c:legend>
      <c:legendPos val="r"/>
      <c:overlay val="0"/>
      <c:spPr>
        <a:noFill/>
        <a:ln w="12700">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'SI_Final Energy'!$E$50</c:f>
              <c:strCache>
                <c:ptCount val="1"/>
                <c:pt idx="0">
                  <c:v>North_IND</c:v>
                </c:pt>
              </c:strCache>
            </c:strRef>
          </c:tx>
          <c:spPr>
            <a:solidFill>
              <a:schemeClr val="bg1">
                <a:lumMod val="75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Energy'!$F$58:$P$58</c:f>
              <c:numCache>
                <c:formatCode>_-* #\,##0.0_-;\-* #\,##0.0_-;_-* "-"??_-;_-@_-</c:formatCode>
                <c:ptCount val="11"/>
                <c:pt idx="0">
                  <c:v>59.414999999999999</c:v>
                </c:pt>
                <c:pt idx="1">
                  <c:v>56.741</c:v>
                </c:pt>
                <c:pt idx="2">
                  <c:v>64.412000000000006</c:v>
                </c:pt>
                <c:pt idx="3">
                  <c:v>68.319999999999993</c:v>
                </c:pt>
                <c:pt idx="4">
                  <c:v>69.784999999999997</c:v>
                </c:pt>
                <c:pt idx="5">
                  <c:v>69.563000000000002</c:v>
                </c:pt>
                <c:pt idx="6">
                  <c:v>70.056000000000012</c:v>
                </c:pt>
                <c:pt idx="7">
                  <c:v>70.109000000000009</c:v>
                </c:pt>
                <c:pt idx="8">
                  <c:v>69.034999999999997</c:v>
                </c:pt>
                <c:pt idx="9">
                  <c:v>67.415999999999997</c:v>
                </c:pt>
                <c:pt idx="10">
                  <c:v>65.471000000000004</c:v>
                </c:pt>
              </c:numCache>
            </c:numRef>
          </c:val>
        </c:ser>
        <c:ser>
          <c:idx val="1"/>
          <c:order val="1"/>
          <c:tx>
            <c:strRef>
              <c:f>'SI_Final Energy'!$E$51</c:f>
              <c:strCache>
                <c:ptCount val="1"/>
                <c:pt idx="0">
                  <c:v>North_RC</c:v>
                </c:pt>
              </c:strCache>
            </c:strRef>
          </c:tx>
          <c:spPr>
            <a:solidFill>
              <a:schemeClr val="bg1">
                <a:lumMod val="65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Energy'!$F$59:$P$59</c:f>
              <c:numCache>
                <c:formatCode>_-* #\,##0.0_-;\-* #\,##0.0_-;_-* "-"??_-;_-@_-</c:formatCode>
                <c:ptCount val="11"/>
                <c:pt idx="0">
                  <c:v>63.758000000000003</c:v>
                </c:pt>
                <c:pt idx="1">
                  <c:v>63.350999999999999</c:v>
                </c:pt>
                <c:pt idx="2">
                  <c:v>76.08</c:v>
                </c:pt>
                <c:pt idx="3">
                  <c:v>83.64500000000001</c:v>
                </c:pt>
                <c:pt idx="4">
                  <c:v>82.763000000000005</c:v>
                </c:pt>
                <c:pt idx="5">
                  <c:v>80.344000000000023</c:v>
                </c:pt>
                <c:pt idx="6">
                  <c:v>81.86</c:v>
                </c:pt>
                <c:pt idx="7">
                  <c:v>83.85</c:v>
                </c:pt>
                <c:pt idx="8">
                  <c:v>84.616</c:v>
                </c:pt>
                <c:pt idx="9">
                  <c:v>85.542000000000002</c:v>
                </c:pt>
                <c:pt idx="10">
                  <c:v>87.415000000000006</c:v>
                </c:pt>
              </c:numCache>
            </c:numRef>
          </c:val>
        </c:ser>
        <c:ser>
          <c:idx val="2"/>
          <c:order val="2"/>
          <c:tx>
            <c:strRef>
              <c:f>'SI_Final Energy'!$E$52</c:f>
              <c:strCache>
                <c:ptCount val="1"/>
                <c:pt idx="0">
                  <c:v>North_TRN</c:v>
                </c:pt>
              </c:strCache>
            </c:strRef>
          </c:tx>
          <c:spPr>
            <a:solidFill>
              <a:schemeClr val="bg1">
                <a:lumMod val="50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Energy'!$F$60:$P$60</c:f>
              <c:numCache>
                <c:formatCode>_-* #\,##0.0_-;\-* #\,##0.0_-;_-* "-"??_-;_-@_-</c:formatCode>
                <c:ptCount val="11"/>
                <c:pt idx="0">
                  <c:v>53.576000000000001</c:v>
                </c:pt>
                <c:pt idx="1">
                  <c:v>53.44</c:v>
                </c:pt>
                <c:pt idx="2">
                  <c:v>67.301000000000002</c:v>
                </c:pt>
                <c:pt idx="3">
                  <c:v>79.012</c:v>
                </c:pt>
                <c:pt idx="4">
                  <c:v>87.388000000000005</c:v>
                </c:pt>
                <c:pt idx="5">
                  <c:v>89.845000000000013</c:v>
                </c:pt>
                <c:pt idx="6">
                  <c:v>91.927999999999997</c:v>
                </c:pt>
                <c:pt idx="7">
                  <c:v>95.732000000000014</c:v>
                </c:pt>
                <c:pt idx="8">
                  <c:v>97.421999999999997</c:v>
                </c:pt>
                <c:pt idx="9">
                  <c:v>98.104999999999976</c:v>
                </c:pt>
                <c:pt idx="10">
                  <c:v>98.524000000000001</c:v>
                </c:pt>
              </c:numCache>
            </c:numRef>
          </c:val>
        </c:ser>
        <c:ser>
          <c:idx val="3"/>
          <c:order val="3"/>
          <c:tx>
            <c:strRef>
              <c:f>'SI_Final Energy'!$E$63</c:f>
              <c:strCache>
                <c:ptCount val="1"/>
                <c:pt idx="0">
                  <c:v>South_IND</c:v>
                </c:pt>
              </c:strCache>
            </c:strRef>
          </c:tx>
          <c:spPr>
            <a:solidFill>
              <a:schemeClr val="accent2">
                <a:lumMod val="20000"/>
                <a:lumOff val="80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Energy'!$F$71:$P$71</c:f>
              <c:numCache>
                <c:formatCode>_-* #\,##0.0_-;\-* #\,##0.0_-;_-* "-"??_-;_-@_-</c:formatCode>
                <c:ptCount val="11"/>
                <c:pt idx="0">
                  <c:v>57.449000000000012</c:v>
                </c:pt>
                <c:pt idx="1">
                  <c:v>78.637</c:v>
                </c:pt>
                <c:pt idx="2">
                  <c:v>131.31299999999999</c:v>
                </c:pt>
                <c:pt idx="3">
                  <c:v>173.577</c:v>
                </c:pt>
                <c:pt idx="4">
                  <c:v>204.291</c:v>
                </c:pt>
                <c:pt idx="5">
                  <c:v>227.816</c:v>
                </c:pt>
                <c:pt idx="6">
                  <c:v>254.01599999999999</c:v>
                </c:pt>
                <c:pt idx="7">
                  <c:v>280.79599999999988</c:v>
                </c:pt>
                <c:pt idx="8">
                  <c:v>307.529</c:v>
                </c:pt>
                <c:pt idx="9">
                  <c:v>336.68200000000002</c:v>
                </c:pt>
                <c:pt idx="10">
                  <c:v>374.99299999999988</c:v>
                </c:pt>
              </c:numCache>
            </c:numRef>
          </c:val>
        </c:ser>
        <c:ser>
          <c:idx val="4"/>
          <c:order val="4"/>
          <c:tx>
            <c:strRef>
              <c:f>'SI_Final Energy'!$E$64</c:f>
              <c:strCache>
                <c:ptCount val="1"/>
                <c:pt idx="0">
                  <c:v>South_RC</c:v>
                </c:pt>
              </c:strCache>
            </c:strRef>
          </c:tx>
          <c:spPr>
            <a:solidFill>
              <a:schemeClr val="accent2">
                <a:lumMod val="60000"/>
                <a:lumOff val="40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Energy'!$F$72:$P$72</c:f>
              <c:numCache>
                <c:formatCode>_-* #\,##0.0_-;\-* #\,##0.0_-;_-* "-"??_-;_-@_-</c:formatCode>
                <c:ptCount val="11"/>
                <c:pt idx="0">
                  <c:v>55.792000000000002</c:v>
                </c:pt>
                <c:pt idx="1">
                  <c:v>68.222000000000008</c:v>
                </c:pt>
                <c:pt idx="2">
                  <c:v>95.347000000000023</c:v>
                </c:pt>
                <c:pt idx="3">
                  <c:v>121.262</c:v>
                </c:pt>
                <c:pt idx="4">
                  <c:v>138.54900000000001</c:v>
                </c:pt>
                <c:pt idx="5">
                  <c:v>156.07499999999999</c:v>
                </c:pt>
                <c:pt idx="6">
                  <c:v>173.37700000000001</c:v>
                </c:pt>
                <c:pt idx="7">
                  <c:v>195.155</c:v>
                </c:pt>
                <c:pt idx="8">
                  <c:v>221.79400000000001</c:v>
                </c:pt>
                <c:pt idx="9">
                  <c:v>250.16300000000001</c:v>
                </c:pt>
                <c:pt idx="10">
                  <c:v>277.39299999999997</c:v>
                </c:pt>
              </c:numCache>
            </c:numRef>
          </c:val>
        </c:ser>
        <c:ser>
          <c:idx val="5"/>
          <c:order val="5"/>
          <c:tx>
            <c:strRef>
              <c:f>'SI_Final Energy'!$E$65</c:f>
              <c:strCache>
                <c:ptCount val="1"/>
                <c:pt idx="0">
                  <c:v>South_TRN</c:v>
                </c:pt>
              </c:strCache>
            </c:strRef>
          </c:tx>
          <c:spPr>
            <a:solidFill>
              <a:schemeClr val="accent2">
                <a:lumMod val="75000"/>
              </a:schemeClr>
            </a:solidFill>
            <a:ln w="25400">
              <a:noFill/>
            </a:ln>
            <a:effectLst/>
          </c:spPr>
          <c:cat>
            <c:numRef>
              <c:f>'SI_Final Energy'!$F$49:$P$49</c:f>
              <c:numCache>
                <c:formatCode>General</c:formatCode>
                <c:ptCount val="11"/>
                <c:pt idx="0">
                  <c:v>2005</c:v>
                </c:pt>
                <c:pt idx="1">
                  <c:v>2010</c:v>
                </c:pt>
                <c:pt idx="2">
                  <c:v>2020</c:v>
                </c:pt>
                <c:pt idx="3">
                  <c:v>2030</c:v>
                </c:pt>
                <c:pt idx="4">
                  <c:v>2040</c:v>
                </c:pt>
                <c:pt idx="5">
                  <c:v>2050</c:v>
                </c:pt>
                <c:pt idx="6">
                  <c:v>2060</c:v>
                </c:pt>
                <c:pt idx="7">
                  <c:v>2070</c:v>
                </c:pt>
                <c:pt idx="8">
                  <c:v>2080</c:v>
                </c:pt>
                <c:pt idx="9">
                  <c:v>2090</c:v>
                </c:pt>
                <c:pt idx="10">
                  <c:v>2100</c:v>
                </c:pt>
              </c:numCache>
            </c:numRef>
          </c:cat>
          <c:val>
            <c:numRef>
              <c:f>'SI_Final Energy'!$F$73:$P$73</c:f>
              <c:numCache>
                <c:formatCode>_-* #\,##0.0_-;\-* #\,##0.0_-;_-* "-"??_-;_-@_-</c:formatCode>
                <c:ptCount val="11"/>
                <c:pt idx="0">
                  <c:v>26.783999999999999</c:v>
                </c:pt>
                <c:pt idx="1">
                  <c:v>35.590000000000003</c:v>
                </c:pt>
                <c:pt idx="2">
                  <c:v>61.06</c:v>
                </c:pt>
                <c:pt idx="3">
                  <c:v>91.483000000000004</c:v>
                </c:pt>
                <c:pt idx="4">
                  <c:v>112.38</c:v>
                </c:pt>
                <c:pt idx="5">
                  <c:v>128.15700000000001</c:v>
                </c:pt>
                <c:pt idx="6">
                  <c:v>144.95500000000001</c:v>
                </c:pt>
                <c:pt idx="7">
                  <c:v>163.881</c:v>
                </c:pt>
                <c:pt idx="8">
                  <c:v>185.75899999999999</c:v>
                </c:pt>
                <c:pt idx="9">
                  <c:v>210.863</c:v>
                </c:pt>
                <c:pt idx="10">
                  <c:v>240.37299999999999</c:v>
                </c:pt>
              </c:numCache>
            </c:numRef>
          </c:val>
        </c:ser>
        <c:dLbls>
          <c:showLegendKey val="0"/>
          <c:showVal val="0"/>
          <c:showCatName val="0"/>
          <c:showSerName val="0"/>
          <c:showPercent val="0"/>
          <c:showBubbleSize val="0"/>
        </c:dLbls>
        <c:axId val="310303360"/>
        <c:axId val="310302576"/>
      </c:areaChart>
      <c:catAx>
        <c:axId val="3103033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years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0302576"/>
        <c:crosses val="autoZero"/>
        <c:auto val="1"/>
        <c:lblAlgn val="ctr"/>
        <c:lblOffset val="100"/>
        <c:noMultiLvlLbl val="0"/>
      </c:catAx>
      <c:valAx>
        <c:axId val="310302576"/>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Final Energy [EJ/yr]</a:t>
                </a:r>
                <a:endParaRPr lang="en-US"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0303360"/>
        <c:crosses val="autoZero"/>
        <c:crossBetween val="midCat"/>
      </c:valAx>
      <c:spPr>
        <a:noFill/>
        <a:ln>
          <a:noFill/>
        </a:ln>
        <a:effectLst/>
      </c:spPr>
    </c:plotArea>
    <c:legend>
      <c:legendPos val="r"/>
      <c:overlay val="0"/>
      <c:spPr>
        <a:noFill/>
        <a:ln w="12700">
          <a:solidFill>
            <a:schemeClr val="bg1">
              <a:lumMod val="6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'LU-CO2 vs BECCS'!$E$2</c:f>
              <c:strCache>
                <c:ptCount val="1"/>
                <c:pt idx="0">
                  <c:v>SSP1-26</c:v>
                </c:pt>
              </c:strCache>
            </c:strRef>
          </c:tx>
          <c:spPr>
            <a:ln w="19050" cap="rnd">
              <a:solidFill>
                <a:schemeClr val="accent6"/>
              </a:solidFill>
              <a:prstDash val="sysDot"/>
              <a:round/>
            </a:ln>
            <a:effectLst/>
          </c:spPr>
          <c:marker>
            <c:symbol val="none"/>
          </c:marker>
          <c:xVal>
            <c:numRef>
              <c:f>'LU-CO2 vs BECCS'!$F$12:$P$12</c:f>
              <c:numCache>
                <c:formatCode>General</c:formatCode>
                <c:ptCount val="11"/>
                <c:pt idx="0">
                  <c:v>0</c:v>
                </c:pt>
                <c:pt idx="1">
                  <c:v>0</c:v>
                </c:pt>
                <c:pt idx="2">
                  <c:v>0</c:v>
                </c:pt>
                <c:pt idx="3">
                  <c:v>348.95699999999988</c:v>
                </c:pt>
                <c:pt idx="4">
                  <c:v>1431.25</c:v>
                </c:pt>
                <c:pt idx="5">
                  <c:v>3498.88</c:v>
                </c:pt>
                <c:pt idx="6">
                  <c:v>4791.3180000000002</c:v>
                </c:pt>
                <c:pt idx="7">
                  <c:v>6460.7619999999997</c:v>
                </c:pt>
                <c:pt idx="8">
                  <c:v>8259.5110000000004</c:v>
                </c:pt>
                <c:pt idx="9">
                  <c:v>9725.8109999999961</c:v>
                </c:pt>
                <c:pt idx="10">
                  <c:v>10811.992</c:v>
                </c:pt>
              </c:numCache>
            </c:numRef>
          </c:xVal>
          <c:yVal>
            <c:numRef>
              <c:f>'LU-CO2 vs BECCS'!$F$2:$P$2</c:f>
              <c:numCache>
                <c:formatCode>General</c:formatCode>
                <c:ptCount val="11"/>
                <c:pt idx="0">
                  <c:v>6773.9879999999994</c:v>
                </c:pt>
                <c:pt idx="1">
                  <c:v>6921.2439999999997</c:v>
                </c:pt>
                <c:pt idx="2">
                  <c:v>3537.248</c:v>
                </c:pt>
                <c:pt idx="3">
                  <c:v>-590.95699999999988</c:v>
                </c:pt>
                <c:pt idx="4">
                  <c:v>-2057.4589999999998</c:v>
                </c:pt>
                <c:pt idx="5">
                  <c:v>-2980.0439999999999</c:v>
                </c:pt>
                <c:pt idx="6">
                  <c:v>-3864.0239999999999</c:v>
                </c:pt>
                <c:pt idx="7">
                  <c:v>-4143.2969999999996</c:v>
                </c:pt>
                <c:pt idx="8">
                  <c:v>-4156.3280000000004</c:v>
                </c:pt>
                <c:pt idx="9">
                  <c:v>-4241.884</c:v>
                </c:pt>
                <c:pt idx="10">
                  <c:v>-4007.8989999999999</c:v>
                </c:pt>
              </c:numCache>
            </c:numRef>
          </c:yVal>
          <c:smooth val="0"/>
        </c:ser>
        <c:ser>
          <c:idx val="1"/>
          <c:order val="1"/>
          <c:tx>
            <c:strRef>
              <c:f>'LU-CO2 vs BECCS'!$E$3</c:f>
              <c:strCache>
                <c:ptCount val="1"/>
                <c:pt idx="0">
                  <c:v>SSP1-45</c:v>
                </c:pt>
              </c:strCache>
            </c:strRef>
          </c:tx>
          <c:spPr>
            <a:ln w="19050" cap="rnd">
              <a:solidFill>
                <a:schemeClr val="accent6"/>
              </a:solidFill>
              <a:prstDash val="dash"/>
              <a:round/>
            </a:ln>
            <a:effectLst/>
          </c:spPr>
          <c:marker>
            <c:symbol val="none"/>
          </c:marker>
          <c:xVal>
            <c:numRef>
              <c:f>'LU-CO2 vs BECCS'!$F$13:$P$13</c:f>
              <c:numCache>
                <c:formatCode>General</c:formatCode>
                <c:ptCount val="11"/>
                <c:pt idx="0">
                  <c:v>0</c:v>
                </c:pt>
                <c:pt idx="1">
                  <c:v>0</c:v>
                </c:pt>
                <c:pt idx="2">
                  <c:v>0</c:v>
                </c:pt>
                <c:pt idx="3">
                  <c:v>0</c:v>
                </c:pt>
                <c:pt idx="4">
                  <c:v>0</c:v>
                </c:pt>
                <c:pt idx="5">
                  <c:v>113.89400000000001</c:v>
                </c:pt>
                <c:pt idx="6">
                  <c:v>527.69600000000003</c:v>
                </c:pt>
                <c:pt idx="7">
                  <c:v>1574.4190000000001</c:v>
                </c:pt>
                <c:pt idx="8">
                  <c:v>3485.3679999999999</c:v>
                </c:pt>
                <c:pt idx="9">
                  <c:v>5170.433</c:v>
                </c:pt>
                <c:pt idx="10">
                  <c:v>6121.1589999999997</c:v>
                </c:pt>
              </c:numCache>
            </c:numRef>
          </c:xVal>
          <c:yVal>
            <c:numRef>
              <c:f>'LU-CO2 vs BECCS'!$F$3:$Q$3</c:f>
              <c:numCache>
                <c:formatCode>General</c:formatCode>
                <c:ptCount val="12"/>
                <c:pt idx="0">
                  <c:v>6773.9879999999994</c:v>
                </c:pt>
                <c:pt idx="1">
                  <c:v>6921.2439999999997</c:v>
                </c:pt>
                <c:pt idx="2">
                  <c:v>5334.8760000000002</c:v>
                </c:pt>
                <c:pt idx="3">
                  <c:v>3011.7339999999999</c:v>
                </c:pt>
                <c:pt idx="4">
                  <c:v>639.67899999999997</c:v>
                </c:pt>
                <c:pt idx="5">
                  <c:v>-1169.5640000000001</c:v>
                </c:pt>
                <c:pt idx="6">
                  <c:v>-2626.7220000000002</c:v>
                </c:pt>
                <c:pt idx="7">
                  <c:v>-3650.3519999999999</c:v>
                </c:pt>
                <c:pt idx="8">
                  <c:v>-4323.9219999999996</c:v>
                </c:pt>
                <c:pt idx="9">
                  <c:v>-4457.5659999999998</c:v>
                </c:pt>
                <c:pt idx="10">
                  <c:v>-4323.1530000000002</c:v>
                </c:pt>
              </c:numCache>
            </c:numRef>
          </c:yVal>
          <c:smooth val="0"/>
        </c:ser>
        <c:ser>
          <c:idx val="2"/>
          <c:order val="2"/>
          <c:tx>
            <c:strRef>
              <c:f>'LU-CO2 vs BECCS'!$E$4</c:f>
              <c:strCache>
                <c:ptCount val="1"/>
                <c:pt idx="0">
                  <c:v>SSP1-Ref</c:v>
                </c:pt>
              </c:strCache>
            </c:strRef>
          </c:tx>
          <c:spPr>
            <a:ln w="19050" cap="rnd">
              <a:solidFill>
                <a:schemeClr val="accent6"/>
              </a:solidFill>
              <a:round/>
            </a:ln>
            <a:effectLst/>
          </c:spPr>
          <c:marker>
            <c:symbol val="none"/>
          </c:marker>
          <c:xVal>
            <c:numRef>
              <c:f>'LU-CO2 vs BECCS'!$F$14:$P$14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'LU-CO2 vs BECCS'!$F$4:$P$4</c:f>
              <c:numCache>
                <c:formatCode>General</c:formatCode>
                <c:ptCount val="11"/>
                <c:pt idx="0">
                  <c:v>6774.0430000000006</c:v>
                </c:pt>
                <c:pt idx="1">
                  <c:v>6921.3540000000003</c:v>
                </c:pt>
                <c:pt idx="2">
                  <c:v>5878.0630000000001</c:v>
                </c:pt>
                <c:pt idx="3">
                  <c:v>4274.0559999999996</c:v>
                </c:pt>
                <c:pt idx="4">
                  <c:v>3329.206999999999</c:v>
                </c:pt>
                <c:pt idx="5">
                  <c:v>1972.4690000000001</c:v>
                </c:pt>
                <c:pt idx="6">
                  <c:v>739.03199999999993</c:v>
                </c:pt>
                <c:pt idx="7">
                  <c:v>-442.42099999999988</c:v>
                </c:pt>
                <c:pt idx="8">
                  <c:v>-1122.3699999999999</c:v>
                </c:pt>
                <c:pt idx="9">
                  <c:v>-1196.2170000000001</c:v>
                </c:pt>
                <c:pt idx="10">
                  <c:v>-1634.434</c:v>
                </c:pt>
              </c:numCache>
            </c:numRef>
          </c:yVal>
          <c:smooth val="0"/>
        </c:ser>
        <c:ser>
          <c:idx val="3"/>
          <c:order val="3"/>
          <c:tx>
            <c:strRef>
              <c:f>'LU-CO2 vs BECCS'!$E$5</c:f>
              <c:strCache>
                <c:ptCount val="1"/>
                <c:pt idx="0">
                  <c:v>SSP2-26</c:v>
                </c:pt>
              </c:strCache>
            </c:strRef>
          </c:tx>
          <c:spPr>
            <a:ln w="19050" cap="rnd">
              <a:solidFill>
                <a:schemeClr val="accent5"/>
              </a:solidFill>
              <a:prstDash val="sysDot"/>
              <a:round/>
            </a:ln>
            <a:effectLst/>
          </c:spPr>
          <c:marker>
            <c:symbol val="none"/>
          </c:marker>
          <c:xVal>
            <c:numRef>
              <c:f>'LU-CO2 vs BECCS'!$F$15:$P$15</c:f>
              <c:numCache>
                <c:formatCode>General</c:formatCode>
                <c:ptCount val="11"/>
                <c:pt idx="0">
                  <c:v>0</c:v>
                </c:pt>
                <c:pt idx="1">
                  <c:v>0</c:v>
                </c:pt>
                <c:pt idx="2">
                  <c:v>0</c:v>
                </c:pt>
                <c:pt idx="3">
                  <c:v>63.103000000000002</c:v>
                </c:pt>
                <c:pt idx="4">
                  <c:v>265.85500000000002</c:v>
                </c:pt>
                <c:pt idx="5">
                  <c:v>902.8359999999999</c:v>
                </c:pt>
                <c:pt idx="6">
                  <c:v>2675.668999999999</c:v>
                </c:pt>
                <c:pt idx="7">
                  <c:v>6570.9049999999997</c:v>
                </c:pt>
                <c:pt idx="8">
                  <c:v>9721.0010000000002</c:v>
                </c:pt>
                <c:pt idx="9">
                  <c:v>10982.312</c:v>
                </c:pt>
                <c:pt idx="10">
                  <c:v>11919.574000000001</c:v>
                </c:pt>
              </c:numCache>
            </c:numRef>
          </c:xVal>
          <c:yVal>
            <c:numRef>
              <c:f>'LU-CO2 vs BECCS'!$F$5:$P$5</c:f>
              <c:numCache>
                <c:formatCode>General</c:formatCode>
                <c:ptCount val="11"/>
                <c:pt idx="0">
                  <c:v>6772.68</c:v>
                </c:pt>
                <c:pt idx="1">
                  <c:v>6918.6289999999999</c:v>
                </c:pt>
                <c:pt idx="2">
                  <c:v>6066.9089999999997</c:v>
                </c:pt>
                <c:pt idx="3">
                  <c:v>660.00900000000001</c:v>
                </c:pt>
                <c:pt idx="4">
                  <c:v>-1165.3209999999999</c:v>
                </c:pt>
                <c:pt idx="5">
                  <c:v>-2396.636</c:v>
                </c:pt>
                <c:pt idx="6">
                  <c:v>-3482.5529999999999</c:v>
                </c:pt>
                <c:pt idx="7">
                  <c:v>-3797.4180000000001</c:v>
                </c:pt>
                <c:pt idx="8">
                  <c:v>-3758.3150000000001</c:v>
                </c:pt>
                <c:pt idx="9">
                  <c:v>-3550.366</c:v>
                </c:pt>
                <c:pt idx="10">
                  <c:v>-3672.5010000000002</c:v>
                </c:pt>
              </c:numCache>
            </c:numRef>
          </c:yVal>
          <c:smooth val="0"/>
        </c:ser>
        <c:ser>
          <c:idx val="4"/>
          <c:order val="4"/>
          <c:tx>
            <c:strRef>
              <c:f>'LU-CO2 vs BECCS'!$E$6</c:f>
              <c:strCache>
                <c:ptCount val="1"/>
                <c:pt idx="0">
                  <c:v>SSP2-45</c:v>
                </c:pt>
              </c:strCache>
            </c:strRef>
          </c:tx>
          <c:spPr>
            <a:ln w="19050" cap="rnd">
              <a:solidFill>
                <a:schemeClr val="accent5"/>
              </a:solidFill>
              <a:prstDash val="dash"/>
              <a:round/>
            </a:ln>
            <a:effectLst/>
          </c:spPr>
          <c:marker>
            <c:symbol val="none"/>
          </c:marker>
          <c:xVal>
            <c:numRef>
              <c:f>'LU-CO2 vs BECCS'!$F$16:$P$16</c:f>
              <c:numCache>
                <c:formatCode>General</c:formatCode>
                <c:ptCount val="11"/>
                <c:pt idx="0">
                  <c:v>0</c:v>
                </c:pt>
                <c:pt idx="1">
                  <c:v>0</c:v>
                </c:pt>
                <c:pt idx="2">
                  <c:v>0</c:v>
                </c:pt>
                <c:pt idx="3">
                  <c:v>12.041</c:v>
                </c:pt>
                <c:pt idx="4">
                  <c:v>58.865000000000002</c:v>
                </c:pt>
                <c:pt idx="5">
                  <c:v>241.16</c:v>
                </c:pt>
                <c:pt idx="6">
                  <c:v>828.65599999999984</c:v>
                </c:pt>
                <c:pt idx="7">
                  <c:v>2122.7869999999989</c:v>
                </c:pt>
                <c:pt idx="8">
                  <c:v>4152.13</c:v>
                </c:pt>
                <c:pt idx="9">
                  <c:v>5896.3519999999999</c:v>
                </c:pt>
                <c:pt idx="10">
                  <c:v>6798.9719999999998</c:v>
                </c:pt>
              </c:numCache>
            </c:numRef>
          </c:xVal>
          <c:yVal>
            <c:numRef>
              <c:f>'LU-CO2 vs BECCS'!$F$6:$P$6</c:f>
              <c:numCache>
                <c:formatCode>General</c:formatCode>
                <c:ptCount val="11"/>
                <c:pt idx="0">
                  <c:v>6772.68</c:v>
                </c:pt>
                <c:pt idx="1">
                  <c:v>6918.6289999999999</c:v>
                </c:pt>
                <c:pt idx="2">
                  <c:v>6066.9120000000003</c:v>
                </c:pt>
                <c:pt idx="3">
                  <c:v>3591.02</c:v>
                </c:pt>
                <c:pt idx="4">
                  <c:v>1711.7650000000001</c:v>
                </c:pt>
                <c:pt idx="5">
                  <c:v>-904.16199999999992</c:v>
                </c:pt>
                <c:pt idx="6">
                  <c:v>-2314.681</c:v>
                </c:pt>
                <c:pt idx="7">
                  <c:v>-3050.8110000000001</c:v>
                </c:pt>
                <c:pt idx="8">
                  <c:v>-4129.5550000000003</c:v>
                </c:pt>
                <c:pt idx="9">
                  <c:v>-4785.165</c:v>
                </c:pt>
                <c:pt idx="10">
                  <c:v>-5150.28</c:v>
                </c:pt>
              </c:numCache>
            </c:numRef>
          </c:yVal>
          <c:smooth val="0"/>
        </c:ser>
        <c:ser>
          <c:idx val="5"/>
          <c:order val="5"/>
          <c:tx>
            <c:strRef>
              <c:f>'LU-CO2 vs BECCS'!$E$7</c:f>
              <c:strCache>
                <c:ptCount val="1"/>
                <c:pt idx="0">
                  <c:v>SSP2-Ref</c:v>
                </c:pt>
              </c:strCache>
            </c:strRef>
          </c:tx>
          <c:spPr>
            <a:ln w="19050" cap="rnd">
              <a:solidFill>
                <a:schemeClr val="accent5"/>
              </a:solidFill>
              <a:round/>
            </a:ln>
            <a:effectLst/>
          </c:spPr>
          <c:marker>
            <c:symbol val="none"/>
          </c:marker>
          <c:xVal>
            <c:numRef>
              <c:f>'LU-CO2 vs BECCS'!$F$17:$P$17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'LU-CO2 vs BECCS'!$F$7:$P$7</c:f>
              <c:numCache>
                <c:formatCode>General</c:formatCode>
                <c:ptCount val="11"/>
                <c:pt idx="0">
                  <c:v>6772.68</c:v>
                </c:pt>
                <c:pt idx="1">
                  <c:v>6918.6289999999999</c:v>
                </c:pt>
                <c:pt idx="2">
                  <c:v>5935.9530000000004</c:v>
                </c:pt>
                <c:pt idx="3">
                  <c:v>4719.3270000000002</c:v>
                </c:pt>
                <c:pt idx="4">
                  <c:v>4176.1549999999997</c:v>
                </c:pt>
                <c:pt idx="5">
                  <c:v>3032.7139999999999</c:v>
                </c:pt>
                <c:pt idx="6">
                  <c:v>2073.7040000000002</c:v>
                </c:pt>
                <c:pt idx="7">
                  <c:v>1043.296</c:v>
                </c:pt>
                <c:pt idx="8">
                  <c:v>-291.61</c:v>
                </c:pt>
                <c:pt idx="9">
                  <c:v>-1164.4079999999999</c:v>
                </c:pt>
                <c:pt idx="10">
                  <c:v>-1813.1220000000001</c:v>
                </c:pt>
              </c:numCache>
            </c:numRef>
          </c:yVal>
          <c:smooth val="0"/>
        </c:ser>
        <c:ser>
          <c:idx val="7"/>
          <c:order val="6"/>
          <c:tx>
            <c:strRef>
              <c:f>'LU-CO2 vs BECCS'!$E$9</c:f>
              <c:strCache>
                <c:ptCount val="1"/>
                <c:pt idx="0">
                  <c:v>SSP3-45</c:v>
                </c:pt>
              </c:strCache>
            </c:strRef>
          </c:tx>
          <c:spPr>
            <a:ln w="19050" cap="rnd">
              <a:solidFill>
                <a:srgbClr val="FF0000"/>
              </a:solidFill>
              <a:prstDash val="dash"/>
              <a:round/>
            </a:ln>
            <a:effectLst/>
          </c:spPr>
          <c:marker>
            <c:symbol val="none"/>
          </c:marker>
          <c:xVal>
            <c:numRef>
              <c:f>'LU-CO2 vs BECCS'!$F$19:$P$19</c:f>
              <c:numCache>
                <c:formatCode>General</c:formatCode>
                <c:ptCount val="11"/>
                <c:pt idx="0">
                  <c:v>0</c:v>
                </c:pt>
                <c:pt idx="1">
                  <c:v>0</c:v>
                </c:pt>
                <c:pt idx="2">
                  <c:v>0</c:v>
                </c:pt>
                <c:pt idx="3">
                  <c:v>227.982</c:v>
                </c:pt>
                <c:pt idx="4">
                  <c:v>900.86300000000006</c:v>
                </c:pt>
                <c:pt idx="5">
                  <c:v>2705.6</c:v>
                </c:pt>
                <c:pt idx="6">
                  <c:v>5274.1549999999997</c:v>
                </c:pt>
                <c:pt idx="7">
                  <c:v>8160.0020000000004</c:v>
                </c:pt>
                <c:pt idx="8">
                  <c:v>10362.814</c:v>
                </c:pt>
                <c:pt idx="9">
                  <c:v>11933.108</c:v>
                </c:pt>
                <c:pt idx="10">
                  <c:v>12984.734</c:v>
                </c:pt>
              </c:numCache>
            </c:numRef>
          </c:xVal>
          <c:yVal>
            <c:numRef>
              <c:f>'LU-CO2 vs BECCS'!$F$9:$P$9</c:f>
              <c:numCache>
                <c:formatCode>General</c:formatCode>
                <c:ptCount val="11"/>
                <c:pt idx="0">
                  <c:v>6774.0430000000006</c:v>
                </c:pt>
                <c:pt idx="1">
                  <c:v>6921.3540000000003</c:v>
                </c:pt>
                <c:pt idx="2">
                  <c:v>5522.6940000000004</c:v>
                </c:pt>
                <c:pt idx="3">
                  <c:v>3889.81</c:v>
                </c:pt>
                <c:pt idx="4">
                  <c:v>2514.2440000000001</c:v>
                </c:pt>
                <c:pt idx="5">
                  <c:v>1532.67</c:v>
                </c:pt>
                <c:pt idx="6">
                  <c:v>-378.185</c:v>
                </c:pt>
                <c:pt idx="7">
                  <c:v>-1416.9359999999999</c:v>
                </c:pt>
                <c:pt idx="8">
                  <c:v>-1289.7349999999999</c:v>
                </c:pt>
                <c:pt idx="9">
                  <c:v>-944.8309999999999</c:v>
                </c:pt>
                <c:pt idx="10">
                  <c:v>-813.90599999999984</c:v>
                </c:pt>
              </c:numCache>
            </c:numRef>
          </c:yVal>
          <c:smooth val="0"/>
        </c:ser>
        <c:ser>
          <c:idx val="8"/>
          <c:order val="7"/>
          <c:tx>
            <c:strRef>
              <c:f>'LU-CO2 vs BECCS'!$E$10</c:f>
              <c:strCache>
                <c:ptCount val="1"/>
                <c:pt idx="0">
                  <c:v>SSP3-Ref</c:v>
                </c:pt>
              </c:strCache>
            </c:strRef>
          </c:tx>
          <c:spPr>
            <a:ln w="19050" cap="rnd">
              <a:solidFill>
                <a:srgbClr val="FF0000"/>
              </a:solidFill>
              <a:round/>
            </a:ln>
            <a:effectLst/>
          </c:spPr>
          <c:marker>
            <c:symbol val="none"/>
          </c:marker>
          <c:xVal>
            <c:numRef>
              <c:f>'LU-CO2 vs BECCS'!$F$20:$P$20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'LU-CO2 vs BECCS'!$F$10:$P$10</c:f>
              <c:numCache>
                <c:formatCode>General</c:formatCode>
                <c:ptCount val="11"/>
                <c:pt idx="0">
                  <c:v>6774.0919999999996</c:v>
                </c:pt>
                <c:pt idx="1">
                  <c:v>6921.4520000000002</c:v>
                </c:pt>
                <c:pt idx="2">
                  <c:v>6071.2570000000014</c:v>
                </c:pt>
                <c:pt idx="3">
                  <c:v>5003.8310000000001</c:v>
                </c:pt>
                <c:pt idx="4">
                  <c:v>4223.6099999999997</c:v>
                </c:pt>
                <c:pt idx="5">
                  <c:v>3861.87</c:v>
                </c:pt>
                <c:pt idx="6">
                  <c:v>2737.43</c:v>
                </c:pt>
                <c:pt idx="7">
                  <c:v>1628.393</c:v>
                </c:pt>
                <c:pt idx="8">
                  <c:v>1341.1990000000001</c:v>
                </c:pt>
                <c:pt idx="9">
                  <c:v>935.8649999999999</c:v>
                </c:pt>
                <c:pt idx="10">
                  <c:v>389.71800000000002</c:v>
                </c:pt>
              </c:numCache>
            </c:numRef>
          </c:yVal>
          <c:smooth val="0"/>
        </c:ser>
        <c:dLbls>
          <c:showLegendKey val="0"/>
          <c:showVal val="0"/>
          <c:showCatName val="0"/>
          <c:showSerName val="0"/>
          <c:showPercent val="0"/>
          <c:showBubbleSize val="0"/>
        </c:dLbls>
        <c:axId val="310304928"/>
        <c:axId val="310302184"/>
      </c:scatterChart>
      <c:valAx>
        <c:axId val="31030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BECCS</a:t>
                </a:r>
                <a:r>
                  <a:rPr lang="en-US" baseline="0"/>
                  <a:t> </a:t>
                </a:r>
                <a:r>
                  <a:rPr lang="en-US"/>
                  <a:t>[Mt</a:t>
                </a:r>
                <a:r>
                  <a:rPr lang="en-US" baseline="0"/>
                  <a:t>CO2/yr]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02184"/>
        <c:crosses val="autoZero"/>
        <c:crossBetween val="midCat"/>
      </c:valAx>
      <c:valAx>
        <c:axId val="310302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Land-use</a:t>
                </a:r>
                <a:r>
                  <a:rPr lang="en-US" baseline="0"/>
                  <a:t> CO2 [MtCO2/yr]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04928"/>
        <c:crosses val="autoZero"/>
        <c:crossBetween val="midCat"/>
      </c:valAx>
      <c:spPr>
        <a:noFill/>
        <a:ln>
          <a:noFill/>
        </a:ln>
        <a:effectLst/>
      </c:spPr>
    </c:plotArea>
    <c:legend>
      <c:legendPos val="r"/>
      <c:legendEntry>
        <c:idx val="2"/>
        <c:delete val="1"/>
      </c:legendEntry>
      <c:legendEntry>
        <c:idx val="5"/>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'CCS Total vs BECCS'!$E$2</c:f>
              <c:strCache>
                <c:ptCount val="1"/>
                <c:pt idx="0">
                  <c:v>SSP1-26</c:v>
                </c:pt>
              </c:strCache>
            </c:strRef>
          </c:tx>
          <c:spPr>
            <a:ln w="19050" cap="rnd">
              <a:solidFill>
                <a:schemeClr val="accent6"/>
              </a:solidFill>
              <a:prstDash val="sysDot"/>
              <a:round/>
            </a:ln>
            <a:effectLst/>
          </c:spPr>
          <c:marker>
            <c:symbol val="none"/>
          </c:marker>
          <c:xVal>
            <c:numRef>
              <c:f>'CCS Total vs BECCS'!$F$12:$P$12</c:f>
              <c:numCache>
                <c:formatCode>General</c:formatCode>
                <c:ptCount val="11"/>
                <c:pt idx="0">
                  <c:v>0</c:v>
                </c:pt>
                <c:pt idx="1">
                  <c:v>0</c:v>
                </c:pt>
                <c:pt idx="2">
                  <c:v>0</c:v>
                </c:pt>
                <c:pt idx="3">
                  <c:v>348.95699999999988</c:v>
                </c:pt>
                <c:pt idx="4">
                  <c:v>1431.25</c:v>
                </c:pt>
                <c:pt idx="5">
                  <c:v>3498.88</c:v>
                </c:pt>
                <c:pt idx="6">
                  <c:v>4791.3180000000002</c:v>
                </c:pt>
                <c:pt idx="7">
                  <c:v>6460.7619999999997</c:v>
                </c:pt>
                <c:pt idx="8">
                  <c:v>8259.5110000000004</c:v>
                </c:pt>
                <c:pt idx="9">
                  <c:v>9725.8109999999961</c:v>
                </c:pt>
                <c:pt idx="10">
                  <c:v>10811.992</c:v>
                </c:pt>
              </c:numCache>
            </c:numRef>
          </c:xVal>
          <c:yVal>
            <c:numRef>
              <c:f>'CCS Total vs BECCS'!$F$2:$P$2</c:f>
              <c:numCache>
                <c:formatCode>General</c:formatCode>
                <c:ptCount val="11"/>
                <c:pt idx="0">
                  <c:v>0</c:v>
                </c:pt>
                <c:pt idx="1">
                  <c:v>0</c:v>
                </c:pt>
                <c:pt idx="2">
                  <c:v>0</c:v>
                </c:pt>
                <c:pt idx="3">
                  <c:v>739.22900000000004</c:v>
                </c:pt>
                <c:pt idx="4">
                  <c:v>3311.0439999999999</c:v>
                </c:pt>
                <c:pt idx="5">
                  <c:v>8270.1630000000005</c:v>
                </c:pt>
                <c:pt idx="6">
                  <c:v>12284.300999999999</c:v>
                </c:pt>
                <c:pt idx="7">
                  <c:v>13664.745999999999</c:v>
                </c:pt>
                <c:pt idx="8">
                  <c:v>12455.513000000001</c:v>
                </c:pt>
                <c:pt idx="9">
                  <c:v>8718.1459999999952</c:v>
                </c:pt>
                <c:pt idx="10">
                  <c:v>5283.5309999999999</c:v>
                </c:pt>
              </c:numCache>
            </c:numRef>
          </c:yVal>
          <c:smooth val="0"/>
        </c:ser>
        <c:ser>
          <c:idx val="1"/>
          <c:order val="1"/>
          <c:tx>
            <c:strRef>
              <c:f>'CCS Total vs BECCS'!$E$3</c:f>
              <c:strCache>
                <c:ptCount val="1"/>
                <c:pt idx="0">
                  <c:v>SSP1-45</c:v>
                </c:pt>
              </c:strCache>
            </c:strRef>
          </c:tx>
          <c:spPr>
            <a:ln w="19050" cap="rnd">
              <a:solidFill>
                <a:schemeClr val="accent6"/>
              </a:solidFill>
              <a:prstDash val="dash"/>
              <a:round/>
            </a:ln>
            <a:effectLst/>
          </c:spPr>
          <c:marker>
            <c:symbol val="none"/>
          </c:marker>
          <c:xVal>
            <c:numRef>
              <c:f>'CCS Total vs BECCS'!$F$13:$P$13</c:f>
              <c:numCache>
                <c:formatCode>General</c:formatCode>
                <c:ptCount val="11"/>
                <c:pt idx="0">
                  <c:v>0</c:v>
                </c:pt>
                <c:pt idx="1">
                  <c:v>0</c:v>
                </c:pt>
                <c:pt idx="2">
                  <c:v>0</c:v>
                </c:pt>
                <c:pt idx="3">
                  <c:v>0</c:v>
                </c:pt>
                <c:pt idx="4">
                  <c:v>0</c:v>
                </c:pt>
                <c:pt idx="5">
                  <c:v>113.89400000000001</c:v>
                </c:pt>
                <c:pt idx="6">
                  <c:v>527.69600000000003</c:v>
                </c:pt>
                <c:pt idx="7">
                  <c:v>1574.4190000000001</c:v>
                </c:pt>
                <c:pt idx="8">
                  <c:v>3485.3679999999999</c:v>
                </c:pt>
                <c:pt idx="9">
                  <c:v>5170.433</c:v>
                </c:pt>
                <c:pt idx="10">
                  <c:v>6121.1589999999997</c:v>
                </c:pt>
              </c:numCache>
            </c:numRef>
          </c:xVal>
          <c:yVal>
            <c:numRef>
              <c:f>'CCS Total vs BECCS'!$F$3:$Q$3</c:f>
              <c:numCache>
                <c:formatCode>General</c:formatCode>
                <c:ptCount val="12"/>
                <c:pt idx="0">
                  <c:v>0</c:v>
                </c:pt>
                <c:pt idx="1">
                  <c:v>0</c:v>
                </c:pt>
                <c:pt idx="2">
                  <c:v>0</c:v>
                </c:pt>
                <c:pt idx="3">
                  <c:v>24.768000000000001</c:v>
                </c:pt>
                <c:pt idx="4">
                  <c:v>175.25899999999999</c:v>
                </c:pt>
                <c:pt idx="5">
                  <c:v>486.26199999999989</c:v>
                </c:pt>
                <c:pt idx="6">
                  <c:v>1265.5350000000001</c:v>
                </c:pt>
                <c:pt idx="7">
                  <c:v>2800.567</c:v>
                </c:pt>
                <c:pt idx="8">
                  <c:v>5338.1019999999999</c:v>
                </c:pt>
                <c:pt idx="9">
                  <c:v>8665.8839999999946</c:v>
                </c:pt>
                <c:pt idx="10">
                  <c:v>11391.186</c:v>
                </c:pt>
              </c:numCache>
            </c:numRef>
          </c:yVal>
          <c:smooth val="0"/>
        </c:ser>
        <c:ser>
          <c:idx val="2"/>
          <c:order val="2"/>
          <c:tx>
            <c:strRef>
              <c:f>'CCS Total vs BECCS'!$E$4</c:f>
              <c:strCache>
                <c:ptCount val="1"/>
                <c:pt idx="0">
                  <c:v>SSP1-Ref</c:v>
                </c:pt>
              </c:strCache>
            </c:strRef>
          </c:tx>
          <c:spPr>
            <a:ln w="19050" cap="rnd">
              <a:solidFill>
                <a:schemeClr val="accent6"/>
              </a:solidFill>
              <a:round/>
            </a:ln>
            <a:effectLst/>
          </c:spPr>
          <c:marker>
            <c:symbol val="none"/>
          </c:marker>
          <c:xVal>
            <c:numRef>
              <c:f>'CCS Total vs BECCS'!$F$14:$P$14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'CCS Total vs BECCS'!$F$4:$P$4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0"/>
        </c:ser>
        <c:ser>
          <c:idx val="3"/>
          <c:order val="3"/>
          <c:tx>
            <c:strRef>
              <c:f>'CCS Total vs BECCS'!$E$5</c:f>
              <c:strCache>
                <c:ptCount val="1"/>
                <c:pt idx="0">
                  <c:v>SSP2-26</c:v>
                </c:pt>
              </c:strCache>
            </c:strRef>
          </c:tx>
          <c:spPr>
            <a:ln w="19050" cap="rnd">
              <a:solidFill>
                <a:schemeClr val="accent5"/>
              </a:solidFill>
              <a:prstDash val="sysDot"/>
              <a:round/>
            </a:ln>
            <a:effectLst/>
          </c:spPr>
          <c:marker>
            <c:symbol val="none"/>
          </c:marker>
          <c:xVal>
            <c:numRef>
              <c:f>'CCS Total vs BECCS'!$F$15:$P$15</c:f>
              <c:numCache>
                <c:formatCode>General</c:formatCode>
                <c:ptCount val="11"/>
                <c:pt idx="0">
                  <c:v>0</c:v>
                </c:pt>
                <c:pt idx="1">
                  <c:v>0</c:v>
                </c:pt>
                <c:pt idx="2">
                  <c:v>0</c:v>
                </c:pt>
                <c:pt idx="3">
                  <c:v>63.103000000000002</c:v>
                </c:pt>
                <c:pt idx="4">
                  <c:v>265.85500000000002</c:v>
                </c:pt>
                <c:pt idx="5">
                  <c:v>902.8359999999999</c:v>
                </c:pt>
                <c:pt idx="6">
                  <c:v>2675.668999999999</c:v>
                </c:pt>
                <c:pt idx="7">
                  <c:v>6570.9049999999997</c:v>
                </c:pt>
                <c:pt idx="8">
                  <c:v>9721.0010000000002</c:v>
                </c:pt>
                <c:pt idx="9">
                  <c:v>10982.312</c:v>
                </c:pt>
                <c:pt idx="10">
                  <c:v>11919.574000000001</c:v>
                </c:pt>
              </c:numCache>
            </c:numRef>
          </c:xVal>
          <c:yVal>
            <c:numRef>
              <c:f>'CCS Total vs BECCS'!$F$5:$P$5</c:f>
              <c:numCache>
                <c:formatCode>General</c:formatCode>
                <c:ptCount val="11"/>
                <c:pt idx="0">
                  <c:v>0</c:v>
                </c:pt>
                <c:pt idx="1">
                  <c:v>0</c:v>
                </c:pt>
                <c:pt idx="2">
                  <c:v>60.764000000000003</c:v>
                </c:pt>
                <c:pt idx="3">
                  <c:v>1474.6859999999999</c:v>
                </c:pt>
                <c:pt idx="4">
                  <c:v>5233.4560000000001</c:v>
                </c:pt>
                <c:pt idx="5">
                  <c:v>10506.862999999999</c:v>
                </c:pt>
                <c:pt idx="6">
                  <c:v>13570.913</c:v>
                </c:pt>
                <c:pt idx="7">
                  <c:v>14690.441000000001</c:v>
                </c:pt>
                <c:pt idx="8">
                  <c:v>11466.752</c:v>
                </c:pt>
                <c:pt idx="9">
                  <c:v>6835.866</c:v>
                </c:pt>
                <c:pt idx="10">
                  <c:v>4821.9970000000003</c:v>
                </c:pt>
              </c:numCache>
            </c:numRef>
          </c:yVal>
          <c:smooth val="0"/>
        </c:ser>
        <c:ser>
          <c:idx val="4"/>
          <c:order val="4"/>
          <c:tx>
            <c:strRef>
              <c:f>'CCS Total vs BECCS'!$E$6</c:f>
              <c:strCache>
                <c:ptCount val="1"/>
                <c:pt idx="0">
                  <c:v>SSP2-45</c:v>
                </c:pt>
              </c:strCache>
            </c:strRef>
          </c:tx>
          <c:spPr>
            <a:ln w="19050" cap="rnd">
              <a:solidFill>
                <a:schemeClr val="accent5"/>
              </a:solidFill>
              <a:prstDash val="dash"/>
              <a:round/>
            </a:ln>
            <a:effectLst/>
          </c:spPr>
          <c:marker>
            <c:symbol val="none"/>
          </c:marker>
          <c:xVal>
            <c:numRef>
              <c:f>'CCS Total vs BECCS'!$F$16:$P$16</c:f>
              <c:numCache>
                <c:formatCode>General</c:formatCode>
                <c:ptCount val="11"/>
                <c:pt idx="0">
                  <c:v>0</c:v>
                </c:pt>
                <c:pt idx="1">
                  <c:v>0</c:v>
                </c:pt>
                <c:pt idx="2">
                  <c:v>0</c:v>
                </c:pt>
                <c:pt idx="3">
                  <c:v>12.041</c:v>
                </c:pt>
                <c:pt idx="4">
                  <c:v>58.865000000000002</c:v>
                </c:pt>
                <c:pt idx="5">
                  <c:v>241.16</c:v>
                </c:pt>
                <c:pt idx="6">
                  <c:v>828.65599999999984</c:v>
                </c:pt>
                <c:pt idx="7">
                  <c:v>2122.7869999999989</c:v>
                </c:pt>
                <c:pt idx="8">
                  <c:v>4152.13</c:v>
                </c:pt>
                <c:pt idx="9">
                  <c:v>5896.3519999999999</c:v>
                </c:pt>
                <c:pt idx="10">
                  <c:v>6798.9719999999998</c:v>
                </c:pt>
              </c:numCache>
            </c:numRef>
          </c:xVal>
          <c:yVal>
            <c:numRef>
              <c:f>'CCS Total vs BECCS'!$F$6:$P$6</c:f>
              <c:numCache>
                <c:formatCode>General</c:formatCode>
                <c:ptCount val="11"/>
                <c:pt idx="0">
                  <c:v>0</c:v>
                </c:pt>
                <c:pt idx="1">
                  <c:v>0</c:v>
                </c:pt>
                <c:pt idx="2">
                  <c:v>60.701999999999998</c:v>
                </c:pt>
                <c:pt idx="3">
                  <c:v>193.86799999999999</c:v>
                </c:pt>
                <c:pt idx="4">
                  <c:v>562.18399999999997</c:v>
                </c:pt>
                <c:pt idx="5">
                  <c:v>1397.327</c:v>
                </c:pt>
                <c:pt idx="6">
                  <c:v>3407.780999999999</c:v>
                </c:pt>
                <c:pt idx="7">
                  <c:v>7202.2650000000003</c:v>
                </c:pt>
                <c:pt idx="8">
                  <c:v>14197.402999999989</c:v>
                </c:pt>
                <c:pt idx="9">
                  <c:v>19469.578000000001</c:v>
                </c:pt>
                <c:pt idx="10">
                  <c:v>19715.192999999999</c:v>
                </c:pt>
              </c:numCache>
            </c:numRef>
          </c:yVal>
          <c:smooth val="0"/>
        </c:ser>
        <c:ser>
          <c:idx val="5"/>
          <c:order val="5"/>
          <c:tx>
            <c:strRef>
              <c:f>'CCS Total vs BECCS'!$E$7</c:f>
              <c:strCache>
                <c:ptCount val="1"/>
                <c:pt idx="0">
                  <c:v>SSP2-Ref</c:v>
                </c:pt>
              </c:strCache>
            </c:strRef>
          </c:tx>
          <c:spPr>
            <a:ln w="19050" cap="rnd">
              <a:solidFill>
                <a:schemeClr val="accent5"/>
              </a:solidFill>
              <a:round/>
            </a:ln>
            <a:effectLst/>
          </c:spPr>
          <c:marker>
            <c:symbol val="none"/>
          </c:marker>
          <c:xVal>
            <c:numRef>
              <c:f>'CCS Total vs BECCS'!$F$17:$P$17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'CCS Total vs BECCS'!$F$7:$P$7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0"/>
        </c:ser>
        <c:ser>
          <c:idx val="7"/>
          <c:order val="6"/>
          <c:tx>
            <c:strRef>
              <c:f>'CCS Total vs BECCS'!$E$9</c:f>
              <c:strCache>
                <c:ptCount val="1"/>
                <c:pt idx="0">
                  <c:v>SSP3-45</c:v>
                </c:pt>
              </c:strCache>
            </c:strRef>
          </c:tx>
          <c:spPr>
            <a:ln w="19050" cap="rnd">
              <a:solidFill>
                <a:srgbClr val="FF0000"/>
              </a:solidFill>
              <a:prstDash val="dash"/>
              <a:round/>
            </a:ln>
            <a:effectLst/>
          </c:spPr>
          <c:marker>
            <c:symbol val="none"/>
          </c:marker>
          <c:xVal>
            <c:numRef>
              <c:f>'CCS Total vs BECCS'!$F$19:$P$19</c:f>
              <c:numCache>
                <c:formatCode>General</c:formatCode>
                <c:ptCount val="11"/>
                <c:pt idx="0">
                  <c:v>0</c:v>
                </c:pt>
                <c:pt idx="1">
                  <c:v>0</c:v>
                </c:pt>
                <c:pt idx="2">
                  <c:v>0</c:v>
                </c:pt>
                <c:pt idx="3">
                  <c:v>227.982</c:v>
                </c:pt>
                <c:pt idx="4">
                  <c:v>900.86300000000006</c:v>
                </c:pt>
                <c:pt idx="5">
                  <c:v>2705.6</c:v>
                </c:pt>
                <c:pt idx="6">
                  <c:v>5274.1549999999997</c:v>
                </c:pt>
                <c:pt idx="7">
                  <c:v>8160.0020000000004</c:v>
                </c:pt>
                <c:pt idx="8">
                  <c:v>10362.814</c:v>
                </c:pt>
                <c:pt idx="9">
                  <c:v>11933.108</c:v>
                </c:pt>
                <c:pt idx="10">
                  <c:v>12984.734</c:v>
                </c:pt>
              </c:numCache>
            </c:numRef>
          </c:xVal>
          <c:yVal>
            <c:numRef>
              <c:f>'CCS Total vs BECCS'!$F$9:$P$9</c:f>
              <c:numCache>
                <c:formatCode>General</c:formatCode>
                <c:ptCount val="11"/>
                <c:pt idx="0">
                  <c:v>0</c:v>
                </c:pt>
                <c:pt idx="1">
                  <c:v>0</c:v>
                </c:pt>
                <c:pt idx="2">
                  <c:v>192.36799999999999</c:v>
                </c:pt>
                <c:pt idx="3">
                  <c:v>816.69200000000001</c:v>
                </c:pt>
                <c:pt idx="4">
                  <c:v>2965.7579999999998</c:v>
                </c:pt>
                <c:pt idx="5">
                  <c:v>6864.3379999999997</c:v>
                </c:pt>
                <c:pt idx="6">
                  <c:v>9657.7109999999975</c:v>
                </c:pt>
                <c:pt idx="7">
                  <c:v>7661.8410000000003</c:v>
                </c:pt>
                <c:pt idx="8">
                  <c:v>6179.0410000000002</c:v>
                </c:pt>
                <c:pt idx="9">
                  <c:v>6864.7439999999988</c:v>
                </c:pt>
                <c:pt idx="10">
                  <c:v>9024.5279999999948</c:v>
                </c:pt>
              </c:numCache>
            </c:numRef>
          </c:yVal>
          <c:smooth val="0"/>
        </c:ser>
        <c:ser>
          <c:idx val="8"/>
          <c:order val="7"/>
          <c:tx>
            <c:strRef>
              <c:f>'CCS Total vs BECCS'!$E$10</c:f>
              <c:strCache>
                <c:ptCount val="1"/>
                <c:pt idx="0">
                  <c:v>SSP3-Ref</c:v>
                </c:pt>
              </c:strCache>
            </c:strRef>
          </c:tx>
          <c:spPr>
            <a:ln w="19050" cap="rnd">
              <a:solidFill>
                <a:srgbClr val="FF0000"/>
              </a:solidFill>
              <a:round/>
            </a:ln>
            <a:effectLst/>
          </c:spPr>
          <c:marker>
            <c:symbol val="none"/>
          </c:marker>
          <c:xVal>
            <c:numRef>
              <c:f>'CCS Total vs BECCS'!$F$20:$P$20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'CCS Total vs BECCS'!$F$10:$P$10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0"/>
        </c:ser>
        <c:dLbls>
          <c:showLegendKey val="0"/>
          <c:showVal val="0"/>
          <c:showCatName val="0"/>
          <c:showSerName val="0"/>
          <c:showPercent val="0"/>
          <c:showBubbleSize val="0"/>
        </c:dLbls>
        <c:axId val="304670448"/>
        <c:axId val="304671232"/>
      </c:scatterChart>
      <c:valAx>
        <c:axId val="304670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BECCS [Mt</a:t>
                </a:r>
                <a:r>
                  <a:rPr lang="en-US" baseline="0"/>
                  <a:t>CO2e/yr]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671232"/>
        <c:crosses val="autoZero"/>
        <c:crossBetween val="midCat"/>
      </c:valAx>
      <c:valAx>
        <c:axId val="30467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a:r>
                <a:br>
                  <a:rPr lang="en-US" baseline="0"/>
                </a:br>
                <a:r>
                  <a:rPr lang="en-US" baseline="0"/>
                  <a:t>Fossil-fuel CCS [MtCO2/yr]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670448"/>
        <c:crosses val="autoZero"/>
        <c:crossBetween val="midCat"/>
      </c:valAx>
      <c:spPr>
        <a:noFill/>
        <a:ln>
          <a:noFill/>
        </a:ln>
        <a:effectLst/>
      </c:spPr>
    </c:plotArea>
    <c:legend>
      <c:legendPos val="r"/>
      <c:legendEntry>
        <c:idx val="2"/>
        <c:delete val="1"/>
      </c:legendEntry>
      <c:legendEntry>
        <c:idx val="5"/>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272EB-30A0-46B5-82B4-E795ADBC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9652</Words>
  <Characters>55022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Joeri Rogelj</dc:creator>
  <cp:keywords/>
  <dc:description/>
  <cp:lastModifiedBy>KIRWAN Luke</cp:lastModifiedBy>
  <cp:revision>3</cp:revision>
  <cp:lastPrinted>2015-12-15T07:46:00Z</cp:lastPrinted>
  <dcterms:created xsi:type="dcterms:W3CDTF">2016-06-29T07:20:00Z</dcterms:created>
  <dcterms:modified xsi:type="dcterms:W3CDTF">2016-06-29T07:20:00Z</dcterms:modified>
</cp:coreProperties>
</file>