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E2964" w14:textId="38171E67" w:rsidR="0056032D" w:rsidRPr="00602F71" w:rsidRDefault="005A0583" w:rsidP="00602F71">
      <w:pPr>
        <w:pStyle w:val="Heading2"/>
        <w:rPr>
          <w:b w:val="0"/>
          <w:bCs w:val="0"/>
          <w:color w:val="auto"/>
          <w:sz w:val="24"/>
          <w:szCs w:val="24"/>
        </w:rPr>
      </w:pPr>
      <w:bookmarkStart w:id="0" w:name="_GoBack"/>
      <w:bookmarkEnd w:id="0"/>
      <w:r>
        <w:rPr>
          <w:color w:val="auto"/>
          <w:sz w:val="24"/>
          <w:szCs w:val="24"/>
        </w:rPr>
        <w:t>Supplementary</w:t>
      </w:r>
      <w:r w:rsidR="00B71BD0">
        <w:rPr>
          <w:color w:val="auto"/>
          <w:sz w:val="24"/>
          <w:szCs w:val="24"/>
        </w:rPr>
        <w:t xml:space="preserve"> Material</w:t>
      </w:r>
    </w:p>
    <w:p w14:paraId="783DB67C" w14:textId="77777777" w:rsidR="00FC1C26" w:rsidRPr="002C37D7" w:rsidRDefault="00FC1C26" w:rsidP="002C37D7">
      <w:pPr>
        <w:pStyle w:val="Heading2"/>
        <w:rPr>
          <w:sz w:val="24"/>
          <w:szCs w:val="24"/>
        </w:rPr>
      </w:pPr>
      <w:r w:rsidRPr="002C37D7">
        <w:rPr>
          <w:color w:val="auto"/>
          <w:sz w:val="24"/>
          <w:szCs w:val="24"/>
        </w:rPr>
        <w:t>Assessing the INDCs’ land use, land use change, and forest emission projections</w:t>
      </w:r>
    </w:p>
    <w:p w14:paraId="1DB5EF92" w14:textId="0EABD897" w:rsidR="00422E8E" w:rsidRPr="005A0583" w:rsidRDefault="00422E8E" w:rsidP="005A0583">
      <w:pPr>
        <w:pStyle w:val="Heading2"/>
        <w:rPr>
          <w:color w:val="auto"/>
          <w:sz w:val="24"/>
          <w:szCs w:val="24"/>
        </w:rPr>
      </w:pPr>
      <w:r w:rsidRPr="005A0583">
        <w:rPr>
          <w:color w:val="auto"/>
          <w:sz w:val="24"/>
          <w:szCs w:val="24"/>
        </w:rPr>
        <w:t xml:space="preserve"> </w:t>
      </w:r>
    </w:p>
    <w:p w14:paraId="4732F679" w14:textId="77777777" w:rsidR="0056032D" w:rsidRDefault="0056032D" w:rsidP="00BE3C9C">
      <w:pPr>
        <w:pStyle w:val="Heading2"/>
        <w:rPr>
          <w:color w:val="auto"/>
          <w:sz w:val="24"/>
          <w:szCs w:val="24"/>
        </w:rPr>
      </w:pPr>
    </w:p>
    <w:p w14:paraId="24500445" w14:textId="3E5855F4" w:rsidR="005A0583" w:rsidRPr="005A0583" w:rsidRDefault="005A0583" w:rsidP="005A0583">
      <w:r w:rsidRPr="005A0583">
        <w:t xml:space="preserve">Nicklas </w:t>
      </w:r>
      <w:proofErr w:type="spellStart"/>
      <w:r w:rsidRPr="005A0583">
        <w:t>Forsell</w:t>
      </w:r>
      <w:bookmarkStart w:id="1" w:name="_Ref460313270"/>
      <w:proofErr w:type="spellEnd"/>
      <w:r>
        <w:rPr>
          <w:rStyle w:val="FootnoteReference"/>
        </w:rPr>
        <w:footnoteReference w:id="2"/>
      </w:r>
      <w:bookmarkEnd w:id="1"/>
      <w:r w:rsidRPr="005A0583">
        <w:rPr>
          <w:vertAlign w:val="superscript"/>
        </w:rPr>
        <w:t>,*</w:t>
      </w:r>
      <w:r w:rsidRPr="005A0583">
        <w:t>, Olga Turkovska</w:t>
      </w:r>
      <w:r w:rsidRPr="005A0583">
        <w:rPr>
          <w:vertAlign w:val="superscript"/>
          <w:lang w:val="sv-SE"/>
        </w:rPr>
        <w:fldChar w:fldCharType="begin"/>
      </w:r>
      <w:r w:rsidRPr="005A0583">
        <w:rPr>
          <w:vertAlign w:val="superscript"/>
        </w:rPr>
        <w:instrText xml:space="preserve"> NOTEREF _Ref460313270 \h  \* MERGEFORMAT </w:instrText>
      </w:r>
      <w:r w:rsidRPr="005A0583">
        <w:rPr>
          <w:vertAlign w:val="superscript"/>
          <w:lang w:val="sv-SE"/>
        </w:rPr>
      </w:r>
      <w:r w:rsidRPr="005A0583">
        <w:rPr>
          <w:vertAlign w:val="superscript"/>
          <w:lang w:val="sv-SE"/>
        </w:rPr>
        <w:fldChar w:fldCharType="separate"/>
      </w:r>
      <w:r w:rsidR="00FA38DA">
        <w:rPr>
          <w:vertAlign w:val="superscript"/>
        </w:rPr>
        <w:t>1</w:t>
      </w:r>
      <w:r w:rsidRPr="005A0583">
        <w:rPr>
          <w:vertAlign w:val="superscript"/>
          <w:lang w:val="sv-SE"/>
        </w:rPr>
        <w:fldChar w:fldCharType="end"/>
      </w:r>
      <w:r w:rsidRPr="005A0583">
        <w:t xml:space="preserve">, Mykola </w:t>
      </w:r>
      <w:proofErr w:type="spellStart"/>
      <w:r w:rsidRPr="005A0583">
        <w:t>Gusti</w:t>
      </w:r>
      <w:proofErr w:type="spellEnd"/>
      <w:r>
        <w:rPr>
          <w:rStyle w:val="FootnoteReference"/>
        </w:rPr>
        <w:footnoteReference w:id="3"/>
      </w:r>
      <w:r w:rsidRPr="005A0583">
        <w:t xml:space="preserve">, Michel den </w:t>
      </w:r>
      <w:proofErr w:type="spellStart"/>
      <w:r w:rsidRPr="005A0583">
        <w:t>Elzen</w:t>
      </w:r>
      <w:proofErr w:type="spellEnd"/>
      <w:r>
        <w:rPr>
          <w:rStyle w:val="FootnoteReference"/>
        </w:rPr>
        <w:footnoteReference w:id="4"/>
      </w:r>
      <w:r w:rsidRPr="005A0583">
        <w:t>, Michael Obersteiner</w:t>
      </w:r>
      <w:r w:rsidRPr="005A0583">
        <w:rPr>
          <w:vertAlign w:val="superscript"/>
          <w:lang w:val="sv-SE"/>
        </w:rPr>
        <w:fldChar w:fldCharType="begin"/>
      </w:r>
      <w:r w:rsidRPr="005A0583">
        <w:rPr>
          <w:vertAlign w:val="superscript"/>
        </w:rPr>
        <w:instrText xml:space="preserve"> NOTEREF _Ref460313270 \h  \* MERGEFORMAT </w:instrText>
      </w:r>
      <w:r w:rsidRPr="005A0583">
        <w:rPr>
          <w:vertAlign w:val="superscript"/>
          <w:lang w:val="sv-SE"/>
        </w:rPr>
      </w:r>
      <w:r w:rsidRPr="005A0583">
        <w:rPr>
          <w:vertAlign w:val="superscript"/>
          <w:lang w:val="sv-SE"/>
        </w:rPr>
        <w:fldChar w:fldCharType="separate"/>
      </w:r>
      <w:r w:rsidR="00FA38DA">
        <w:rPr>
          <w:vertAlign w:val="superscript"/>
        </w:rPr>
        <w:t>1</w:t>
      </w:r>
      <w:r w:rsidRPr="005A0583">
        <w:rPr>
          <w:vertAlign w:val="superscript"/>
          <w:lang w:val="sv-SE"/>
        </w:rPr>
        <w:fldChar w:fldCharType="end"/>
      </w:r>
      <w:r w:rsidRPr="005A0583">
        <w:t>, Petr Havlik</w:t>
      </w:r>
      <w:r w:rsidRPr="005A0583">
        <w:rPr>
          <w:vertAlign w:val="superscript"/>
          <w:lang w:val="sv-SE"/>
        </w:rPr>
        <w:fldChar w:fldCharType="begin"/>
      </w:r>
      <w:r w:rsidRPr="005A0583">
        <w:rPr>
          <w:vertAlign w:val="superscript"/>
        </w:rPr>
        <w:instrText xml:space="preserve"> NOTEREF _Ref460313270 \h  \* MERGEFORMAT </w:instrText>
      </w:r>
      <w:r w:rsidRPr="005A0583">
        <w:rPr>
          <w:vertAlign w:val="superscript"/>
          <w:lang w:val="sv-SE"/>
        </w:rPr>
      </w:r>
      <w:r w:rsidRPr="005A0583">
        <w:rPr>
          <w:vertAlign w:val="superscript"/>
          <w:lang w:val="sv-SE"/>
        </w:rPr>
        <w:fldChar w:fldCharType="separate"/>
      </w:r>
      <w:r w:rsidR="00FA38DA">
        <w:rPr>
          <w:vertAlign w:val="superscript"/>
        </w:rPr>
        <w:t>1</w:t>
      </w:r>
      <w:r w:rsidRPr="005A0583">
        <w:rPr>
          <w:vertAlign w:val="superscript"/>
          <w:lang w:val="sv-SE"/>
        </w:rPr>
        <w:fldChar w:fldCharType="end"/>
      </w:r>
    </w:p>
    <w:p w14:paraId="6FDF724F" w14:textId="77777777" w:rsidR="005A0583" w:rsidRPr="005A0583" w:rsidRDefault="005A0583" w:rsidP="005A0583">
      <w:pPr>
        <w:pStyle w:val="Heading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5A0583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Corresponding Author</w:t>
      </w:r>
    </w:p>
    <w:p w14:paraId="6A313702" w14:textId="74647FC8" w:rsidR="005A0583" w:rsidRPr="005D5BCC" w:rsidRDefault="002C37D7" w:rsidP="005A0583">
      <w:hyperlink r:id="rId9" w:history="1">
        <w:r w:rsidR="005A0583" w:rsidRPr="00602F71">
          <w:rPr>
            <w:rStyle w:val="Hyperlink"/>
            <w:sz w:val="22"/>
            <w:lang w:val="en-US"/>
          </w:rPr>
          <w:t>forsell@iiasa.ac.at</w:t>
        </w:r>
      </w:hyperlink>
    </w:p>
    <w:p w14:paraId="077169B8" w14:textId="77777777" w:rsidR="00663E03" w:rsidRDefault="00663E03"/>
    <w:p w14:paraId="57598247" w14:textId="58FC41D4" w:rsidR="005A0583" w:rsidRPr="00B71BD0" w:rsidRDefault="00B71BD0" w:rsidP="005A0583">
      <w:pPr>
        <w:pStyle w:val="Heading2"/>
        <w:spacing w:line="48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National baseline and INDC scenarios for </w:t>
      </w:r>
      <w:r w:rsidR="00021088">
        <w:rPr>
          <w:color w:val="auto"/>
          <w:sz w:val="24"/>
          <w:szCs w:val="24"/>
        </w:rPr>
        <w:t>Parties</w:t>
      </w:r>
      <w:r w:rsidR="00B8525D">
        <w:rPr>
          <w:color w:val="auto"/>
          <w:sz w:val="24"/>
          <w:szCs w:val="24"/>
        </w:rPr>
        <w:t xml:space="preserve"> </w:t>
      </w:r>
    </w:p>
    <w:p w14:paraId="0960DEC1" w14:textId="54701FF1" w:rsidR="00EF36E7" w:rsidRPr="00EF36E7" w:rsidRDefault="00EF36E7" w:rsidP="008E6F29">
      <w:pPr>
        <w:spacing w:line="360" w:lineRule="auto"/>
        <w:jc w:val="both"/>
      </w:pPr>
      <w:r w:rsidRPr="00EF36E7">
        <w:t xml:space="preserve">Below follows a description of </w:t>
      </w:r>
      <w:r>
        <w:t xml:space="preserve">how the national business-as-usual </w:t>
      </w:r>
      <w:r w:rsidR="00780CE5">
        <w:t xml:space="preserve">(BAU) </w:t>
      </w:r>
      <w:r>
        <w:t xml:space="preserve">and INDC </w:t>
      </w:r>
      <w:r w:rsidR="00410546">
        <w:t xml:space="preserve">mitigation scenarios for the development of the </w:t>
      </w:r>
      <w:r>
        <w:t>LULUCF s</w:t>
      </w:r>
      <w:r w:rsidR="00410546">
        <w:t>ector</w:t>
      </w:r>
      <w:r>
        <w:t xml:space="preserve"> have been created for major </w:t>
      </w:r>
      <w:r w:rsidR="00190C8E">
        <w:t>Parties</w:t>
      </w:r>
      <w:r>
        <w:t xml:space="preserve"> of interest.</w:t>
      </w:r>
      <w:r w:rsidR="007B68F5">
        <w:t xml:space="preserve"> </w:t>
      </w:r>
    </w:p>
    <w:p w14:paraId="6CD9F737" w14:textId="30626E79" w:rsidR="005A0583" w:rsidRPr="009029D6" w:rsidRDefault="009029D6" w:rsidP="009029D6">
      <w:pPr>
        <w:rPr>
          <w:b/>
          <w:lang w:val="en-GB"/>
        </w:rPr>
      </w:pPr>
      <w:r w:rsidRPr="009029D6">
        <w:rPr>
          <w:b/>
          <w:lang w:val="en-GB"/>
        </w:rPr>
        <w:t>Australia</w:t>
      </w:r>
    </w:p>
    <w:p w14:paraId="3E1DF1ED" w14:textId="539412E5" w:rsidR="009029D6" w:rsidRDefault="009029D6">
      <w:pPr>
        <w:spacing w:line="360" w:lineRule="auto"/>
        <w:jc w:val="both"/>
      </w:pPr>
      <w:r w:rsidRPr="00085AD3">
        <w:t xml:space="preserve">The INDC of </w:t>
      </w:r>
      <w:r w:rsidRPr="009029D6">
        <w:t>Australia</w:t>
      </w:r>
      <w:r w:rsidRPr="00085AD3">
        <w:t xml:space="preserve"> does not provide </w:t>
      </w:r>
      <w:r w:rsidRPr="005A089C">
        <w:t xml:space="preserve">explicit </w:t>
      </w:r>
      <w:r w:rsidRPr="00085AD3">
        <w:t xml:space="preserve">LULUCF emission projections </w:t>
      </w:r>
      <w:r w:rsidR="00410546">
        <w:t xml:space="preserve">corresponding to a </w:t>
      </w:r>
      <w:r>
        <w:t>BAU</w:t>
      </w:r>
      <w:r w:rsidRPr="00085AD3">
        <w:t xml:space="preserve"> scenario nor</w:t>
      </w:r>
      <w:r w:rsidR="00410546">
        <w:t xml:space="preserve"> an</w:t>
      </w:r>
      <w:r w:rsidRPr="00085AD3">
        <w:t xml:space="preserve"> INDC </w:t>
      </w:r>
      <w:r w:rsidR="00410546">
        <w:t xml:space="preserve">mitigation </w:t>
      </w:r>
      <w:r w:rsidRPr="00085AD3">
        <w:t xml:space="preserve">scenario. </w:t>
      </w:r>
      <w:r w:rsidR="00FD0052">
        <w:t xml:space="preserve">Australia’s emission reduction target from the INDC is considered unconditional. </w:t>
      </w:r>
      <w:r w:rsidRPr="005A089C">
        <w:t xml:space="preserve">However, the INDC report mentions Australia’s Emission Reduction Fund of the Australian Department of the Environment which “supports Australian businesses to reduce emissions while improving productivity” </w:t>
      </w:r>
      <w:r>
        <w:fldChar w:fldCharType="begin"/>
      </w:r>
      <w:r>
        <w:instrText xml:space="preserve"> ADDIN EN.CITE &lt;EndNote&gt;&lt;Cite&gt;&lt;Author&gt;Australian Government&lt;/Author&gt;&lt;Year&gt;2015&lt;/Year&gt;&lt;RecNum&gt;9&lt;/RecNum&gt;&lt;DisplayText&gt;[1]&lt;/DisplayText&gt;&lt;record&gt;&lt;rec-number&gt;9&lt;/rec-number&gt;&lt;foreign-keys&gt;&lt;key app="EN" db-id="svzdxsvzzar0d9exsf4xa5sf2dfw9tddztde"&gt;9&lt;/key&gt;&lt;/foreign-keys&gt;&lt;ref-type name="Report"&gt;27&lt;/ref-type&gt;&lt;contributors&gt;&lt;authors&gt;&lt;author&gt;Australian Government,,&lt;/author&gt;&lt;/authors&gt;&lt;/contributors&gt;&lt;titles&gt;&lt;title&gt;Australia&amp;apos;s abatement task: tracking to 2020&lt;/title&gt;&lt;/titles&gt;&lt;dates&gt;&lt;year&gt;2015&lt;/year&gt;&lt;/dates&gt;&lt;pub-location&gt;http://www.environment.gov.au/climate-change/publications/factsheet-emissions-projections-2015-16&lt;/pub-location&gt;&lt;publisher&gt;Department of the Environment, Australia&lt;/publisher&gt;&lt;urls&gt;&lt;/urls&gt;&lt;/record&gt;&lt;/Cite&gt;&lt;/EndNote&gt;</w:instrText>
      </w:r>
      <w:r>
        <w:fldChar w:fldCharType="separate"/>
      </w:r>
      <w:r>
        <w:rPr>
          <w:noProof/>
        </w:rPr>
        <w:t>[</w:t>
      </w:r>
      <w:hyperlink w:anchor="_ENREF_1" w:tooltip="Australian Government, 2015 #9" w:history="1">
        <w:r w:rsidR="005900CB">
          <w:rPr>
            <w:noProof/>
          </w:rPr>
          <w:t>1</w:t>
        </w:r>
      </w:hyperlink>
      <w:r>
        <w:rPr>
          <w:noProof/>
        </w:rPr>
        <w:t>]</w:t>
      </w:r>
      <w:r>
        <w:fldChar w:fldCharType="end"/>
      </w:r>
      <w:r w:rsidRPr="00BE5584">
        <w:t>.</w:t>
      </w:r>
      <w:r w:rsidRPr="005A089C">
        <w:t xml:space="preserve"> According to </w:t>
      </w:r>
      <w:r w:rsidR="00780CE5">
        <w:t xml:space="preserve">the </w:t>
      </w:r>
      <w:r w:rsidRPr="005A089C">
        <w:t>Australian Department of the Environment,</w:t>
      </w:r>
      <w:r w:rsidR="00A479D9">
        <w:t xml:space="preserve"> net </w:t>
      </w:r>
      <w:r w:rsidRPr="005A089C">
        <w:t xml:space="preserve">LULUCF emissions can be </w:t>
      </w:r>
      <w:r w:rsidR="00A479D9">
        <w:t xml:space="preserve">reduced </w:t>
      </w:r>
      <w:r w:rsidRPr="005A089C">
        <w:t xml:space="preserve">by 28 </w:t>
      </w:r>
      <w:r>
        <w:t>Mt</w:t>
      </w:r>
      <w:r w:rsidR="00B93165">
        <w:t xml:space="preserve"> </w:t>
      </w:r>
      <w:r>
        <w:t>CO</w:t>
      </w:r>
      <w:r w:rsidRPr="005A089C">
        <w:rPr>
          <w:vertAlign w:val="subscript"/>
        </w:rPr>
        <w:t>2</w:t>
      </w:r>
      <w:r w:rsidRPr="005A089C">
        <w:t xml:space="preserve">e </w:t>
      </w:r>
      <w:r w:rsidR="00A479D9">
        <w:t xml:space="preserve">aggregated over </w:t>
      </w:r>
      <w:r w:rsidR="00780CE5">
        <w:t xml:space="preserve">the </w:t>
      </w:r>
      <w:r>
        <w:t>next 10 years</w:t>
      </w:r>
      <w:r w:rsidRPr="005A089C">
        <w:t xml:space="preserve"> through sequestration efforts supported by the Australia’s Emission Reduction Fund</w:t>
      </w:r>
      <w:r>
        <w:t xml:space="preserve"> </w:t>
      </w:r>
      <w:r>
        <w:fldChar w:fldCharType="begin"/>
      </w:r>
      <w:r>
        <w:instrText xml:space="preserve"> ADDIN EN.CITE &lt;EndNote&gt;&lt;Cite&gt;&lt;Author&gt;Australian Government&lt;/Author&gt;&lt;Year&gt;2015&lt;/Year&gt;&lt;RecNum&gt;9&lt;/RecNum&gt;&lt;DisplayText&gt;[1]&lt;/DisplayText&gt;&lt;record&gt;&lt;rec-number&gt;9&lt;/rec-number&gt;&lt;foreign-keys&gt;&lt;key app="EN" db-id="ev502pxfn5v5pjed99rxazz3rx0a2eepw52p"&gt;9&lt;/key&gt;&lt;/foreign-keys&gt;&lt;ref-type name="Report"&gt;27&lt;/ref-type&gt;&lt;contributors&gt;&lt;authors&gt;&lt;author&gt;Australian Government,,&lt;/author&gt;&lt;/authors&gt;&lt;/contributors&gt;&lt;titles&gt;&lt;title&gt;Australia&amp;apos;s abatement task: tracking to 2020&lt;/title&gt;&lt;/titles&gt;&lt;dates&gt;&lt;year&gt;2015&lt;/year&gt;&lt;/dates&gt;&lt;pub-location&gt;http://www.environment.gov.au/climate-change/publications/factsheet-emissions-projections-2015-16&lt;/pub-location&gt;&lt;publisher&gt;Department of the Environment, Australia&lt;/publisher&gt;&lt;urls&gt;&lt;/urls&gt;&lt;/record&gt;&lt;/Cite&gt;&lt;/EndNote&gt;</w:instrText>
      </w:r>
      <w:r>
        <w:fldChar w:fldCharType="separate"/>
      </w:r>
      <w:r>
        <w:rPr>
          <w:noProof/>
        </w:rPr>
        <w:t>[</w:t>
      </w:r>
      <w:hyperlink w:anchor="_ENREF_1" w:tooltip="Australian Government, 2015 #9" w:history="1">
        <w:r w:rsidR="005900CB">
          <w:rPr>
            <w:noProof/>
          </w:rPr>
          <w:t>1</w:t>
        </w:r>
      </w:hyperlink>
      <w:r>
        <w:rPr>
          <w:noProof/>
        </w:rPr>
        <w:t>]</w:t>
      </w:r>
      <w:r>
        <w:fldChar w:fldCharType="end"/>
      </w:r>
      <w:r w:rsidRPr="005A089C">
        <w:t>.</w:t>
      </w:r>
      <w:r>
        <w:t xml:space="preserve"> </w:t>
      </w:r>
      <w:r w:rsidR="00FD0052">
        <w:t xml:space="preserve">Assuming a linear increase of the proposed </w:t>
      </w:r>
      <w:r w:rsidR="00E877B5">
        <w:t>mitigation efforts</w:t>
      </w:r>
      <w:r>
        <w:t xml:space="preserve">, </w:t>
      </w:r>
      <w:r w:rsidR="00FD0052">
        <w:t>it can be</w:t>
      </w:r>
      <w:r w:rsidR="00A479D9">
        <w:t xml:space="preserve"> assumed that the annual reduction of net LULUCF emissions in 2025 will be</w:t>
      </w:r>
      <w:r w:rsidR="00FD0052">
        <w:t xml:space="preserve"> </w:t>
      </w:r>
      <w:proofErr w:type="gramStart"/>
      <w:r w:rsidR="00FD0052">
        <w:t>approximately</w:t>
      </w:r>
      <w:r w:rsidR="00A479D9">
        <w:t xml:space="preserve"> 5 Mt</w:t>
      </w:r>
      <w:r w:rsidR="007E3059">
        <w:t xml:space="preserve"> </w:t>
      </w:r>
      <w:r w:rsidR="00A479D9">
        <w:t>CO</w:t>
      </w:r>
      <w:r w:rsidR="00A479D9">
        <w:rPr>
          <w:vertAlign w:val="subscript"/>
        </w:rPr>
        <w:t>2</w:t>
      </w:r>
      <w:r w:rsidR="007E3059">
        <w:t xml:space="preserve">e </w:t>
      </w:r>
      <w:r w:rsidR="007E3059">
        <w:rPr>
          <w:bCs/>
        </w:rPr>
        <w:t>yr</w:t>
      </w:r>
      <w:r w:rsidR="007E3059" w:rsidRPr="00B717B5">
        <w:rPr>
          <w:bCs/>
          <w:vertAlign w:val="superscript"/>
        </w:rPr>
        <w:t>-1</w:t>
      </w:r>
      <w:proofErr w:type="gramEnd"/>
      <w:r w:rsidR="00B7754D">
        <w:t xml:space="preserve">. </w:t>
      </w:r>
      <w:r w:rsidR="00FD0052">
        <w:t xml:space="preserve">No mitigation effort for the </w:t>
      </w:r>
      <w:r w:rsidR="00FD0052" w:rsidRPr="005A089C">
        <w:t>Australia’s Emission Reduction Fund</w:t>
      </w:r>
      <w:r w:rsidR="00FD0052">
        <w:t xml:space="preserve"> has been provided for </w:t>
      </w:r>
      <w:r w:rsidRPr="005A089C">
        <w:t>the period 2026</w:t>
      </w:r>
      <w:r w:rsidR="00FD0052">
        <w:t xml:space="preserve"> and </w:t>
      </w:r>
      <w:r w:rsidRPr="005A089C">
        <w:t>2030</w:t>
      </w:r>
      <w:r w:rsidRPr="0066256D">
        <w:t>.</w:t>
      </w:r>
      <w:r>
        <w:t xml:space="preserve"> </w:t>
      </w:r>
    </w:p>
    <w:p w14:paraId="1DD6EDB6" w14:textId="44FAE1B2" w:rsidR="009029D6" w:rsidRDefault="00E877B5" w:rsidP="00EF36E7">
      <w:pPr>
        <w:spacing w:before="200" w:line="360" w:lineRule="auto"/>
        <w:jc w:val="both"/>
      </w:pPr>
      <w:r>
        <w:t>As</w:t>
      </w:r>
      <w:r w:rsidR="009029D6">
        <w:t xml:space="preserve"> Australia’s INDC does not report any projections for </w:t>
      </w:r>
      <w:r w:rsidR="00780CE5">
        <w:t xml:space="preserve">the </w:t>
      </w:r>
      <w:r w:rsidR="009029D6">
        <w:t xml:space="preserve">BAU scenario, </w:t>
      </w:r>
      <w:r w:rsidR="009029D6" w:rsidRPr="00CD6F3A">
        <w:t xml:space="preserve">our </w:t>
      </w:r>
      <w:r>
        <w:t xml:space="preserve">BAU and INDC mitigations scenarios have been </w:t>
      </w:r>
      <w:r w:rsidR="007C28D7">
        <w:t>constructed</w:t>
      </w:r>
      <w:r>
        <w:t xml:space="preserve"> </w:t>
      </w:r>
      <w:r w:rsidR="009029D6" w:rsidRPr="00CD6F3A">
        <w:t xml:space="preserve">based on the </w:t>
      </w:r>
      <w:r w:rsidR="009029D6">
        <w:t>BAU</w:t>
      </w:r>
      <w:r w:rsidR="009029D6" w:rsidRPr="00CD6F3A">
        <w:t xml:space="preserve"> scenario </w:t>
      </w:r>
      <w:r>
        <w:t>that was</w:t>
      </w:r>
      <w:r w:rsidRPr="00CD6F3A">
        <w:t xml:space="preserve"> </w:t>
      </w:r>
      <w:r w:rsidR="009029D6" w:rsidRPr="00CD6F3A">
        <w:t xml:space="preserve">reported </w:t>
      </w:r>
      <w:r>
        <w:t xml:space="preserve">by Australia </w:t>
      </w:r>
      <w:r w:rsidR="009029D6" w:rsidRPr="00CD6F3A">
        <w:t>in the 6</w:t>
      </w:r>
      <w:r w:rsidR="009029D6" w:rsidRPr="005A089C">
        <w:rPr>
          <w:vertAlign w:val="superscript"/>
        </w:rPr>
        <w:t>th</w:t>
      </w:r>
      <w:r w:rsidR="009029D6" w:rsidRPr="00CD6F3A">
        <w:t xml:space="preserve"> National Communication </w:t>
      </w:r>
      <w:r w:rsidR="009029D6">
        <w:fldChar w:fldCharType="begin"/>
      </w:r>
      <w:r w:rsidR="009029D6">
        <w:instrText xml:space="preserve"> ADDIN EN.CITE &lt;EndNote&gt;&lt;Cite&gt;&lt;Author&gt;Government of Australia&lt;/Author&gt;&lt;Year&gt;2013&lt;/Year&gt;&lt;RecNum&gt;99&lt;/RecNum&gt;&lt;DisplayText&gt;[2]&lt;/DisplayText&gt;&lt;record&gt;&lt;rec-number&gt;99&lt;/rec-number&gt;&lt;foreign-keys&gt;&lt;key app="EN" db-id="2aswsaw2ex2sv0epe2cpsvwcz2d0vtfaaxff"&gt;99&lt;/key&gt;&lt;/foreign-keys&gt;&lt;ref-type name="Report"&gt;27&lt;/ref-type&gt;&lt;contributors&gt;&lt;authors&gt;&lt;author&gt;Government of Australia,,&lt;/author&gt;&lt;/authors&gt;&lt;/contributors&gt;&lt;titles&gt;&lt;title&gt;Australia’s Sixth National Communication on Climate Change – A report under the United Nations Framework Convention on Climate Change. Canberra: Department of Industry, Innovation, Climate Change, Science, Research and Tertiary Education&lt;/title&gt;&lt;/titles&gt;&lt;dates&gt;&lt;year&gt;2013&lt;/year&gt;&lt;/dates&gt;&lt;urls&gt;&lt;/urls&gt;&lt;/record&gt;&lt;/Cite&gt;&lt;/EndNote&gt;</w:instrText>
      </w:r>
      <w:r w:rsidR="009029D6">
        <w:fldChar w:fldCharType="separate"/>
      </w:r>
      <w:r w:rsidR="009029D6">
        <w:rPr>
          <w:noProof/>
        </w:rPr>
        <w:t>[</w:t>
      </w:r>
      <w:hyperlink w:anchor="_ENREF_2" w:tooltip="Government of Australia, 2013 #99" w:history="1">
        <w:r w:rsidR="005900CB">
          <w:rPr>
            <w:noProof/>
          </w:rPr>
          <w:t>2</w:t>
        </w:r>
      </w:hyperlink>
      <w:r w:rsidR="009029D6">
        <w:rPr>
          <w:noProof/>
        </w:rPr>
        <w:t>]</w:t>
      </w:r>
      <w:r w:rsidR="009029D6">
        <w:fldChar w:fldCharType="end"/>
      </w:r>
      <w:r w:rsidR="009029D6">
        <w:t xml:space="preserve"> </w:t>
      </w:r>
      <w:r w:rsidR="009029D6" w:rsidRPr="00CD6F3A">
        <w:t xml:space="preserve">and Australia’s Emissions Projections 2012 Report </w:t>
      </w:r>
      <w:r w:rsidR="009029D6">
        <w:fldChar w:fldCharType="begin"/>
      </w:r>
      <w:r w:rsidR="009029D6">
        <w:instrText xml:space="preserve"> ADDIN EN.CITE &lt;EndNote&gt;&lt;Cite&gt;&lt;Author&gt;Government of Australia&lt;/Author&gt;&lt;Year&gt;2012&lt;/Year&gt;&lt;RecNum&gt;98&lt;/RecNum&gt;&lt;DisplayText&gt;[3]&lt;/DisplayText&gt;&lt;record&gt;&lt;rec-number&gt;98&lt;/rec-number&gt;&lt;foreign-keys&gt;&lt;key app="EN" db-id="2aswsaw2ex2sv0epe2cpsvwcz2d0vtfaaxff"&gt;98&lt;/key&gt;&lt;/foreign-keys&gt;&lt;ref-type name="Report"&gt;27&lt;/ref-type&gt;&lt;contributors&gt;&lt;authors&gt;&lt;author&gt;Government of Australia,,&lt;/author&gt;&lt;/authors&gt;&lt;/contributors&gt;&lt;titles&gt;&lt;title&gt;Australia&amp;apos;s emissions projections 2012&lt;/title&gt;&lt;/titles&gt;&lt;dates&gt;&lt;year&gt;2012&lt;/year&gt;&lt;/dates&gt;&lt;pub-location&gt;http://www.climatechange.gov.au/publications/projections/australias-emissions-projections.aspx&lt;/pub-location&gt;&lt;publisher&gt;Department of Climate Change and Energy Efficiency, Australia&lt;/publisher&gt;&lt;urls&gt;&lt;/urls&gt;&lt;/record&gt;&lt;/Cite&gt;&lt;/EndNote&gt;</w:instrText>
      </w:r>
      <w:r w:rsidR="009029D6">
        <w:fldChar w:fldCharType="separate"/>
      </w:r>
      <w:r w:rsidR="009029D6">
        <w:rPr>
          <w:noProof/>
        </w:rPr>
        <w:t>[</w:t>
      </w:r>
      <w:hyperlink w:anchor="_ENREF_3" w:tooltip="Government of Australia, 2012 #98" w:history="1">
        <w:r w:rsidR="005900CB">
          <w:rPr>
            <w:noProof/>
          </w:rPr>
          <w:t>3</w:t>
        </w:r>
      </w:hyperlink>
      <w:r w:rsidR="009029D6">
        <w:rPr>
          <w:noProof/>
        </w:rPr>
        <w:t>]</w:t>
      </w:r>
      <w:r w:rsidR="009029D6">
        <w:fldChar w:fldCharType="end"/>
      </w:r>
      <w:r w:rsidR="009029D6" w:rsidRPr="00CD6F3A">
        <w:t xml:space="preserve">, updated according to </w:t>
      </w:r>
      <w:r w:rsidR="009029D6" w:rsidRPr="00CD6F3A">
        <w:lastRenderedPageBreak/>
        <w:t xml:space="preserve">2015 UNFCCC reporting of </w:t>
      </w:r>
      <w:r w:rsidR="00780CE5">
        <w:t xml:space="preserve">the </w:t>
      </w:r>
      <w:r w:rsidR="009029D6" w:rsidRPr="00CD6F3A">
        <w:t xml:space="preserve">CRF tables. </w:t>
      </w:r>
      <w:r w:rsidR="009029D6">
        <w:t>The reported BAU</w:t>
      </w:r>
      <w:r w:rsidR="009029D6" w:rsidRPr="00CD6F3A">
        <w:t xml:space="preserve"> scenario</w:t>
      </w:r>
      <w:r>
        <w:t xml:space="preserve"> </w:t>
      </w:r>
      <w:r w:rsidR="009029D6" w:rsidRPr="00CD6F3A">
        <w:t>assumes that</w:t>
      </w:r>
      <w:r>
        <w:t xml:space="preserve"> the future</w:t>
      </w:r>
      <w:r w:rsidR="009029D6" w:rsidRPr="00CD6F3A">
        <w:t xml:space="preserve"> deforestation rates will stay at the same level as </w:t>
      </w:r>
      <w:r w:rsidR="00780CE5">
        <w:t>the period</w:t>
      </w:r>
      <w:r w:rsidR="00780CE5" w:rsidRPr="00CD6F3A">
        <w:t xml:space="preserve"> </w:t>
      </w:r>
      <w:r w:rsidR="009029D6" w:rsidRPr="00CD6F3A">
        <w:t xml:space="preserve">2008-2012 while reforestation removals will decline </w:t>
      </w:r>
      <w:r w:rsidR="009029D6">
        <w:fldChar w:fldCharType="begin"/>
      </w:r>
      <w:r w:rsidR="009029D6">
        <w:instrText xml:space="preserve"> ADDIN EN.CITE &lt;EndNote&gt;&lt;Cite&gt;&lt;Author&gt;Government of Australia&lt;/Author&gt;&lt;Year&gt;2012&lt;/Year&gt;&lt;RecNum&gt;98&lt;/RecNum&gt;&lt;DisplayText&gt;[3]&lt;/DisplayText&gt;&lt;record&gt;&lt;rec-number&gt;98&lt;/rec-number&gt;&lt;foreign-keys&gt;&lt;key app="EN" db-id="2aswsaw2ex2sv0epe2cpsvwcz2d0vtfaaxff"&gt;98&lt;/key&gt;&lt;/foreign-keys&gt;&lt;ref-type name="Report"&gt;27&lt;/ref-type&gt;&lt;contributors&gt;&lt;authors&gt;&lt;author&gt;Government of Australia,,&lt;/author&gt;&lt;/authors&gt;&lt;/contributors&gt;&lt;titles&gt;&lt;title&gt;Australia&amp;apos;s emissions projections 2012&lt;/title&gt;&lt;/titles&gt;&lt;dates&gt;&lt;year&gt;2012&lt;/year&gt;&lt;/dates&gt;&lt;pub-location&gt;http://www.climatechange.gov.au/publications/projections/australias-emissions-projections.aspx&lt;/pub-location&gt;&lt;publisher&gt;Department of Climate Change and Energy Efficiency, Australia&lt;/publisher&gt;&lt;urls&gt;&lt;/urls&gt;&lt;/record&gt;&lt;/Cite&gt;&lt;/EndNote&gt;</w:instrText>
      </w:r>
      <w:r w:rsidR="009029D6">
        <w:fldChar w:fldCharType="separate"/>
      </w:r>
      <w:r w:rsidR="009029D6">
        <w:rPr>
          <w:noProof/>
        </w:rPr>
        <w:t>[</w:t>
      </w:r>
      <w:hyperlink w:anchor="_ENREF_3" w:tooltip="Government of Australia, 2012 #98" w:history="1">
        <w:r w:rsidR="005900CB">
          <w:rPr>
            <w:noProof/>
          </w:rPr>
          <w:t>3</w:t>
        </w:r>
      </w:hyperlink>
      <w:r w:rsidR="009029D6">
        <w:rPr>
          <w:noProof/>
        </w:rPr>
        <w:t>]</w:t>
      </w:r>
      <w:r w:rsidR="009029D6">
        <w:fldChar w:fldCharType="end"/>
      </w:r>
      <w:r w:rsidR="009029D6" w:rsidRPr="00CD6F3A">
        <w:t xml:space="preserve">. </w:t>
      </w:r>
      <w:r>
        <w:t>Based on this</w:t>
      </w:r>
      <w:r w:rsidR="009029D6" w:rsidRPr="00CD6F3A">
        <w:t xml:space="preserve">, the </w:t>
      </w:r>
      <w:r w:rsidR="009029D6">
        <w:t>BAU</w:t>
      </w:r>
      <w:r w:rsidR="009029D6" w:rsidRPr="00CD6F3A">
        <w:t xml:space="preserve"> scenario shows a decrease of net </w:t>
      </w:r>
      <w:r>
        <w:t xml:space="preserve">annual </w:t>
      </w:r>
      <w:r w:rsidR="009029D6" w:rsidRPr="00CD6F3A">
        <w:t xml:space="preserve">LULUCF emissions </w:t>
      </w:r>
      <w:r>
        <w:t>by</w:t>
      </w:r>
      <w:r w:rsidR="009029D6" w:rsidRPr="00CD6F3A">
        <w:t xml:space="preserve"> 2020 </w:t>
      </w:r>
      <w:r>
        <w:t>in the range</w:t>
      </w:r>
      <w:r w:rsidR="009029D6" w:rsidRPr="00CD6F3A">
        <w:t xml:space="preserve"> </w:t>
      </w:r>
      <w:r>
        <w:t xml:space="preserve">of </w:t>
      </w:r>
      <w:r w:rsidR="009029D6" w:rsidRPr="00CD6F3A">
        <w:t xml:space="preserve">3.6 </w:t>
      </w:r>
      <w:r w:rsidR="009029D6">
        <w:t>Mt</w:t>
      </w:r>
      <w:r w:rsidR="007E3059">
        <w:t xml:space="preserve"> </w:t>
      </w:r>
      <w:r w:rsidR="009029D6">
        <w:t>CO</w:t>
      </w:r>
      <w:r w:rsidR="009029D6" w:rsidRPr="00CD6F3A">
        <w:rPr>
          <w:vertAlign w:val="subscript"/>
        </w:rPr>
        <w:t>2</w:t>
      </w:r>
      <w:r w:rsidR="009029D6" w:rsidRPr="00CD6F3A">
        <w:t xml:space="preserve">e </w:t>
      </w:r>
      <w:r w:rsidR="007E3059">
        <w:rPr>
          <w:bCs/>
        </w:rPr>
        <w:t>yr</w:t>
      </w:r>
      <w:r w:rsidR="007E3059" w:rsidRPr="00B717B5">
        <w:rPr>
          <w:bCs/>
          <w:vertAlign w:val="superscript"/>
        </w:rPr>
        <w:t>-1</w:t>
      </w:r>
      <w:r w:rsidR="007E3059">
        <w:t xml:space="preserve"> </w:t>
      </w:r>
      <w:r w:rsidR="009029D6" w:rsidRPr="00CD6F3A">
        <w:t xml:space="preserve">compared to </w:t>
      </w:r>
      <w:r w:rsidR="007E3059">
        <w:t>2</w:t>
      </w:r>
      <w:r>
        <w:t>010</w:t>
      </w:r>
      <w:r w:rsidR="007E3059">
        <w:t xml:space="preserve"> levels</w:t>
      </w:r>
      <w:r w:rsidR="009029D6" w:rsidRPr="00CD6F3A">
        <w:t>.</w:t>
      </w:r>
      <w:r w:rsidR="009029D6">
        <w:t xml:space="preserve"> </w:t>
      </w:r>
      <w:r>
        <w:t xml:space="preserve">As the BAU scenario has only been reported until 2020, it is assumed that net LULUCF emissions levels would remain constant in the BAU scenario </w:t>
      </w:r>
      <w:r w:rsidR="00B7754D">
        <w:t>over the period 2021</w:t>
      </w:r>
      <w:r w:rsidR="00347EAD">
        <w:t xml:space="preserve"> to</w:t>
      </w:r>
      <w:r w:rsidR="00B7754D">
        <w:t xml:space="preserve"> </w:t>
      </w:r>
      <w:r>
        <w:t>2030</w:t>
      </w:r>
      <w:r w:rsidR="009029D6">
        <w:t xml:space="preserve">. </w:t>
      </w:r>
    </w:p>
    <w:p w14:paraId="78268BD4" w14:textId="1F6DCBBB" w:rsidR="00243402" w:rsidRDefault="00FD0052">
      <w:pPr>
        <w:spacing w:before="200" w:line="360" w:lineRule="auto"/>
        <w:jc w:val="both"/>
      </w:pPr>
      <w:r>
        <w:t>Historically, t</w:t>
      </w:r>
      <w:r w:rsidR="009029D6" w:rsidRPr="00CD6F3A">
        <w:t xml:space="preserve">he </w:t>
      </w:r>
      <w:r w:rsidR="009029D6" w:rsidRPr="00BE5584">
        <w:t>6</w:t>
      </w:r>
      <w:r w:rsidR="009029D6" w:rsidRPr="00BE5584">
        <w:rPr>
          <w:vertAlign w:val="superscript"/>
        </w:rPr>
        <w:t>th</w:t>
      </w:r>
      <w:r w:rsidR="009029D6" w:rsidRPr="00BE5584">
        <w:t xml:space="preserve"> National Communication</w:t>
      </w:r>
      <w:r w:rsidR="009029D6" w:rsidRPr="00CD6F3A">
        <w:t xml:space="preserve"> </w:t>
      </w:r>
      <w:r w:rsidR="009029D6">
        <w:fldChar w:fldCharType="begin"/>
      </w:r>
      <w:r w:rsidR="009029D6">
        <w:instrText xml:space="preserve"> ADDIN EN.CITE &lt;EndNote&gt;&lt;Cite&gt;&lt;Author&gt;Government of Australia&lt;/Author&gt;&lt;Year&gt;2013&lt;/Year&gt;&lt;RecNum&gt;99&lt;/RecNum&gt;&lt;DisplayText&gt;[2]&lt;/DisplayText&gt;&lt;record&gt;&lt;rec-number&gt;99&lt;/rec-number&gt;&lt;foreign-keys&gt;&lt;key app="EN" db-id="2aswsaw2ex2sv0epe2cpsvwcz2d0vtfaaxff"&gt;99&lt;/key&gt;&lt;/foreign-keys&gt;&lt;ref-type name="Report"&gt;27&lt;/ref-type&gt;&lt;contributors&gt;&lt;authors&gt;&lt;author&gt;Government of Australia,,&lt;/author&gt;&lt;/authors&gt;&lt;/contributors&gt;&lt;titles&gt;&lt;title&gt;Australia’s Sixth National Communication on Climate Change – A report under the United Nations Framework Convention on Climate Change. Canberra: Department of Industry, Innovation, Climate Change, Science, Research and Tertiary Education&lt;/title&gt;&lt;/titles&gt;&lt;dates&gt;&lt;year&gt;2013&lt;/year&gt;&lt;/dates&gt;&lt;urls&gt;&lt;/urls&gt;&lt;/record&gt;&lt;/Cite&gt;&lt;/EndNote&gt;</w:instrText>
      </w:r>
      <w:r w:rsidR="009029D6">
        <w:fldChar w:fldCharType="separate"/>
      </w:r>
      <w:r w:rsidR="009029D6">
        <w:rPr>
          <w:noProof/>
        </w:rPr>
        <w:t>[</w:t>
      </w:r>
      <w:hyperlink w:anchor="_ENREF_2" w:tooltip="Government of Australia, 2013 #99" w:history="1">
        <w:r w:rsidR="005900CB">
          <w:rPr>
            <w:noProof/>
          </w:rPr>
          <w:t>2</w:t>
        </w:r>
      </w:hyperlink>
      <w:r w:rsidR="009029D6">
        <w:rPr>
          <w:noProof/>
        </w:rPr>
        <w:t>]</w:t>
      </w:r>
      <w:r w:rsidR="009029D6">
        <w:fldChar w:fldCharType="end"/>
      </w:r>
      <w:r w:rsidR="009029D6">
        <w:t xml:space="preserve"> </w:t>
      </w:r>
      <w:r w:rsidR="009029D6" w:rsidRPr="00CD6F3A">
        <w:t xml:space="preserve">and Australia’s Emissions Projections 2012 Report </w:t>
      </w:r>
      <w:r w:rsidR="009029D6">
        <w:fldChar w:fldCharType="begin"/>
      </w:r>
      <w:r w:rsidR="009029D6">
        <w:instrText xml:space="preserve"> ADDIN EN.CITE &lt;EndNote&gt;&lt;Cite&gt;&lt;Author&gt;Government of Australia&lt;/Author&gt;&lt;Year&gt;2012&lt;/Year&gt;&lt;RecNum&gt;98&lt;/RecNum&gt;&lt;DisplayText&gt;[3]&lt;/DisplayText&gt;&lt;record&gt;&lt;rec-number&gt;98&lt;/rec-number&gt;&lt;foreign-keys&gt;&lt;key app="EN" db-id="2aswsaw2ex2sv0epe2cpsvwcz2d0vtfaaxff"&gt;98&lt;/key&gt;&lt;/foreign-keys&gt;&lt;ref-type name="Report"&gt;27&lt;/ref-type&gt;&lt;contributors&gt;&lt;authors&gt;&lt;author&gt;Government of Australia,,&lt;/author&gt;&lt;/authors&gt;&lt;/contributors&gt;&lt;titles&gt;&lt;title&gt;Australia&amp;apos;s emissions projections 2012&lt;/title&gt;&lt;/titles&gt;&lt;dates&gt;&lt;year&gt;2012&lt;/year&gt;&lt;/dates&gt;&lt;pub-location&gt;http://www.climatechange.gov.au/publications/projections/australias-emissions-projections.aspx&lt;/pub-location&gt;&lt;publisher&gt;Department of Climate Change and Energy Efficiency, Australia&lt;/publisher&gt;&lt;urls&gt;&lt;/urls&gt;&lt;/record&gt;&lt;/Cite&gt;&lt;/EndNote&gt;</w:instrText>
      </w:r>
      <w:r w:rsidR="009029D6">
        <w:fldChar w:fldCharType="separate"/>
      </w:r>
      <w:r w:rsidR="009029D6">
        <w:rPr>
          <w:noProof/>
        </w:rPr>
        <w:t>[</w:t>
      </w:r>
      <w:hyperlink w:anchor="_ENREF_3" w:tooltip="Government of Australia, 2012 #98" w:history="1">
        <w:r w:rsidR="005900CB">
          <w:rPr>
            <w:noProof/>
          </w:rPr>
          <w:t>3</w:t>
        </w:r>
      </w:hyperlink>
      <w:r w:rsidR="009029D6">
        <w:rPr>
          <w:noProof/>
        </w:rPr>
        <w:t>]</w:t>
      </w:r>
      <w:r w:rsidR="009029D6">
        <w:fldChar w:fldCharType="end"/>
      </w:r>
      <w:r w:rsidR="009029D6">
        <w:t xml:space="preserve"> </w:t>
      </w:r>
      <w:r>
        <w:t>have</w:t>
      </w:r>
      <w:r w:rsidRPr="00CD6F3A">
        <w:t xml:space="preserve"> </w:t>
      </w:r>
      <w:r w:rsidR="009029D6" w:rsidRPr="00CD6F3A">
        <w:t>provide</w:t>
      </w:r>
      <w:r>
        <w:t>d LULUCF projections corresponding an BAU development and a scenario with measures</w:t>
      </w:r>
      <w:r w:rsidR="009029D6" w:rsidRPr="00CD6F3A">
        <w:t>.</w:t>
      </w:r>
      <w:r>
        <w:t xml:space="preserve"> These estimates are here not considered</w:t>
      </w:r>
      <w:r w:rsidR="00243402">
        <w:t>.</w:t>
      </w:r>
      <w:r>
        <w:t xml:space="preserve"> </w:t>
      </w:r>
      <w:r w:rsidR="00243402">
        <w:t>However, w</w:t>
      </w:r>
      <w:r w:rsidR="009029D6" w:rsidRPr="00CD6F3A">
        <w:t xml:space="preserve">hich </w:t>
      </w:r>
      <w:r w:rsidR="00243402">
        <w:t xml:space="preserve">projection that should be considered as the BAU for the INDC remains uncertain, given that both the BAU and scenario with measures presented in the </w:t>
      </w:r>
      <w:r w:rsidR="00243402" w:rsidRPr="00CD6F3A">
        <w:t>Australia’s Emissions Projections 2012 Report</w:t>
      </w:r>
      <w:r w:rsidR="00243402">
        <w:t xml:space="preserve"> could be considered as the BAU for the INDC given that some of the measures presented in the scenario with measures have been implemented.</w:t>
      </w:r>
    </w:p>
    <w:p w14:paraId="58438144" w14:textId="0E9D2523" w:rsidR="009029D6" w:rsidRPr="00504B58" w:rsidRDefault="009029D6" w:rsidP="00EF36E7">
      <w:pPr>
        <w:spacing w:before="200" w:line="360" w:lineRule="auto"/>
        <w:jc w:val="both"/>
        <w:rPr>
          <w:lang w:val="en-GB"/>
        </w:rPr>
      </w:pPr>
      <w:r w:rsidRPr="005A089C">
        <w:t xml:space="preserve">It must be noted that </w:t>
      </w:r>
      <w:r w:rsidR="00780CE5">
        <w:t xml:space="preserve">in </w:t>
      </w:r>
      <w:r w:rsidR="001545BF">
        <w:t xml:space="preserve">2010 </w:t>
      </w:r>
      <w:r w:rsidRPr="005A089C">
        <w:t xml:space="preserve">net LULUCF emissions in </w:t>
      </w:r>
      <w:r w:rsidR="001545BF">
        <w:t>both the BAU and INDC mitigation scenarios</w:t>
      </w:r>
      <w:r w:rsidRPr="005A089C">
        <w:t xml:space="preserve"> </w:t>
      </w:r>
      <w:r w:rsidR="001545BF">
        <w:t>have been</w:t>
      </w:r>
      <w:r w:rsidRPr="005A089C">
        <w:t xml:space="preserve"> updated </w:t>
      </w:r>
      <w:r w:rsidRPr="0066581C">
        <w:t xml:space="preserve">according to 2015 UNFCCC reporting of </w:t>
      </w:r>
      <w:r w:rsidR="00780CE5">
        <w:t xml:space="preserve">the </w:t>
      </w:r>
      <w:r w:rsidRPr="0066581C">
        <w:t>CRF tables</w:t>
      </w:r>
      <w:r w:rsidR="001545BF">
        <w:t>. This has been done through the introduction of an emissions factor that remains constant over time.</w:t>
      </w:r>
      <w:r>
        <w:t xml:space="preserve"> </w:t>
      </w:r>
      <w:r w:rsidR="001545BF">
        <w:t xml:space="preserve">It should also be noted that neither the BAU nor the INDC mitigations scenario </w:t>
      </w:r>
      <w:r w:rsidRPr="005A089C">
        <w:t xml:space="preserve">account for emissions from wildfires </w:t>
      </w:r>
      <w:r w:rsidR="001545BF">
        <w:t xml:space="preserve">in line with the decision in the INDC to </w:t>
      </w:r>
      <w:r w:rsidR="00C54F09">
        <w:t>not account for emissions from wildfires</w:t>
      </w:r>
      <w:r w:rsidRPr="0066581C">
        <w:t>.</w:t>
      </w:r>
      <w:r>
        <w:t xml:space="preserve"> </w:t>
      </w:r>
    </w:p>
    <w:p w14:paraId="658FEB85" w14:textId="5D4B32C5" w:rsidR="009029D6" w:rsidRPr="009029D6" w:rsidRDefault="009029D6" w:rsidP="00EF36E7">
      <w:pPr>
        <w:spacing w:line="360" w:lineRule="auto"/>
      </w:pPr>
      <w:r w:rsidRPr="00504B58">
        <w:rPr>
          <w:b/>
          <w:lang w:val="en-GB"/>
        </w:rPr>
        <w:t>Democratic Republic of the Congo</w:t>
      </w:r>
    </w:p>
    <w:p w14:paraId="6FF5343A" w14:textId="66920F78" w:rsidR="009029D6" w:rsidRDefault="009029D6">
      <w:pPr>
        <w:spacing w:line="360" w:lineRule="auto"/>
        <w:jc w:val="both"/>
        <w:rPr>
          <w:lang w:val="en-GB"/>
        </w:rPr>
      </w:pPr>
      <w:r w:rsidRPr="0071610A">
        <w:rPr>
          <w:lang w:val="en-GB"/>
        </w:rPr>
        <w:t xml:space="preserve">The INDC of the </w:t>
      </w:r>
      <w:r w:rsidRPr="009029D6">
        <w:rPr>
          <w:lang w:val="en-GB"/>
        </w:rPr>
        <w:t>Democratic Republic of the Congo</w:t>
      </w:r>
      <w:r w:rsidRPr="0071610A">
        <w:rPr>
          <w:lang w:val="en-GB"/>
        </w:rPr>
        <w:t xml:space="preserve"> </w:t>
      </w:r>
      <w:r>
        <w:rPr>
          <w:lang w:val="en-GB"/>
        </w:rPr>
        <w:t xml:space="preserve">(DRC) </w:t>
      </w:r>
      <w:r w:rsidRPr="0071610A">
        <w:rPr>
          <w:lang w:val="en-GB"/>
        </w:rPr>
        <w:t xml:space="preserve">covers the LULUCF sector, and also includes LULUCF emission projections up to 2030 </w:t>
      </w:r>
      <w:r w:rsidR="00AF0FDA">
        <w:rPr>
          <w:lang w:val="en-GB"/>
        </w:rPr>
        <w:t xml:space="preserve">corresponding to a </w:t>
      </w:r>
      <w:r>
        <w:rPr>
          <w:lang w:val="en-GB"/>
        </w:rPr>
        <w:t>BAU</w:t>
      </w:r>
      <w:r w:rsidRPr="0071610A">
        <w:rPr>
          <w:lang w:val="en-GB"/>
        </w:rPr>
        <w:t xml:space="preserve"> and INDC </w:t>
      </w:r>
      <w:r w:rsidR="00AF0FDA">
        <w:rPr>
          <w:lang w:val="en-GB"/>
        </w:rPr>
        <w:t xml:space="preserve">mitigation </w:t>
      </w:r>
      <w:r w:rsidRPr="0071610A">
        <w:rPr>
          <w:lang w:val="en-GB"/>
        </w:rPr>
        <w:t>scenario</w:t>
      </w:r>
      <w:r w:rsidR="00AF0FDA">
        <w:rPr>
          <w:lang w:val="en-GB"/>
        </w:rPr>
        <w:t>s</w:t>
      </w:r>
      <w:r w:rsidRPr="0071610A">
        <w:rPr>
          <w:lang w:val="en-GB"/>
        </w:rPr>
        <w:t>.</w:t>
      </w:r>
      <w:r>
        <w:rPr>
          <w:lang w:val="en-GB"/>
        </w:rPr>
        <w:t xml:space="preserve"> The INDC target of </w:t>
      </w:r>
      <w:r w:rsidR="00780CE5">
        <w:rPr>
          <w:lang w:val="en-GB"/>
        </w:rPr>
        <w:t xml:space="preserve">the </w:t>
      </w:r>
      <w:r>
        <w:rPr>
          <w:lang w:val="en-GB"/>
        </w:rPr>
        <w:t xml:space="preserve">DRC is fully </w:t>
      </w:r>
      <w:proofErr w:type="gramStart"/>
      <w:r>
        <w:rPr>
          <w:lang w:val="en-GB"/>
        </w:rPr>
        <w:t>conditional,</w:t>
      </w:r>
      <w:proofErr w:type="gramEnd"/>
      <w:r>
        <w:rPr>
          <w:lang w:val="en-GB"/>
        </w:rPr>
        <w:t xml:space="preserve"> hence a fulfilment level of LULUCF sector objectives is undetermined. </w:t>
      </w:r>
      <w:r w:rsidR="00A37F7E">
        <w:rPr>
          <w:lang w:val="en-GB"/>
        </w:rPr>
        <w:t>However, while LULUCF emissions are considered wi</w:t>
      </w:r>
      <w:r w:rsidR="002D3A57">
        <w:rPr>
          <w:lang w:val="en-GB"/>
        </w:rPr>
        <w:t xml:space="preserve">thin the </w:t>
      </w:r>
      <w:proofErr w:type="gramStart"/>
      <w:r w:rsidR="002D3A57">
        <w:rPr>
          <w:lang w:val="en-GB"/>
        </w:rPr>
        <w:t>INDC,</w:t>
      </w:r>
      <w:proofErr w:type="gramEnd"/>
      <w:r w:rsidR="002D3A57">
        <w:rPr>
          <w:lang w:val="en-GB"/>
        </w:rPr>
        <w:t xml:space="preserve"> is appears that removals are excluded from historical estimates as well as the BAU projection</w:t>
      </w:r>
      <w:r>
        <w:rPr>
          <w:lang w:val="en-GB"/>
        </w:rPr>
        <w:t>.</w:t>
      </w:r>
      <w:r w:rsidRPr="0071610A">
        <w:rPr>
          <w:lang w:val="en-GB"/>
        </w:rPr>
        <w:t xml:space="preserve"> In the </w:t>
      </w:r>
      <w:r>
        <w:rPr>
          <w:lang w:val="en-GB"/>
        </w:rPr>
        <w:t>BAU</w:t>
      </w:r>
      <w:r w:rsidRPr="0071610A">
        <w:rPr>
          <w:lang w:val="en-GB"/>
        </w:rPr>
        <w:t xml:space="preserve"> scenario as provided by the INDC, LULUCF emissions increase from 1</w:t>
      </w:r>
      <w:r>
        <w:rPr>
          <w:lang w:val="en-GB"/>
        </w:rPr>
        <w:t>93</w:t>
      </w:r>
      <w:r w:rsidRPr="0071610A">
        <w:rPr>
          <w:lang w:val="en-GB"/>
        </w:rPr>
        <w:t xml:space="preserve"> </w:t>
      </w:r>
      <w:r>
        <w:rPr>
          <w:lang w:val="en-GB"/>
        </w:rPr>
        <w:t>Mt</w:t>
      </w:r>
      <w:r w:rsidR="007E3059">
        <w:rPr>
          <w:lang w:val="en-GB"/>
        </w:rPr>
        <w:t xml:space="preserve"> </w:t>
      </w:r>
      <w:r>
        <w:rPr>
          <w:lang w:val="en-GB"/>
        </w:rPr>
        <w:t>CO</w:t>
      </w:r>
      <w:r w:rsidRPr="00997997">
        <w:rPr>
          <w:vertAlign w:val="subscript"/>
          <w:lang w:val="en-GB"/>
        </w:rPr>
        <w:t>2</w:t>
      </w:r>
      <w:r w:rsidRPr="0071610A">
        <w:rPr>
          <w:lang w:val="en-GB"/>
        </w:rPr>
        <w:t xml:space="preserve">e </w:t>
      </w:r>
      <w:r w:rsidR="007E3059">
        <w:rPr>
          <w:bCs/>
        </w:rPr>
        <w:t>yr</w:t>
      </w:r>
      <w:r w:rsidR="007E3059" w:rsidRPr="00B717B5">
        <w:rPr>
          <w:bCs/>
          <w:vertAlign w:val="superscript"/>
        </w:rPr>
        <w:t>-1</w:t>
      </w:r>
      <w:r w:rsidR="007E3059" w:rsidRPr="0071610A">
        <w:rPr>
          <w:lang w:val="en-GB"/>
        </w:rPr>
        <w:t xml:space="preserve"> </w:t>
      </w:r>
      <w:r w:rsidRPr="0071610A">
        <w:rPr>
          <w:lang w:val="en-GB"/>
        </w:rPr>
        <w:t xml:space="preserve">in 2010 to roughly 400 </w:t>
      </w:r>
      <w:r>
        <w:rPr>
          <w:lang w:val="en-GB"/>
        </w:rPr>
        <w:t>Mt</w:t>
      </w:r>
      <w:r w:rsidR="007E3059">
        <w:rPr>
          <w:lang w:val="en-GB"/>
        </w:rPr>
        <w:t xml:space="preserve"> </w:t>
      </w:r>
      <w:proofErr w:type="gramStart"/>
      <w:r>
        <w:rPr>
          <w:lang w:val="en-GB"/>
        </w:rPr>
        <w:t>CO</w:t>
      </w:r>
      <w:r w:rsidRPr="00997997">
        <w:rPr>
          <w:vertAlign w:val="subscript"/>
          <w:lang w:val="en-GB"/>
        </w:rPr>
        <w:t>2</w:t>
      </w:r>
      <w:r w:rsidRPr="0071610A">
        <w:rPr>
          <w:lang w:val="en-GB"/>
        </w:rPr>
        <w:t>e</w:t>
      </w:r>
      <w:r w:rsidR="007E3059">
        <w:rPr>
          <w:lang w:val="en-GB"/>
        </w:rPr>
        <w:t xml:space="preserve"> </w:t>
      </w:r>
      <w:r w:rsidRPr="0071610A">
        <w:rPr>
          <w:lang w:val="en-GB"/>
        </w:rPr>
        <w:t xml:space="preserve"> </w:t>
      </w:r>
      <w:r w:rsidR="007E3059">
        <w:rPr>
          <w:bCs/>
        </w:rPr>
        <w:t>yr</w:t>
      </w:r>
      <w:proofErr w:type="gramEnd"/>
      <w:r w:rsidR="007E3059" w:rsidRPr="00B717B5">
        <w:rPr>
          <w:bCs/>
          <w:vertAlign w:val="superscript"/>
        </w:rPr>
        <w:t>-1</w:t>
      </w:r>
      <w:r w:rsidR="007E3059">
        <w:rPr>
          <w:lang w:val="en-GB"/>
        </w:rPr>
        <w:t xml:space="preserve"> </w:t>
      </w:r>
      <w:r w:rsidR="00B94EC8">
        <w:rPr>
          <w:lang w:val="en-GB"/>
        </w:rPr>
        <w:t>in</w:t>
      </w:r>
      <w:r w:rsidRPr="0071610A">
        <w:rPr>
          <w:lang w:val="en-GB"/>
        </w:rPr>
        <w:t xml:space="preserve"> 2030. </w:t>
      </w:r>
      <w:r>
        <w:rPr>
          <w:lang w:val="en-GB"/>
        </w:rPr>
        <w:t xml:space="preserve">The INDC </w:t>
      </w:r>
      <w:r w:rsidR="00AF0FDA">
        <w:rPr>
          <w:lang w:val="en-GB"/>
        </w:rPr>
        <w:t>mitigation</w:t>
      </w:r>
      <w:r w:rsidR="00830EB4">
        <w:rPr>
          <w:lang w:val="en-GB"/>
        </w:rPr>
        <w:t xml:space="preserve"> scenario</w:t>
      </w:r>
      <w:r w:rsidR="002D3A57">
        <w:rPr>
          <w:lang w:val="en-GB"/>
        </w:rPr>
        <w:t xml:space="preserve"> </w:t>
      </w:r>
      <w:r>
        <w:rPr>
          <w:lang w:val="en-GB"/>
        </w:rPr>
        <w:t>foresee</w:t>
      </w:r>
      <w:r w:rsidR="002D3A57">
        <w:rPr>
          <w:lang w:val="en-GB"/>
        </w:rPr>
        <w:t>s</w:t>
      </w:r>
      <w:r>
        <w:rPr>
          <w:lang w:val="en-GB"/>
        </w:rPr>
        <w:t xml:space="preserve"> a rise of LULUCF emissions</w:t>
      </w:r>
      <w:r w:rsidR="002D3A57">
        <w:rPr>
          <w:lang w:val="en-GB"/>
        </w:rPr>
        <w:t xml:space="preserve"> as well</w:t>
      </w:r>
      <w:r w:rsidR="00AF0FDA">
        <w:rPr>
          <w:lang w:val="en-GB"/>
        </w:rPr>
        <w:t>,</w:t>
      </w:r>
      <w:r>
        <w:rPr>
          <w:lang w:val="en-GB"/>
        </w:rPr>
        <w:t xml:space="preserve"> but with slower growth rates</w:t>
      </w:r>
      <w:r w:rsidR="00AF0FDA">
        <w:rPr>
          <w:lang w:val="en-GB"/>
        </w:rPr>
        <w:t xml:space="preserve"> </w:t>
      </w:r>
      <w:r w:rsidR="002D3A57">
        <w:rPr>
          <w:lang w:val="en-GB"/>
        </w:rPr>
        <w:t>than the BAU scenario</w:t>
      </w:r>
      <w:r>
        <w:rPr>
          <w:lang w:val="en-GB"/>
        </w:rPr>
        <w:t xml:space="preserve">. Under the INDC </w:t>
      </w:r>
      <w:r w:rsidR="00AF0FDA">
        <w:rPr>
          <w:lang w:val="en-GB"/>
        </w:rPr>
        <w:t xml:space="preserve">mitigation scenario, </w:t>
      </w:r>
      <w:r w:rsidR="002D3A57">
        <w:rPr>
          <w:lang w:val="en-GB"/>
        </w:rPr>
        <w:t xml:space="preserve">net </w:t>
      </w:r>
      <w:r w:rsidR="00830EB4">
        <w:rPr>
          <w:lang w:val="en-GB"/>
        </w:rPr>
        <w:t xml:space="preserve">LULUCF </w:t>
      </w:r>
      <w:r>
        <w:rPr>
          <w:lang w:val="en-GB"/>
        </w:rPr>
        <w:t xml:space="preserve">emissions </w:t>
      </w:r>
      <w:r w:rsidR="00AF0FDA">
        <w:rPr>
          <w:lang w:val="en-GB"/>
        </w:rPr>
        <w:t>are expected to</w:t>
      </w:r>
      <w:r>
        <w:rPr>
          <w:lang w:val="en-GB"/>
        </w:rPr>
        <w:t xml:space="preserve"> </w:t>
      </w:r>
      <w:r w:rsidR="002D3A57">
        <w:rPr>
          <w:lang w:val="en-GB"/>
        </w:rPr>
        <w:t xml:space="preserve">increase </w:t>
      </w:r>
      <w:proofErr w:type="gramStart"/>
      <w:r w:rsidR="002D3A57">
        <w:rPr>
          <w:lang w:val="en-GB"/>
        </w:rPr>
        <w:t xml:space="preserve">from </w:t>
      </w:r>
      <w:r w:rsidR="002D3A57" w:rsidRPr="0071610A">
        <w:rPr>
          <w:lang w:val="en-GB"/>
        </w:rPr>
        <w:t>1</w:t>
      </w:r>
      <w:r w:rsidR="002D3A57">
        <w:rPr>
          <w:lang w:val="en-GB"/>
        </w:rPr>
        <w:t>93</w:t>
      </w:r>
      <w:r w:rsidR="002D3A57" w:rsidRPr="0071610A">
        <w:rPr>
          <w:lang w:val="en-GB"/>
        </w:rPr>
        <w:t xml:space="preserve"> </w:t>
      </w:r>
      <w:r w:rsidR="002D3A57">
        <w:rPr>
          <w:lang w:val="en-GB"/>
        </w:rPr>
        <w:t>Mt</w:t>
      </w:r>
      <w:r w:rsidR="007E3059">
        <w:rPr>
          <w:lang w:val="en-GB"/>
        </w:rPr>
        <w:t xml:space="preserve"> </w:t>
      </w:r>
      <w:r w:rsidR="002D3A57">
        <w:rPr>
          <w:lang w:val="en-GB"/>
        </w:rPr>
        <w:t>CO</w:t>
      </w:r>
      <w:r w:rsidR="002D3A57" w:rsidRPr="00997997">
        <w:rPr>
          <w:vertAlign w:val="subscript"/>
          <w:lang w:val="en-GB"/>
        </w:rPr>
        <w:t>2</w:t>
      </w:r>
      <w:r w:rsidR="007E3059">
        <w:rPr>
          <w:lang w:val="en-GB"/>
        </w:rPr>
        <w:t>e</w:t>
      </w:r>
      <w:r w:rsidR="002D3A57">
        <w:rPr>
          <w:lang w:val="en-GB"/>
        </w:rPr>
        <w:t xml:space="preserve"> </w:t>
      </w:r>
      <w:r w:rsidR="007E3059">
        <w:rPr>
          <w:bCs/>
        </w:rPr>
        <w:t>yr</w:t>
      </w:r>
      <w:r w:rsidR="007E3059" w:rsidRPr="00B717B5">
        <w:rPr>
          <w:bCs/>
          <w:vertAlign w:val="superscript"/>
        </w:rPr>
        <w:t>-1</w:t>
      </w:r>
      <w:proofErr w:type="gramEnd"/>
      <w:r w:rsidR="007E3059">
        <w:rPr>
          <w:lang w:val="en-GB"/>
        </w:rPr>
        <w:t xml:space="preserve"> </w:t>
      </w:r>
      <w:r w:rsidR="002D3A57">
        <w:rPr>
          <w:lang w:val="en-GB"/>
        </w:rPr>
        <w:t>in 2010 to roughly 3</w:t>
      </w:r>
      <w:r w:rsidR="002D3A57" w:rsidRPr="0071610A">
        <w:rPr>
          <w:lang w:val="en-GB"/>
        </w:rPr>
        <w:t xml:space="preserve">00 </w:t>
      </w:r>
      <w:r w:rsidR="002D3A57">
        <w:rPr>
          <w:lang w:val="en-GB"/>
        </w:rPr>
        <w:t>Mt</w:t>
      </w:r>
      <w:r w:rsidR="007E3059">
        <w:rPr>
          <w:lang w:val="en-GB"/>
        </w:rPr>
        <w:t xml:space="preserve"> </w:t>
      </w:r>
      <w:r w:rsidR="002D3A57">
        <w:rPr>
          <w:lang w:val="en-GB"/>
        </w:rPr>
        <w:t>CO</w:t>
      </w:r>
      <w:r w:rsidR="002D3A57" w:rsidRPr="00997997">
        <w:rPr>
          <w:vertAlign w:val="subscript"/>
          <w:lang w:val="en-GB"/>
        </w:rPr>
        <w:t>2</w:t>
      </w:r>
      <w:r w:rsidR="007E3059">
        <w:rPr>
          <w:lang w:val="en-GB"/>
        </w:rPr>
        <w:t>e</w:t>
      </w:r>
      <w:r w:rsidR="002D3A57" w:rsidRPr="0071610A">
        <w:rPr>
          <w:lang w:val="en-GB"/>
        </w:rPr>
        <w:t xml:space="preserve"> </w:t>
      </w:r>
      <w:r w:rsidR="007E3059">
        <w:rPr>
          <w:bCs/>
        </w:rPr>
        <w:t>yr</w:t>
      </w:r>
      <w:r w:rsidR="007E3059" w:rsidRPr="00B717B5">
        <w:rPr>
          <w:bCs/>
          <w:vertAlign w:val="superscript"/>
        </w:rPr>
        <w:t>-1</w:t>
      </w:r>
      <w:r w:rsidR="007E3059">
        <w:rPr>
          <w:lang w:val="en-GB"/>
        </w:rPr>
        <w:t xml:space="preserve"> </w:t>
      </w:r>
      <w:r w:rsidR="002D3A57">
        <w:rPr>
          <w:lang w:val="en-GB"/>
        </w:rPr>
        <w:t>in</w:t>
      </w:r>
      <w:r w:rsidR="002D3A57" w:rsidRPr="0071610A">
        <w:rPr>
          <w:lang w:val="en-GB"/>
        </w:rPr>
        <w:t xml:space="preserve"> 2030.</w:t>
      </w:r>
      <w:r>
        <w:rPr>
          <w:lang w:val="en-GB"/>
        </w:rPr>
        <w:t xml:space="preserve"> </w:t>
      </w:r>
      <w:r w:rsidRPr="0071610A">
        <w:rPr>
          <w:lang w:val="en-GB"/>
        </w:rPr>
        <w:t xml:space="preserve">The INDC states that this reduction in LULUCF emissions will mainly be achieved through afforestation and reforestation measures. </w:t>
      </w:r>
    </w:p>
    <w:p w14:paraId="1FAF1FA2" w14:textId="2BE28C18" w:rsidR="009029D6" w:rsidRPr="009029D6" w:rsidRDefault="009029D6" w:rsidP="00EF36E7">
      <w:pPr>
        <w:spacing w:line="360" w:lineRule="auto"/>
      </w:pPr>
      <w:r w:rsidRPr="00504B58">
        <w:rPr>
          <w:b/>
          <w:lang w:val="en-GB"/>
        </w:rPr>
        <w:t>Ethiopia</w:t>
      </w:r>
    </w:p>
    <w:p w14:paraId="4F123929" w14:textId="3AAAC182" w:rsidR="009029D6" w:rsidRPr="0071610A" w:rsidRDefault="009029D6" w:rsidP="00EF36E7">
      <w:pPr>
        <w:spacing w:line="360" w:lineRule="auto"/>
        <w:jc w:val="both"/>
        <w:rPr>
          <w:lang w:val="en-GB"/>
        </w:rPr>
      </w:pPr>
      <w:r w:rsidRPr="0071610A">
        <w:rPr>
          <w:lang w:val="en-GB"/>
        </w:rPr>
        <w:lastRenderedPageBreak/>
        <w:t xml:space="preserve">The INDC of </w:t>
      </w:r>
      <w:r w:rsidRPr="009029D6">
        <w:rPr>
          <w:lang w:val="en-GB"/>
        </w:rPr>
        <w:t>Ethiopia</w:t>
      </w:r>
      <w:r w:rsidRPr="0071610A">
        <w:rPr>
          <w:lang w:val="en-GB"/>
        </w:rPr>
        <w:t xml:space="preserve"> provides LULUCF emission projections up to 2030, for both the </w:t>
      </w:r>
      <w:r>
        <w:rPr>
          <w:lang w:val="en-GB"/>
        </w:rPr>
        <w:t>BAU</w:t>
      </w:r>
      <w:r w:rsidRPr="0071610A">
        <w:rPr>
          <w:lang w:val="en-GB"/>
        </w:rPr>
        <w:t xml:space="preserve"> and INDC</w:t>
      </w:r>
      <w:r w:rsidR="00884F9D">
        <w:rPr>
          <w:lang w:val="en-GB"/>
        </w:rPr>
        <w:t xml:space="preserve"> mitigation</w:t>
      </w:r>
      <w:r w:rsidRPr="0071610A">
        <w:rPr>
          <w:lang w:val="en-GB"/>
        </w:rPr>
        <w:t xml:space="preserve"> scenario. The mitigation measures proposed by the Ethiopian government include protection of forest areas, re-establishment of forest</w:t>
      </w:r>
      <w:r>
        <w:rPr>
          <w:lang w:val="en-GB"/>
        </w:rPr>
        <w:t>s</w:t>
      </w:r>
      <w:r w:rsidRPr="0071610A">
        <w:rPr>
          <w:lang w:val="en-GB"/>
        </w:rPr>
        <w:t xml:space="preserve">, and an increase of carbon stocks. </w:t>
      </w:r>
      <w:r>
        <w:rPr>
          <w:lang w:val="en-GB"/>
        </w:rPr>
        <w:t xml:space="preserve">Ethiopia’s INDC indicates </w:t>
      </w:r>
      <w:r w:rsidR="00830EB4">
        <w:rPr>
          <w:lang w:val="en-GB"/>
        </w:rPr>
        <w:t>that the net LULUCF emissions in 2010 were</w:t>
      </w:r>
      <w:r w:rsidR="00884F9D">
        <w:rPr>
          <w:lang w:val="en-GB"/>
        </w:rPr>
        <w:t xml:space="preserve"> </w:t>
      </w:r>
      <w:proofErr w:type="gramStart"/>
      <w:r>
        <w:rPr>
          <w:lang w:val="en-GB"/>
        </w:rPr>
        <w:t>around 55 Mt</w:t>
      </w:r>
      <w:r w:rsidR="007E3059">
        <w:rPr>
          <w:lang w:val="en-GB"/>
        </w:rPr>
        <w:t xml:space="preserve"> </w:t>
      </w:r>
      <w:r>
        <w:rPr>
          <w:lang w:val="en-GB"/>
        </w:rPr>
        <w:t>CO</w:t>
      </w:r>
      <w:r w:rsidRPr="00997997">
        <w:rPr>
          <w:vertAlign w:val="subscript"/>
          <w:lang w:val="en-GB"/>
        </w:rPr>
        <w:t>2</w:t>
      </w:r>
      <w:r w:rsidRPr="0071610A">
        <w:rPr>
          <w:lang w:val="en-GB"/>
        </w:rPr>
        <w:t>e</w:t>
      </w:r>
      <w:r w:rsidR="007E3059">
        <w:rPr>
          <w:lang w:val="en-GB"/>
        </w:rPr>
        <w:t xml:space="preserve"> </w:t>
      </w:r>
      <w:r w:rsidR="007E3059">
        <w:rPr>
          <w:bCs/>
        </w:rPr>
        <w:t>yr</w:t>
      </w:r>
      <w:r w:rsidR="007E3059" w:rsidRPr="00B717B5">
        <w:rPr>
          <w:bCs/>
          <w:vertAlign w:val="superscript"/>
        </w:rPr>
        <w:t>-1</w:t>
      </w:r>
      <w:proofErr w:type="gramEnd"/>
      <w:r>
        <w:rPr>
          <w:lang w:val="en-GB"/>
        </w:rPr>
        <w:t>. The BAU scenario assumes a</w:t>
      </w:r>
      <w:r w:rsidR="00830EB4">
        <w:rPr>
          <w:lang w:val="en-GB"/>
        </w:rPr>
        <w:t xml:space="preserve">n increase of emissions over time and that the net LULUCF emissions </w:t>
      </w:r>
      <w:r w:rsidR="00FA38DA">
        <w:rPr>
          <w:lang w:val="en-GB"/>
        </w:rPr>
        <w:t xml:space="preserve">would reach </w:t>
      </w:r>
      <w:proofErr w:type="gramStart"/>
      <w:r>
        <w:rPr>
          <w:lang w:val="en-GB"/>
        </w:rPr>
        <w:t>90 Mt</w:t>
      </w:r>
      <w:r w:rsidR="007E3059">
        <w:rPr>
          <w:lang w:val="en-GB"/>
        </w:rPr>
        <w:t xml:space="preserve"> </w:t>
      </w:r>
      <w:r>
        <w:rPr>
          <w:lang w:val="en-GB"/>
        </w:rPr>
        <w:t>CO</w:t>
      </w:r>
      <w:r w:rsidRPr="00997997">
        <w:rPr>
          <w:vertAlign w:val="subscript"/>
          <w:lang w:val="en-GB"/>
        </w:rPr>
        <w:t>2</w:t>
      </w:r>
      <w:r w:rsidRPr="0071610A">
        <w:rPr>
          <w:lang w:val="en-GB"/>
        </w:rPr>
        <w:t>e</w:t>
      </w:r>
      <w:r w:rsidR="007E3059">
        <w:rPr>
          <w:lang w:val="en-GB"/>
        </w:rPr>
        <w:t xml:space="preserve"> </w:t>
      </w:r>
      <w:r w:rsidR="007E3059">
        <w:rPr>
          <w:bCs/>
        </w:rPr>
        <w:t>yr</w:t>
      </w:r>
      <w:r w:rsidR="007E3059" w:rsidRPr="00B717B5">
        <w:rPr>
          <w:bCs/>
          <w:vertAlign w:val="superscript"/>
        </w:rPr>
        <w:t>-1</w:t>
      </w:r>
      <w:proofErr w:type="gramEnd"/>
      <w:r w:rsidR="00FA38DA" w:rsidRPr="002C37D7">
        <w:rPr>
          <w:bCs/>
        </w:rPr>
        <w:t xml:space="preserve"> in 2030</w:t>
      </w:r>
      <w:r w:rsidR="00780CE5">
        <w:rPr>
          <w:lang w:val="en-GB"/>
        </w:rPr>
        <w:t>,</w:t>
      </w:r>
      <w:r>
        <w:rPr>
          <w:lang w:val="en-GB"/>
        </w:rPr>
        <w:t xml:space="preserve"> while the INDC scenario assumes a significant decline </w:t>
      </w:r>
      <w:r w:rsidR="00830EB4">
        <w:rPr>
          <w:lang w:val="en-GB"/>
        </w:rPr>
        <w:t>of emissions over time, bringing the net annual LULUCF emission to</w:t>
      </w:r>
      <w:r w:rsidR="00B94EC8">
        <w:rPr>
          <w:lang w:val="en-GB"/>
        </w:rPr>
        <w:t xml:space="preserve"> the level of </w:t>
      </w:r>
      <w:r>
        <w:rPr>
          <w:lang w:val="en-GB"/>
        </w:rPr>
        <w:t>-55 Mt</w:t>
      </w:r>
      <w:r w:rsidR="007E3059">
        <w:rPr>
          <w:lang w:val="en-GB"/>
        </w:rPr>
        <w:t xml:space="preserve"> </w:t>
      </w:r>
      <w:r>
        <w:rPr>
          <w:lang w:val="en-GB"/>
        </w:rPr>
        <w:t>CO</w:t>
      </w:r>
      <w:r w:rsidRPr="00997997">
        <w:rPr>
          <w:vertAlign w:val="subscript"/>
          <w:lang w:val="en-GB"/>
        </w:rPr>
        <w:t>2</w:t>
      </w:r>
      <w:r w:rsidRPr="0071610A">
        <w:rPr>
          <w:lang w:val="en-GB"/>
        </w:rPr>
        <w:t>e</w:t>
      </w:r>
      <w:r w:rsidR="00830EB4">
        <w:rPr>
          <w:lang w:val="en-GB"/>
        </w:rPr>
        <w:t xml:space="preserve"> </w:t>
      </w:r>
      <w:r w:rsidR="007E3059">
        <w:rPr>
          <w:bCs/>
        </w:rPr>
        <w:t>yr</w:t>
      </w:r>
      <w:r w:rsidR="007E3059" w:rsidRPr="00B717B5">
        <w:rPr>
          <w:bCs/>
          <w:vertAlign w:val="superscript"/>
        </w:rPr>
        <w:t>-1</w:t>
      </w:r>
      <w:r w:rsidR="007E3059">
        <w:rPr>
          <w:lang w:val="en-GB"/>
        </w:rPr>
        <w:t xml:space="preserve"> </w:t>
      </w:r>
      <w:r w:rsidR="00830EB4">
        <w:rPr>
          <w:lang w:val="en-GB"/>
        </w:rPr>
        <w:t>in 2030</w:t>
      </w:r>
      <w:r>
        <w:rPr>
          <w:lang w:val="en-GB"/>
        </w:rPr>
        <w:t xml:space="preserve">. </w:t>
      </w:r>
      <w:r w:rsidRPr="0071610A">
        <w:rPr>
          <w:lang w:val="en-GB"/>
        </w:rPr>
        <w:t xml:space="preserve">According to the INDC, implementation of the measures is estimated to lead to emission reductions </w:t>
      </w:r>
      <w:proofErr w:type="gramStart"/>
      <w:r w:rsidRPr="0071610A">
        <w:rPr>
          <w:lang w:val="en-GB"/>
        </w:rPr>
        <w:t xml:space="preserve">of approximately 65 </w:t>
      </w:r>
      <w:r>
        <w:rPr>
          <w:lang w:val="en-GB"/>
        </w:rPr>
        <w:t>Mt</w:t>
      </w:r>
      <w:r w:rsidR="007E3059">
        <w:rPr>
          <w:lang w:val="en-GB"/>
        </w:rPr>
        <w:t xml:space="preserve"> </w:t>
      </w:r>
      <w:r>
        <w:rPr>
          <w:lang w:val="en-GB"/>
        </w:rPr>
        <w:t>CO</w:t>
      </w:r>
      <w:r w:rsidRPr="00997997">
        <w:rPr>
          <w:vertAlign w:val="subscript"/>
          <w:lang w:val="en-GB"/>
        </w:rPr>
        <w:t>2</w:t>
      </w:r>
      <w:r w:rsidRPr="0071610A">
        <w:rPr>
          <w:lang w:val="en-GB"/>
        </w:rPr>
        <w:t>e</w:t>
      </w:r>
      <w:r w:rsidR="007E3059">
        <w:rPr>
          <w:lang w:val="en-GB"/>
        </w:rPr>
        <w:t xml:space="preserve"> </w:t>
      </w:r>
      <w:r w:rsidR="007E3059">
        <w:rPr>
          <w:bCs/>
        </w:rPr>
        <w:t>yr</w:t>
      </w:r>
      <w:r w:rsidR="007E3059" w:rsidRPr="00B717B5">
        <w:rPr>
          <w:bCs/>
          <w:vertAlign w:val="superscript"/>
        </w:rPr>
        <w:t>-1</w:t>
      </w:r>
      <w:proofErr w:type="gramEnd"/>
      <w:r w:rsidRPr="0071610A">
        <w:rPr>
          <w:lang w:val="en-GB"/>
        </w:rPr>
        <w:t xml:space="preserve"> in 2020 and 130 </w:t>
      </w:r>
      <w:r>
        <w:rPr>
          <w:lang w:val="en-GB"/>
        </w:rPr>
        <w:t>Mt</w:t>
      </w:r>
      <w:r w:rsidR="007E3059">
        <w:rPr>
          <w:lang w:val="en-GB"/>
        </w:rPr>
        <w:t xml:space="preserve"> </w:t>
      </w:r>
      <w:r>
        <w:rPr>
          <w:lang w:val="en-GB"/>
        </w:rPr>
        <w:t>CO</w:t>
      </w:r>
      <w:r w:rsidRPr="00997997">
        <w:rPr>
          <w:vertAlign w:val="subscript"/>
          <w:lang w:val="en-GB"/>
        </w:rPr>
        <w:t>2</w:t>
      </w:r>
      <w:r w:rsidRPr="0071610A">
        <w:rPr>
          <w:lang w:val="en-GB"/>
        </w:rPr>
        <w:t>e</w:t>
      </w:r>
      <w:r w:rsidR="007E3059">
        <w:rPr>
          <w:lang w:val="en-GB"/>
        </w:rPr>
        <w:t xml:space="preserve"> </w:t>
      </w:r>
      <w:r w:rsidR="007E3059">
        <w:rPr>
          <w:bCs/>
        </w:rPr>
        <w:t>yr</w:t>
      </w:r>
      <w:r w:rsidR="007E3059" w:rsidRPr="00B717B5">
        <w:rPr>
          <w:bCs/>
          <w:vertAlign w:val="superscript"/>
        </w:rPr>
        <w:t>-1</w:t>
      </w:r>
      <w:r w:rsidRPr="0071610A">
        <w:rPr>
          <w:lang w:val="en-GB"/>
        </w:rPr>
        <w:t xml:space="preserve"> in 2030, </w:t>
      </w:r>
      <w:r w:rsidR="00884F9D">
        <w:rPr>
          <w:lang w:val="en-GB"/>
        </w:rPr>
        <w:t xml:space="preserve">both </w:t>
      </w:r>
      <w:r w:rsidRPr="0071610A">
        <w:rPr>
          <w:lang w:val="en-GB"/>
        </w:rPr>
        <w:t xml:space="preserve">compared to </w:t>
      </w:r>
      <w:r w:rsidR="00884F9D">
        <w:rPr>
          <w:lang w:val="en-GB"/>
        </w:rPr>
        <w:t xml:space="preserve">net emissions as of the </w:t>
      </w:r>
      <w:r>
        <w:rPr>
          <w:lang w:val="en-GB"/>
        </w:rPr>
        <w:t>BAU</w:t>
      </w:r>
      <w:r w:rsidRPr="0071610A">
        <w:rPr>
          <w:lang w:val="en-GB"/>
        </w:rPr>
        <w:t xml:space="preserve"> </w:t>
      </w:r>
      <w:r w:rsidR="00884F9D">
        <w:rPr>
          <w:lang w:val="en-GB"/>
        </w:rPr>
        <w:t>scenario</w:t>
      </w:r>
      <w:r w:rsidRPr="0071610A">
        <w:rPr>
          <w:lang w:val="en-GB"/>
        </w:rPr>
        <w:t xml:space="preserve">. If these reductions are indeed achieved, Ethiopia's LULUCF sector would become a net carbon sink by 2030, instead of a net source of emissions by 2010 in the </w:t>
      </w:r>
      <w:r>
        <w:rPr>
          <w:lang w:val="en-GB"/>
        </w:rPr>
        <w:t>BAU</w:t>
      </w:r>
      <w:r w:rsidRPr="0071610A">
        <w:rPr>
          <w:lang w:val="en-GB"/>
        </w:rPr>
        <w:t xml:space="preserve"> scenario.</w:t>
      </w:r>
      <w:r>
        <w:rPr>
          <w:lang w:val="en-GB"/>
        </w:rPr>
        <w:t xml:space="preserve"> However, the INDC states that full implementation of the Ethiopia’s reduction target is possible with international support in terms of finance, infrastructure, technology, etc. Ethiopia published </w:t>
      </w:r>
      <w:r w:rsidR="00780CE5">
        <w:rPr>
          <w:lang w:val="en-GB"/>
        </w:rPr>
        <w:t xml:space="preserve">its </w:t>
      </w:r>
      <w:r w:rsidRPr="00BF739A">
        <w:rPr>
          <w:lang w:val="en-GB"/>
        </w:rPr>
        <w:t>1</w:t>
      </w:r>
      <w:r w:rsidRPr="00BF739A">
        <w:rPr>
          <w:vertAlign w:val="superscript"/>
          <w:lang w:val="en-GB"/>
        </w:rPr>
        <w:t>st</w:t>
      </w:r>
      <w:r w:rsidRPr="00BF739A">
        <w:rPr>
          <w:lang w:val="en-GB"/>
        </w:rPr>
        <w:t xml:space="preserve"> National Communication in 2001</w:t>
      </w:r>
      <w:r>
        <w:rPr>
          <w:lang w:val="en-GB"/>
        </w:rPr>
        <w:t xml:space="preserve"> </w:t>
      </w:r>
      <w:r>
        <w:rPr>
          <w:lang w:val="en-GB"/>
        </w:rPr>
        <w:fldChar w:fldCharType="begin"/>
      </w:r>
      <w:r>
        <w:rPr>
          <w:lang w:val="en-GB"/>
        </w:rPr>
        <w:instrText xml:space="preserve"> ADDIN EN.CITE &lt;EndNote&gt;&lt;Cite&gt;&lt;Author&gt;Government of Ethiopia&lt;/Author&gt;&lt;Year&gt;2001&lt;/Year&gt;&lt;RecNum&gt;90&lt;/RecNum&gt;&lt;DisplayText&gt;[4]&lt;/DisplayText&gt;&lt;record&gt;&lt;rec-number&gt;90&lt;/rec-number&gt;&lt;foreign-keys&gt;&lt;key app="EN" db-id="2aswsaw2ex2sv0epe2cpsvwcz2d0vtfaaxff"&gt;90&lt;/key&gt;&lt;/foreign-keys&gt;&lt;ref-type name="Web Page"&gt;12&lt;/ref-type&gt;&lt;contributors&gt;&lt;authors&gt;&lt;author&gt;Government of Ethiopia,,&lt;/author&gt;&lt;/authors&gt;&lt;/contributors&gt;&lt;titles&gt;&lt;title&gt;Initial national communication of Ethiopia to the United Nations Framework Convention on Climate Change, http://unfccc.int/resource/docs/natc/ethnc1.pdf&lt;/title&gt;&lt;/titles&gt;&lt;dates&gt;&lt;year&gt;2001&lt;/year&gt;&lt;/dates&gt;&lt;urls&gt;&lt;pdf-urls&gt;&lt;url&gt;file:///M:/POL/CLI_CO/Public/Info/Citavi Team/Projects/CLI References (Citavi 4)/CitaviFiles/Government of China 2012 - The 12th Five Year Plan.pdf&lt;/url&gt;&lt;/pdf-urls&gt;&lt;/urls&gt;&lt;/record&gt;&lt;/Cite&gt;&lt;/EndNote&gt;</w:instrText>
      </w:r>
      <w:r>
        <w:rPr>
          <w:lang w:val="en-GB"/>
        </w:rPr>
        <w:fldChar w:fldCharType="separate"/>
      </w:r>
      <w:r>
        <w:rPr>
          <w:noProof/>
          <w:lang w:val="en-GB"/>
        </w:rPr>
        <w:t>[</w:t>
      </w:r>
      <w:hyperlink w:anchor="_ENREF_4" w:tooltip="Government of Ethiopia, 2001 #90" w:history="1">
        <w:r w:rsidR="005900CB">
          <w:rPr>
            <w:noProof/>
            <w:lang w:val="en-GB"/>
          </w:rPr>
          <w:t>4</w:t>
        </w:r>
      </w:hyperlink>
      <w:r>
        <w:rPr>
          <w:noProof/>
          <w:lang w:val="en-GB"/>
        </w:rPr>
        <w:t>]</w:t>
      </w:r>
      <w:r>
        <w:rPr>
          <w:lang w:val="en-GB"/>
        </w:rPr>
        <w:fldChar w:fldCharType="end"/>
      </w:r>
      <w:r>
        <w:rPr>
          <w:lang w:val="en-GB"/>
        </w:rPr>
        <w:t xml:space="preserve"> which provided historical level for net LULUCF emissions in 1994; </w:t>
      </w:r>
      <w:r w:rsidR="00780CE5">
        <w:rPr>
          <w:lang w:val="en-GB"/>
        </w:rPr>
        <w:t xml:space="preserve">however, </w:t>
      </w:r>
      <w:r w:rsidR="00884F9D">
        <w:rPr>
          <w:lang w:val="en-GB"/>
        </w:rPr>
        <w:t xml:space="preserve">no </w:t>
      </w:r>
      <w:r>
        <w:rPr>
          <w:lang w:val="en-GB"/>
        </w:rPr>
        <w:t xml:space="preserve">projections </w:t>
      </w:r>
      <w:r w:rsidR="00884F9D">
        <w:rPr>
          <w:lang w:val="en-GB"/>
        </w:rPr>
        <w:t xml:space="preserve">of LLULUCF sectorial </w:t>
      </w:r>
      <w:r>
        <w:rPr>
          <w:lang w:val="en-GB"/>
        </w:rPr>
        <w:t>emissions were reported.</w:t>
      </w:r>
    </w:p>
    <w:p w14:paraId="1C5D408D" w14:textId="45F686F6" w:rsidR="009029D6" w:rsidRDefault="009029D6" w:rsidP="00EF36E7">
      <w:pPr>
        <w:spacing w:line="360" w:lineRule="auto"/>
        <w:jc w:val="both"/>
        <w:rPr>
          <w:lang w:val="en-GB"/>
        </w:rPr>
      </w:pPr>
      <w:r w:rsidRPr="00504B58">
        <w:rPr>
          <w:b/>
          <w:lang w:val="en-GB"/>
        </w:rPr>
        <w:t>Gabon</w:t>
      </w:r>
    </w:p>
    <w:p w14:paraId="79ED207A" w14:textId="7A49EF1F" w:rsidR="009029D6" w:rsidRDefault="009029D6">
      <w:p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The data on emissions related to LULUCF </w:t>
      </w:r>
      <w:r w:rsidR="00B94EC8">
        <w:rPr>
          <w:lang w:val="en-GB"/>
        </w:rPr>
        <w:t xml:space="preserve">sector </w:t>
      </w:r>
      <w:r>
        <w:rPr>
          <w:lang w:val="en-GB"/>
        </w:rPr>
        <w:t xml:space="preserve">in </w:t>
      </w:r>
      <w:r w:rsidRPr="009029D6">
        <w:rPr>
          <w:lang w:val="en-GB"/>
        </w:rPr>
        <w:t>Gabon</w:t>
      </w:r>
      <w:r>
        <w:rPr>
          <w:lang w:val="en-GB"/>
        </w:rPr>
        <w:t xml:space="preserve"> are limited. </w:t>
      </w:r>
      <w:r w:rsidRPr="00BF739A">
        <w:rPr>
          <w:lang w:val="en-GB"/>
        </w:rPr>
        <w:t>The 1</w:t>
      </w:r>
      <w:r w:rsidRPr="00BF739A">
        <w:rPr>
          <w:vertAlign w:val="superscript"/>
          <w:lang w:val="en-GB"/>
        </w:rPr>
        <w:t>st</w:t>
      </w:r>
      <w:r w:rsidRPr="00BF739A">
        <w:rPr>
          <w:lang w:val="en-GB"/>
        </w:rPr>
        <w:t xml:space="preserve"> National Communication of Gabon provides aggregated emission levels for agriculture and LULUCF in</w:t>
      </w:r>
      <w:r>
        <w:rPr>
          <w:lang w:val="en-GB"/>
        </w:rPr>
        <w:t xml:space="preserve"> 1994 </w:t>
      </w:r>
      <w:r>
        <w:rPr>
          <w:lang w:val="en-GB"/>
        </w:rPr>
        <w:fldChar w:fldCharType="begin"/>
      </w:r>
      <w:r>
        <w:rPr>
          <w:lang w:val="en-GB"/>
        </w:rPr>
        <w:instrText xml:space="preserve"> ADDIN EN.CITE &lt;EndNote&gt;&lt;Cite&gt;&lt;Author&gt;Government of Gabon&lt;/Author&gt;&lt;Year&gt;2004&lt;/Year&gt;&lt;RecNum&gt;92&lt;/RecNum&gt;&lt;DisplayText&gt;[5]&lt;/DisplayText&gt;&lt;record&gt;&lt;rec-number&gt;92&lt;/rec-number&gt;&lt;foreign-keys&gt;&lt;key app="EN" db-id="2aswsaw2ex2sv0epe2cpsvwcz2d0vtfaaxff"&gt;92&lt;/key&gt;&lt;/foreign-keys&gt;&lt;ref-type name="Web Page"&gt;12&lt;/ref-type&gt;&lt;contributors&gt;&lt;authors&gt;&lt;author&gt;Government of Gabon,,&lt;/author&gt;&lt;/authors&gt;&lt;/contributors&gt;&lt;titles&gt;&lt;title&gt;Ministère de l&amp;apos;environnement et de la protection de la nature. Direction de l&amp;apos;environnement. Communication nationale sur les changements climatiques, http://unfccc.int/resource/docs/natc/gabnc1.pdf&lt;/title&gt;&lt;/titles&gt;&lt;dates&gt;&lt;year&gt;2004&lt;/year&gt;&lt;/dates&gt;&lt;urls&gt;&lt;pdf-urls&gt;&lt;url&gt;file:///M:/POL/CLI_CO/Public/Info/Citavi Team/Projects/CLI References (Citavi 4)/CitaviFiles/Government of China 2012 - The 12th Five Year Plan.pdf&lt;/url&gt;&lt;/pdf-urls&gt;&lt;/urls&gt;&lt;/record&gt;&lt;/Cite&gt;&lt;/EndNote&gt;</w:instrText>
      </w:r>
      <w:r>
        <w:rPr>
          <w:lang w:val="en-GB"/>
        </w:rPr>
        <w:fldChar w:fldCharType="separate"/>
      </w:r>
      <w:r>
        <w:rPr>
          <w:noProof/>
          <w:lang w:val="en-GB"/>
        </w:rPr>
        <w:t>[</w:t>
      </w:r>
      <w:hyperlink w:anchor="_ENREF_5" w:tooltip="Government of Gabon, 2004 #92" w:history="1">
        <w:r w:rsidR="005900CB">
          <w:rPr>
            <w:noProof/>
            <w:lang w:val="en-GB"/>
          </w:rPr>
          <w:t>5</w:t>
        </w:r>
      </w:hyperlink>
      <w:r>
        <w:rPr>
          <w:noProof/>
          <w:lang w:val="en-GB"/>
        </w:rPr>
        <w:t>]</w:t>
      </w:r>
      <w:r>
        <w:rPr>
          <w:lang w:val="en-GB"/>
        </w:rPr>
        <w:fldChar w:fldCharType="end"/>
      </w:r>
      <w:r>
        <w:rPr>
          <w:lang w:val="en-GB"/>
        </w:rPr>
        <w:t xml:space="preserve">, while in </w:t>
      </w:r>
      <w:r w:rsidR="00B94EC8">
        <w:rPr>
          <w:lang w:val="en-GB"/>
        </w:rPr>
        <w:t xml:space="preserve">the </w:t>
      </w:r>
      <w:r w:rsidRPr="00B00F72">
        <w:rPr>
          <w:lang w:val="en-GB"/>
        </w:rPr>
        <w:t>2</w:t>
      </w:r>
      <w:r w:rsidRPr="00B00F72">
        <w:rPr>
          <w:vertAlign w:val="superscript"/>
          <w:lang w:val="en-GB"/>
        </w:rPr>
        <w:t>nd</w:t>
      </w:r>
      <w:r w:rsidRPr="00B00F72">
        <w:rPr>
          <w:lang w:val="en-GB"/>
        </w:rPr>
        <w:t xml:space="preserve"> National Communication</w:t>
      </w:r>
      <w:r>
        <w:rPr>
          <w:lang w:val="en-GB"/>
        </w:rPr>
        <w:t xml:space="preserve"> these emissions are reported </w:t>
      </w:r>
      <w:r w:rsidR="007C28D7">
        <w:rPr>
          <w:lang w:val="en-GB"/>
        </w:rPr>
        <w:t xml:space="preserve">separately for these </w:t>
      </w:r>
      <w:r>
        <w:rPr>
          <w:lang w:val="en-GB"/>
        </w:rPr>
        <w:t xml:space="preserve">two categories </w:t>
      </w:r>
      <w:r>
        <w:rPr>
          <w:lang w:val="en-GB"/>
        </w:rPr>
        <w:fldChar w:fldCharType="begin"/>
      </w:r>
      <w:r>
        <w:rPr>
          <w:lang w:val="en-GB"/>
        </w:rPr>
        <w:instrText xml:space="preserve"> ADDIN EN.CITE &lt;EndNote&gt;&lt;Cite&gt;&lt;Author&gt;Government of Gabon&lt;/Author&gt;&lt;Year&gt;2011&lt;/Year&gt;&lt;RecNum&gt;93&lt;/RecNum&gt;&lt;DisplayText&gt;[6]&lt;/DisplayText&gt;&lt;record&gt;&lt;rec-number&gt;93&lt;/rec-number&gt;&lt;foreign-keys&gt;&lt;key app="EN" db-id="2aswsaw2ex2sv0epe2cpsvwcz2d0vtfaaxff"&gt;93&lt;/key&gt;&lt;/foreign-keys&gt;&lt;ref-type name="Web Page"&gt;12&lt;/ref-type&gt;&lt;contributors&gt;&lt;authors&gt;&lt;author&gt;Government of Gabon,,&lt;/author&gt;&lt;/authors&gt;&lt;/contributors&gt;&lt;titles&gt;&lt;title&gt;MINISTERE DE L’HABITAT, DE L’URBANISME, DE L’ECOLOGIE ET DU DEVELOPPEMENT DURABLE. Seconde Communication Nationale du Gabon sur le Changements, http://unfccc.int/resource/docs/natc/gabnc2.pdf&lt;/title&gt;&lt;/titles&gt;&lt;dates&gt;&lt;year&gt;2011&lt;/year&gt;&lt;/dates&gt;&lt;urls&gt;&lt;pdf-urls&gt;&lt;url&gt;file:///M:/POL/CLI_CO/Public/Info/Citavi Team/Projects/CLI References (Citavi 4)/CitaviFiles/Government of China 2012 - The 12th Five Year Plan.pdf&lt;/url&gt;&lt;/pdf-urls&gt;&lt;/urls&gt;&lt;/record&gt;&lt;/Cite&gt;&lt;/EndNote&gt;</w:instrText>
      </w:r>
      <w:r>
        <w:rPr>
          <w:lang w:val="en-GB"/>
        </w:rPr>
        <w:fldChar w:fldCharType="separate"/>
      </w:r>
      <w:r>
        <w:rPr>
          <w:noProof/>
          <w:lang w:val="en-GB"/>
        </w:rPr>
        <w:t>[</w:t>
      </w:r>
      <w:hyperlink w:anchor="_ENREF_6" w:tooltip="Government of Gabon, 2011 #93" w:history="1">
        <w:r w:rsidR="005900CB">
          <w:rPr>
            <w:noProof/>
            <w:lang w:val="en-GB"/>
          </w:rPr>
          <w:t>6</w:t>
        </w:r>
      </w:hyperlink>
      <w:r>
        <w:rPr>
          <w:noProof/>
          <w:lang w:val="en-GB"/>
        </w:rPr>
        <w:t>]</w:t>
      </w:r>
      <w:r>
        <w:rPr>
          <w:lang w:val="en-GB"/>
        </w:rPr>
        <w:fldChar w:fldCharType="end"/>
      </w:r>
      <w:r>
        <w:rPr>
          <w:lang w:val="en-GB"/>
        </w:rPr>
        <w:t xml:space="preserve">. Consequently, </w:t>
      </w:r>
      <w:r w:rsidR="00830EB4">
        <w:rPr>
          <w:lang w:val="en-GB"/>
        </w:rPr>
        <w:t>historical reporting on LULUCF emissions and removals are scarce for Gabon.</w:t>
      </w:r>
      <w:r>
        <w:rPr>
          <w:lang w:val="en-GB"/>
        </w:rPr>
        <w:t xml:space="preserve"> </w:t>
      </w:r>
      <w:r w:rsidRPr="0071610A">
        <w:rPr>
          <w:lang w:val="en-GB"/>
        </w:rPr>
        <w:t xml:space="preserve">The INDC of </w:t>
      </w:r>
      <w:r w:rsidRPr="0008140B">
        <w:rPr>
          <w:lang w:val="en-GB"/>
        </w:rPr>
        <w:t>Gabon</w:t>
      </w:r>
      <w:r w:rsidRPr="0071610A">
        <w:rPr>
          <w:lang w:val="en-GB"/>
        </w:rPr>
        <w:t xml:space="preserve"> covers the LULUCF sector and also includes </w:t>
      </w:r>
      <w:r>
        <w:rPr>
          <w:lang w:val="en-GB"/>
        </w:rPr>
        <w:t>BAU</w:t>
      </w:r>
      <w:r w:rsidRPr="0071610A">
        <w:rPr>
          <w:lang w:val="en-GB"/>
        </w:rPr>
        <w:t xml:space="preserve"> emission projections for the LULUCF sector</w:t>
      </w:r>
      <w:r>
        <w:rPr>
          <w:lang w:val="en-GB"/>
        </w:rPr>
        <w:t xml:space="preserve"> as well as the historical </w:t>
      </w:r>
      <w:r w:rsidR="007C28D7">
        <w:rPr>
          <w:lang w:val="en-GB"/>
        </w:rPr>
        <w:t xml:space="preserve">net LULUCF </w:t>
      </w:r>
      <w:r>
        <w:rPr>
          <w:lang w:val="en-GB"/>
        </w:rPr>
        <w:t>emissions for the year 2000</w:t>
      </w:r>
      <w:r w:rsidRPr="0071610A">
        <w:rPr>
          <w:lang w:val="en-GB"/>
        </w:rPr>
        <w:t xml:space="preserve">. However, there is an inconsistency between historical </w:t>
      </w:r>
      <w:r>
        <w:rPr>
          <w:lang w:val="en-GB"/>
        </w:rPr>
        <w:t xml:space="preserve">net </w:t>
      </w:r>
      <w:r w:rsidRPr="0071610A">
        <w:rPr>
          <w:lang w:val="en-GB"/>
        </w:rPr>
        <w:t xml:space="preserve">LULUCF emissions as reported in the INDC (80 </w:t>
      </w:r>
      <w:r>
        <w:rPr>
          <w:lang w:val="en-GB"/>
        </w:rPr>
        <w:t>Mt</w:t>
      </w:r>
      <w:r w:rsidR="007E3059">
        <w:rPr>
          <w:lang w:val="en-GB"/>
        </w:rPr>
        <w:t xml:space="preserve"> </w:t>
      </w:r>
      <w:r>
        <w:rPr>
          <w:lang w:val="en-GB"/>
        </w:rPr>
        <w:t>CO</w:t>
      </w:r>
      <w:r w:rsidRPr="00997997">
        <w:rPr>
          <w:vertAlign w:val="subscript"/>
          <w:lang w:val="en-GB"/>
        </w:rPr>
        <w:t>2</w:t>
      </w:r>
      <w:r w:rsidRPr="0071610A">
        <w:rPr>
          <w:lang w:val="en-GB"/>
        </w:rPr>
        <w:t xml:space="preserve">e </w:t>
      </w:r>
      <w:r w:rsidR="007E3059">
        <w:rPr>
          <w:bCs/>
        </w:rPr>
        <w:t>yr</w:t>
      </w:r>
      <w:r w:rsidR="007E3059" w:rsidRPr="00B717B5">
        <w:rPr>
          <w:bCs/>
          <w:vertAlign w:val="superscript"/>
        </w:rPr>
        <w:t>-1</w:t>
      </w:r>
      <w:r w:rsidR="007E3059" w:rsidRPr="0071610A">
        <w:rPr>
          <w:lang w:val="en-GB"/>
        </w:rPr>
        <w:t xml:space="preserve"> </w:t>
      </w:r>
      <w:r w:rsidRPr="0071610A">
        <w:rPr>
          <w:lang w:val="en-GB"/>
        </w:rPr>
        <w:t xml:space="preserve">in 2000) and historical </w:t>
      </w:r>
      <w:r>
        <w:rPr>
          <w:lang w:val="en-GB"/>
        </w:rPr>
        <w:t xml:space="preserve">net </w:t>
      </w:r>
      <w:r w:rsidRPr="0071610A">
        <w:rPr>
          <w:lang w:val="en-GB"/>
        </w:rPr>
        <w:t>LULUCF emissions as reported in the 2</w:t>
      </w:r>
      <w:r w:rsidRPr="004F18DD">
        <w:rPr>
          <w:vertAlign w:val="superscript"/>
          <w:lang w:val="en-GB"/>
        </w:rPr>
        <w:t>nd</w:t>
      </w:r>
      <w:r w:rsidRPr="0071610A">
        <w:rPr>
          <w:lang w:val="en-GB"/>
        </w:rPr>
        <w:t xml:space="preserve"> National Communication </w:t>
      </w:r>
      <w:r>
        <w:rPr>
          <w:lang w:val="en-GB"/>
        </w:rPr>
        <w:fldChar w:fldCharType="begin"/>
      </w:r>
      <w:r>
        <w:rPr>
          <w:lang w:val="en-GB"/>
        </w:rPr>
        <w:instrText xml:space="preserve"> ADDIN EN.CITE &lt;EndNote&gt;&lt;Cite&gt;&lt;Author&gt;Government of Gabon&lt;/Author&gt;&lt;Year&gt;2011&lt;/Year&gt;&lt;RecNum&gt;93&lt;/RecNum&gt;&lt;DisplayText&gt;[6]&lt;/DisplayText&gt;&lt;record&gt;&lt;rec-number&gt;93&lt;/rec-number&gt;&lt;foreign-keys&gt;&lt;key app="EN" db-id="2aswsaw2ex2sv0epe2cpsvwcz2d0vtfaaxff"&gt;93&lt;/key&gt;&lt;/foreign-keys&gt;&lt;ref-type name="Web Page"&gt;12&lt;/ref-type&gt;&lt;contributors&gt;&lt;authors&gt;&lt;author&gt;Government of Gabon,,&lt;/author&gt;&lt;/authors&gt;&lt;/contributors&gt;&lt;titles&gt;&lt;title&gt;MINISTERE DE L’HABITAT, DE L’URBANISME, DE L’ECOLOGIE ET DU DEVELOPPEMENT DURABLE. Seconde Communication Nationale du Gabon sur le Changements, http://unfccc.int/resource/docs/natc/gabnc2.pdf&lt;/title&gt;&lt;/titles&gt;&lt;dates&gt;&lt;year&gt;2011&lt;/year&gt;&lt;/dates&gt;&lt;urls&gt;&lt;pdf-urls&gt;&lt;url&gt;file:///M:/POL/CLI_CO/Public/Info/Citavi Team/Projects/CLI References (Citavi 4)/CitaviFiles/Government of China 2012 - The 12th Five Year Plan.pdf&lt;/url&gt;&lt;/pdf-urls&gt;&lt;/urls&gt;&lt;/record&gt;&lt;/Cite&gt;&lt;/EndNote&gt;</w:instrText>
      </w:r>
      <w:r>
        <w:rPr>
          <w:lang w:val="en-GB"/>
        </w:rPr>
        <w:fldChar w:fldCharType="separate"/>
      </w:r>
      <w:r>
        <w:rPr>
          <w:noProof/>
          <w:lang w:val="en-GB"/>
        </w:rPr>
        <w:t>[</w:t>
      </w:r>
      <w:hyperlink w:anchor="_ENREF_6" w:tooltip="Government of Gabon, 2011 #93" w:history="1">
        <w:r w:rsidR="005900CB">
          <w:rPr>
            <w:noProof/>
            <w:lang w:val="en-GB"/>
          </w:rPr>
          <w:t>6</w:t>
        </w:r>
      </w:hyperlink>
      <w:r>
        <w:rPr>
          <w:noProof/>
          <w:lang w:val="en-GB"/>
        </w:rPr>
        <w:t>]</w:t>
      </w:r>
      <w:r>
        <w:rPr>
          <w:lang w:val="en-GB"/>
        </w:rPr>
        <w:fldChar w:fldCharType="end"/>
      </w:r>
      <w:r w:rsidRPr="0000577B" w:rsidDel="0000577B">
        <w:rPr>
          <w:lang w:val="en-GB"/>
        </w:rPr>
        <w:t xml:space="preserve"> </w:t>
      </w:r>
      <w:r w:rsidRPr="0071610A">
        <w:rPr>
          <w:lang w:val="en-GB"/>
        </w:rPr>
        <w:t xml:space="preserve">(-64 </w:t>
      </w:r>
      <w:r>
        <w:rPr>
          <w:lang w:val="en-GB"/>
        </w:rPr>
        <w:t>Mt</w:t>
      </w:r>
      <w:r w:rsidR="007E3059">
        <w:rPr>
          <w:lang w:val="en-GB"/>
        </w:rPr>
        <w:t xml:space="preserve"> </w:t>
      </w:r>
      <w:r>
        <w:rPr>
          <w:lang w:val="en-GB"/>
        </w:rPr>
        <w:t>CO</w:t>
      </w:r>
      <w:r w:rsidRPr="00997997">
        <w:rPr>
          <w:vertAlign w:val="subscript"/>
          <w:lang w:val="en-GB"/>
        </w:rPr>
        <w:t>2</w:t>
      </w:r>
      <w:r w:rsidRPr="0071610A">
        <w:rPr>
          <w:lang w:val="en-GB"/>
        </w:rPr>
        <w:t xml:space="preserve">e </w:t>
      </w:r>
      <w:r w:rsidR="007E3059">
        <w:rPr>
          <w:bCs/>
        </w:rPr>
        <w:t>yr</w:t>
      </w:r>
      <w:r w:rsidR="007E3059" w:rsidRPr="00B717B5">
        <w:rPr>
          <w:bCs/>
          <w:vertAlign w:val="superscript"/>
        </w:rPr>
        <w:t>-1</w:t>
      </w:r>
      <w:r w:rsidR="007E3059" w:rsidRPr="0071610A">
        <w:rPr>
          <w:lang w:val="en-GB"/>
        </w:rPr>
        <w:t xml:space="preserve"> </w:t>
      </w:r>
      <w:r w:rsidRPr="0071610A">
        <w:rPr>
          <w:lang w:val="en-GB"/>
        </w:rPr>
        <w:t xml:space="preserve">in 2000). </w:t>
      </w:r>
      <w:r>
        <w:rPr>
          <w:lang w:val="en-GB"/>
        </w:rPr>
        <w:t xml:space="preserve">This problem is discussed </w:t>
      </w:r>
      <w:r w:rsidR="007C28D7">
        <w:rPr>
          <w:lang w:val="en-GB"/>
        </w:rPr>
        <w:t>by the</w:t>
      </w:r>
      <w:r w:rsidR="00B94EC8">
        <w:rPr>
          <w:lang w:val="en-GB"/>
        </w:rPr>
        <w:t xml:space="preserve"> </w:t>
      </w:r>
      <w:r w:rsidRPr="00D06AF9">
        <w:rPr>
          <w:lang w:val="en-GB"/>
        </w:rPr>
        <w:t xml:space="preserve">Climate Action Tracker </w:t>
      </w:r>
      <w:r>
        <w:rPr>
          <w:lang w:val="en-GB"/>
        </w:rPr>
        <w:fldChar w:fldCharType="begin"/>
      </w:r>
      <w:r w:rsidR="005900CB">
        <w:rPr>
          <w:lang w:val="en-GB"/>
        </w:rPr>
        <w:instrText xml:space="preserve"> ADDIN EN.CITE &lt;EndNote&gt;&lt;Cite ExcludeAuth="1"&gt;&lt;Author&gt;Climate Action Tracker&lt;/Author&gt;&lt;Year&gt;2015&lt;/Year&gt;&lt;RecNum&gt;207&lt;/RecNum&gt;&lt;DisplayText&gt;[7]&lt;/DisplayText&gt;&lt;record&gt;&lt;rec-number&gt;207&lt;/rec-number&gt;&lt;foreign-keys&gt;&lt;key app="EN" db-id="ddttpezpfrtd21e9re85faex2a0v50e5x9af"&gt;207&lt;/key&gt;&lt;/foreign-keys&gt;&lt;ref-type name="Report"&gt;27&lt;/ref-type&gt;&lt;contributors&gt;&lt;authors&gt;&lt;author&gt;Climate Action Tracker,,&lt;/author&gt;&lt;/authors&gt;&lt;/contributors&gt;&lt;titles&gt;&lt;title&gt;http://climateactiontracker.org/&lt;/title&gt;&lt;/titles&gt;&lt;dates&gt;&lt;year&gt;2015&lt;/year&gt;&lt;/dates&gt;&lt;urls&gt;&lt;/urls&gt;&lt;/record&gt;&lt;/Cite&gt;&lt;/EndNote&gt;</w:instrText>
      </w:r>
      <w:r>
        <w:rPr>
          <w:lang w:val="en-GB"/>
        </w:rPr>
        <w:fldChar w:fldCharType="separate"/>
      </w:r>
      <w:r>
        <w:rPr>
          <w:noProof/>
          <w:lang w:val="en-GB"/>
        </w:rPr>
        <w:t>[</w:t>
      </w:r>
      <w:hyperlink w:anchor="_ENREF_7" w:tooltip="Climate Action Tracker, 2015 #207" w:history="1">
        <w:r w:rsidR="005900CB">
          <w:rPr>
            <w:noProof/>
            <w:lang w:val="en-GB"/>
          </w:rPr>
          <w:t>7</w:t>
        </w:r>
      </w:hyperlink>
      <w:r>
        <w:rPr>
          <w:noProof/>
          <w:lang w:val="en-GB"/>
        </w:rPr>
        <w:t>]</w:t>
      </w:r>
      <w:r>
        <w:rPr>
          <w:lang w:val="en-GB"/>
        </w:rPr>
        <w:fldChar w:fldCharType="end"/>
      </w:r>
      <w:r>
        <w:rPr>
          <w:lang w:val="en-GB"/>
        </w:rPr>
        <w:t xml:space="preserve">, </w:t>
      </w:r>
      <w:r w:rsidR="007C28D7">
        <w:rPr>
          <w:lang w:val="en-GB"/>
        </w:rPr>
        <w:t>and</w:t>
      </w:r>
      <w:r w:rsidR="00780CE5">
        <w:rPr>
          <w:lang w:val="en-GB"/>
        </w:rPr>
        <w:t xml:space="preserve">, to the extent of our knowledge, </w:t>
      </w:r>
      <w:r w:rsidR="007C28D7">
        <w:rPr>
          <w:lang w:val="en-GB"/>
        </w:rPr>
        <w:t>no clear explanation for the discrepancy has been presented yet.</w:t>
      </w:r>
      <w:r>
        <w:rPr>
          <w:lang w:val="en-GB"/>
        </w:rPr>
        <w:t xml:space="preserve"> </w:t>
      </w:r>
    </w:p>
    <w:p w14:paraId="1903DCE9" w14:textId="721060D0" w:rsidR="009029D6" w:rsidRDefault="009029D6" w:rsidP="00EF36E7">
      <w:pPr>
        <w:spacing w:line="360" w:lineRule="auto"/>
        <w:jc w:val="both"/>
      </w:pPr>
      <w:r>
        <w:rPr>
          <w:lang w:val="en-GB"/>
        </w:rPr>
        <w:t xml:space="preserve">The </w:t>
      </w:r>
      <w:r w:rsidR="007C28D7">
        <w:rPr>
          <w:lang w:val="en-GB"/>
        </w:rPr>
        <w:t xml:space="preserve">BAU and INDC mitigation scenario </w:t>
      </w:r>
      <w:proofErr w:type="gramStart"/>
      <w:r w:rsidR="007C28D7">
        <w:rPr>
          <w:lang w:val="en-GB"/>
        </w:rPr>
        <w:t xml:space="preserve">as </w:t>
      </w:r>
      <w:r>
        <w:rPr>
          <w:lang w:val="en-GB"/>
        </w:rPr>
        <w:t xml:space="preserve"> provided</w:t>
      </w:r>
      <w:proofErr w:type="gramEnd"/>
      <w:r>
        <w:rPr>
          <w:lang w:val="en-GB"/>
        </w:rPr>
        <w:t xml:space="preserve"> in this study </w:t>
      </w:r>
      <w:r w:rsidR="007C28D7">
        <w:rPr>
          <w:lang w:val="en-GB"/>
        </w:rPr>
        <w:t xml:space="preserve">have been constructed </w:t>
      </w:r>
      <w:r>
        <w:rPr>
          <w:lang w:val="en-GB"/>
        </w:rPr>
        <w:t xml:space="preserve"> based on the </w:t>
      </w:r>
      <w:r w:rsidR="007C28D7">
        <w:rPr>
          <w:lang w:val="en-GB"/>
        </w:rPr>
        <w:t xml:space="preserve">BAU scenario and </w:t>
      </w:r>
      <w:r>
        <w:rPr>
          <w:lang w:val="en-GB"/>
        </w:rPr>
        <w:t xml:space="preserve">data reported in the INDC. </w:t>
      </w:r>
      <w:r>
        <w:t xml:space="preserve">A few mitigation policies in the LULUCF sector are mentioned in </w:t>
      </w:r>
      <w:r w:rsidR="00780CE5">
        <w:t xml:space="preserve">the </w:t>
      </w:r>
      <w:r>
        <w:t xml:space="preserve">INDC (e.g., Code Forestier, Plan National </w:t>
      </w:r>
      <w:proofErr w:type="spellStart"/>
      <w:r w:rsidRPr="008E3BB1">
        <w:t>d’Affectation</w:t>
      </w:r>
      <w:proofErr w:type="spellEnd"/>
      <w:r>
        <w:t xml:space="preserve"> de Terre). </w:t>
      </w:r>
      <w:r w:rsidRPr="0071610A">
        <w:rPr>
          <w:lang w:val="en-GB"/>
        </w:rPr>
        <w:t xml:space="preserve">The mitigation potential for Gabon is expected to slightly increase over time, from 95 </w:t>
      </w:r>
      <w:r>
        <w:rPr>
          <w:lang w:val="en-GB"/>
        </w:rPr>
        <w:t>Mt</w:t>
      </w:r>
      <w:r w:rsidR="007E3059">
        <w:rPr>
          <w:lang w:val="en-GB"/>
        </w:rPr>
        <w:t xml:space="preserve"> </w:t>
      </w:r>
      <w:r>
        <w:rPr>
          <w:lang w:val="en-GB"/>
        </w:rPr>
        <w:t>CO</w:t>
      </w:r>
      <w:r w:rsidRPr="00997997">
        <w:rPr>
          <w:vertAlign w:val="subscript"/>
          <w:lang w:val="en-GB"/>
        </w:rPr>
        <w:t>2</w:t>
      </w:r>
      <w:r w:rsidRPr="0071610A">
        <w:rPr>
          <w:lang w:val="en-GB"/>
        </w:rPr>
        <w:t xml:space="preserve">e </w:t>
      </w:r>
      <w:r w:rsidR="007E3059">
        <w:rPr>
          <w:bCs/>
        </w:rPr>
        <w:t>yr</w:t>
      </w:r>
      <w:r w:rsidR="007E3059" w:rsidRPr="00B717B5">
        <w:rPr>
          <w:bCs/>
          <w:vertAlign w:val="superscript"/>
        </w:rPr>
        <w:t>-1</w:t>
      </w:r>
      <w:r w:rsidR="007E3059" w:rsidRPr="0071610A">
        <w:rPr>
          <w:lang w:val="en-GB"/>
        </w:rPr>
        <w:t xml:space="preserve"> </w:t>
      </w:r>
      <w:proofErr w:type="gramStart"/>
      <w:r w:rsidRPr="0071610A">
        <w:rPr>
          <w:lang w:val="en-GB"/>
        </w:rPr>
        <w:t xml:space="preserve">in 2020 to 102 </w:t>
      </w:r>
      <w:r>
        <w:rPr>
          <w:lang w:val="en-GB"/>
        </w:rPr>
        <w:t>Mt</w:t>
      </w:r>
      <w:r w:rsidR="007E3059">
        <w:rPr>
          <w:lang w:val="en-GB"/>
        </w:rPr>
        <w:t xml:space="preserve"> </w:t>
      </w:r>
      <w:r>
        <w:rPr>
          <w:lang w:val="en-GB"/>
        </w:rPr>
        <w:t>CO</w:t>
      </w:r>
      <w:r w:rsidRPr="00997997">
        <w:rPr>
          <w:vertAlign w:val="subscript"/>
          <w:lang w:val="en-GB"/>
        </w:rPr>
        <w:t>2</w:t>
      </w:r>
      <w:r w:rsidRPr="0071610A">
        <w:rPr>
          <w:lang w:val="en-GB"/>
        </w:rPr>
        <w:t xml:space="preserve">e </w:t>
      </w:r>
      <w:r w:rsidR="007E3059">
        <w:rPr>
          <w:bCs/>
        </w:rPr>
        <w:t>yr</w:t>
      </w:r>
      <w:r w:rsidR="007E3059" w:rsidRPr="00B717B5">
        <w:rPr>
          <w:bCs/>
          <w:vertAlign w:val="superscript"/>
        </w:rPr>
        <w:t>-1</w:t>
      </w:r>
      <w:r w:rsidR="007E3059" w:rsidRPr="0071610A">
        <w:rPr>
          <w:lang w:val="en-GB"/>
        </w:rPr>
        <w:t xml:space="preserve"> </w:t>
      </w:r>
      <w:r w:rsidRPr="0071610A">
        <w:rPr>
          <w:lang w:val="en-GB"/>
        </w:rPr>
        <w:t xml:space="preserve">in 2030, compared to </w:t>
      </w:r>
      <w:r w:rsidR="007E3059">
        <w:rPr>
          <w:lang w:val="en-GB"/>
        </w:rPr>
        <w:t xml:space="preserve">the </w:t>
      </w:r>
      <w:r>
        <w:rPr>
          <w:lang w:val="en-GB"/>
        </w:rPr>
        <w:t xml:space="preserve">BAU </w:t>
      </w:r>
      <w:r w:rsidRPr="0071610A">
        <w:rPr>
          <w:lang w:val="en-GB"/>
        </w:rPr>
        <w:t>s</w:t>
      </w:r>
      <w:r w:rsidR="007E3059">
        <w:rPr>
          <w:lang w:val="en-GB"/>
        </w:rPr>
        <w:t>cenario</w:t>
      </w:r>
      <w:proofErr w:type="gramEnd"/>
      <w:r w:rsidRPr="0071610A">
        <w:rPr>
          <w:lang w:val="en-GB"/>
        </w:rPr>
        <w:t xml:space="preserve">. </w:t>
      </w:r>
      <w:r>
        <w:rPr>
          <w:lang w:val="en-GB"/>
        </w:rPr>
        <w:t xml:space="preserve">The aforementioned data inconsistency is also assessed in terms of uncertainties; it is assumed that both scenarios may stay constant over time at the level of last available inventory data. </w:t>
      </w:r>
    </w:p>
    <w:p w14:paraId="28E78729" w14:textId="43D2C48C" w:rsidR="009029D6" w:rsidRDefault="009029D6" w:rsidP="00EF36E7">
      <w:pPr>
        <w:spacing w:line="360" w:lineRule="auto"/>
        <w:jc w:val="both"/>
        <w:rPr>
          <w:lang w:val="en-GB"/>
        </w:rPr>
      </w:pPr>
      <w:r w:rsidRPr="00504B58">
        <w:rPr>
          <w:b/>
          <w:lang w:val="en-GB"/>
        </w:rPr>
        <w:t>Japan</w:t>
      </w:r>
    </w:p>
    <w:p w14:paraId="728C3E24" w14:textId="38F8A7C3" w:rsidR="009029D6" w:rsidRDefault="009029D6">
      <w:pPr>
        <w:spacing w:line="360" w:lineRule="auto"/>
        <w:jc w:val="both"/>
        <w:rPr>
          <w:lang w:val="en-GB"/>
        </w:rPr>
      </w:pPr>
      <w:r w:rsidRPr="0071610A">
        <w:rPr>
          <w:lang w:val="en-GB"/>
        </w:rPr>
        <w:t xml:space="preserve">The INDC of </w:t>
      </w:r>
      <w:r w:rsidRPr="009029D6">
        <w:rPr>
          <w:lang w:val="en-GB"/>
        </w:rPr>
        <w:t>Japan</w:t>
      </w:r>
      <w:r w:rsidRPr="0071610A">
        <w:rPr>
          <w:lang w:val="en-GB"/>
        </w:rPr>
        <w:t xml:space="preserve"> does not provide LULUCF projections </w:t>
      </w:r>
      <w:r w:rsidR="00864F86">
        <w:rPr>
          <w:lang w:val="en-GB"/>
        </w:rPr>
        <w:t>corresponding to a BAU</w:t>
      </w:r>
      <w:r w:rsidRPr="0071610A">
        <w:rPr>
          <w:lang w:val="en-GB"/>
        </w:rPr>
        <w:t xml:space="preserve"> nor </w:t>
      </w:r>
      <w:r w:rsidR="00864F86">
        <w:rPr>
          <w:lang w:val="en-GB"/>
        </w:rPr>
        <w:t xml:space="preserve">an </w:t>
      </w:r>
      <w:r w:rsidRPr="0071610A">
        <w:rPr>
          <w:lang w:val="en-GB"/>
        </w:rPr>
        <w:t xml:space="preserve">INDC </w:t>
      </w:r>
      <w:r w:rsidR="00864F86">
        <w:rPr>
          <w:lang w:val="en-GB"/>
        </w:rPr>
        <w:t>mitigation scenario</w:t>
      </w:r>
      <w:r w:rsidRPr="0071610A">
        <w:rPr>
          <w:lang w:val="en-GB"/>
        </w:rPr>
        <w:t xml:space="preserve">. </w:t>
      </w:r>
      <w:r w:rsidR="00780CE5">
        <w:rPr>
          <w:lang w:val="en-GB"/>
        </w:rPr>
        <w:t>P</w:t>
      </w:r>
      <w:r w:rsidR="00864F86">
        <w:rPr>
          <w:lang w:val="en-GB"/>
        </w:rPr>
        <w:t xml:space="preserve">rojections for the </w:t>
      </w:r>
      <w:r w:rsidRPr="0071610A">
        <w:rPr>
          <w:lang w:val="en-GB"/>
        </w:rPr>
        <w:t xml:space="preserve">LULUCF </w:t>
      </w:r>
      <w:r w:rsidR="00864F86">
        <w:rPr>
          <w:lang w:val="en-GB"/>
        </w:rPr>
        <w:t xml:space="preserve">sector </w:t>
      </w:r>
      <w:r w:rsidRPr="0071610A">
        <w:rPr>
          <w:lang w:val="en-GB"/>
        </w:rPr>
        <w:t xml:space="preserve">are </w:t>
      </w:r>
      <w:r>
        <w:rPr>
          <w:lang w:val="en-GB"/>
        </w:rPr>
        <w:t xml:space="preserve">also </w:t>
      </w:r>
      <w:r w:rsidRPr="0071610A">
        <w:rPr>
          <w:lang w:val="en-GB"/>
        </w:rPr>
        <w:t>provided in the 6</w:t>
      </w:r>
      <w:r w:rsidRPr="004F18DD">
        <w:rPr>
          <w:vertAlign w:val="superscript"/>
          <w:lang w:val="en-GB"/>
        </w:rPr>
        <w:t>th</w:t>
      </w:r>
      <w:r w:rsidRPr="0071610A">
        <w:rPr>
          <w:lang w:val="en-GB"/>
        </w:rPr>
        <w:t xml:space="preserve"> National Communication </w:t>
      </w:r>
      <w:r>
        <w:rPr>
          <w:lang w:val="en-GB"/>
        </w:rPr>
        <w:fldChar w:fldCharType="begin"/>
      </w:r>
      <w:r>
        <w:rPr>
          <w:lang w:val="en-GB"/>
        </w:rPr>
        <w:instrText xml:space="preserve"> ADDIN EN.CITE &lt;EndNote&gt;&lt;Cite&gt;&lt;Author&gt;Government of Japan&lt;/Author&gt;&lt;Year&gt;2012&lt;/Year&gt;&lt;RecNum&gt;95&lt;/RecNum&gt;&lt;DisplayText&gt;[8]&lt;/DisplayText&gt;&lt;record&gt;&lt;rec-number&gt;95&lt;/rec-number&gt;&lt;foreign-keys&gt;&lt;key app="EN" db-id="2aswsaw2ex2sv0epe2cpsvwcz2d0vtfaaxff"&gt;95&lt;/key&gt;&lt;/foreign-keys&gt;&lt;ref-type name="Report"&gt;27&lt;/ref-type&gt;&lt;contributors&gt;&lt;authors&gt;&lt;author&gt;Government of Japan,,&lt;/author&gt;&lt;/authors&gt;&lt;/contributors&gt;&lt;titles&gt;&lt;title&gt;Sixth National Communication to the United Nations Framework Convention on Climate Change, http://unfccc.int/files/national_reports/annex_i_natcom/submitted_natcom/application/pdf/nc6_jpn_resubmission.pdf&lt;/title&gt;&lt;/titles&gt;&lt;dates&gt;&lt;year&gt;2012&lt;/year&gt;&lt;/dates&gt;&lt;urls&gt;&lt;/urls&gt;&lt;/record&gt;&lt;/Cite&gt;&lt;/EndNote&gt;</w:instrText>
      </w:r>
      <w:r>
        <w:rPr>
          <w:lang w:val="en-GB"/>
        </w:rPr>
        <w:fldChar w:fldCharType="separate"/>
      </w:r>
      <w:r>
        <w:rPr>
          <w:noProof/>
          <w:lang w:val="en-GB"/>
        </w:rPr>
        <w:t>[</w:t>
      </w:r>
      <w:hyperlink w:anchor="_ENREF_8" w:tooltip="Government of Japan, 2012 #95" w:history="1">
        <w:r w:rsidR="005900CB">
          <w:rPr>
            <w:noProof/>
            <w:lang w:val="en-GB"/>
          </w:rPr>
          <w:t>8</w:t>
        </w:r>
      </w:hyperlink>
      <w:r>
        <w:rPr>
          <w:noProof/>
          <w:lang w:val="en-GB"/>
        </w:rPr>
        <w:t>]</w:t>
      </w:r>
      <w:r>
        <w:rPr>
          <w:lang w:val="en-GB"/>
        </w:rPr>
        <w:fldChar w:fldCharType="end"/>
      </w:r>
      <w:r w:rsidRPr="0071610A">
        <w:rPr>
          <w:lang w:val="en-GB"/>
        </w:rPr>
        <w:t>. Consequently, our</w:t>
      </w:r>
      <w:r w:rsidR="00864F86">
        <w:rPr>
          <w:lang w:val="en-GB"/>
        </w:rPr>
        <w:t xml:space="preserve"> BAU scenario conservatively </w:t>
      </w:r>
      <w:r w:rsidRPr="0071610A">
        <w:rPr>
          <w:lang w:val="en-GB"/>
        </w:rPr>
        <w:t>assumes that LULUCF emissions</w:t>
      </w:r>
      <w:r>
        <w:rPr>
          <w:lang w:val="en-GB"/>
        </w:rPr>
        <w:t xml:space="preserve"> and removals</w:t>
      </w:r>
      <w:r w:rsidRPr="0071610A">
        <w:rPr>
          <w:lang w:val="en-GB"/>
        </w:rPr>
        <w:t xml:space="preserve"> </w:t>
      </w:r>
      <w:r w:rsidR="00864F86">
        <w:rPr>
          <w:lang w:val="en-GB"/>
        </w:rPr>
        <w:t xml:space="preserve">will </w:t>
      </w:r>
      <w:r w:rsidRPr="0071610A">
        <w:rPr>
          <w:lang w:val="en-GB"/>
        </w:rPr>
        <w:t>stay constant over time, at the level of 2010</w:t>
      </w:r>
      <w:r w:rsidR="00780CE5">
        <w:rPr>
          <w:lang w:val="en-GB"/>
        </w:rPr>
        <w:t>,</w:t>
      </w:r>
      <w:r w:rsidRPr="0071610A">
        <w:rPr>
          <w:lang w:val="en-GB"/>
        </w:rPr>
        <w:t xml:space="preserve"> as updated according to 2015 UNFCCC reporting of CRF tables (-69 </w:t>
      </w:r>
      <w:r>
        <w:rPr>
          <w:lang w:val="en-GB"/>
        </w:rPr>
        <w:t>Mt</w:t>
      </w:r>
      <w:r w:rsidR="007E3059">
        <w:rPr>
          <w:lang w:val="en-GB"/>
        </w:rPr>
        <w:t xml:space="preserve"> </w:t>
      </w:r>
      <w:r>
        <w:rPr>
          <w:lang w:val="en-GB"/>
        </w:rPr>
        <w:t>CO</w:t>
      </w:r>
      <w:r w:rsidRPr="00997997">
        <w:rPr>
          <w:vertAlign w:val="subscript"/>
          <w:lang w:val="en-GB"/>
        </w:rPr>
        <w:t>2</w:t>
      </w:r>
      <w:r>
        <w:rPr>
          <w:lang w:val="en-GB"/>
        </w:rPr>
        <w:t>e</w:t>
      </w:r>
      <w:r w:rsidR="007E3059">
        <w:rPr>
          <w:lang w:val="en-GB"/>
        </w:rPr>
        <w:t xml:space="preserve"> </w:t>
      </w:r>
      <w:r w:rsidR="007E3059">
        <w:rPr>
          <w:bCs/>
        </w:rPr>
        <w:t>yr</w:t>
      </w:r>
      <w:r w:rsidR="007E3059" w:rsidRPr="00B717B5">
        <w:rPr>
          <w:bCs/>
          <w:vertAlign w:val="superscript"/>
        </w:rPr>
        <w:t>-1</w:t>
      </w:r>
      <w:r w:rsidRPr="0071610A">
        <w:rPr>
          <w:lang w:val="en-GB"/>
        </w:rPr>
        <w:t>). Japan</w:t>
      </w:r>
      <w:r>
        <w:rPr>
          <w:lang w:val="en-GB"/>
        </w:rPr>
        <w:t>’</w:t>
      </w:r>
      <w:r w:rsidRPr="0071610A">
        <w:rPr>
          <w:lang w:val="en-GB"/>
        </w:rPr>
        <w:t>s INDC does provide an</w:t>
      </w:r>
      <w:r>
        <w:rPr>
          <w:lang w:val="en-GB"/>
        </w:rPr>
        <w:t xml:space="preserve"> unconditional</w:t>
      </w:r>
      <w:r w:rsidRPr="0071610A">
        <w:rPr>
          <w:lang w:val="en-GB"/>
        </w:rPr>
        <w:t xml:space="preserve"> emission reduction target for the LULUCF sector by 2030, stating that </w:t>
      </w:r>
      <w:r>
        <w:rPr>
          <w:lang w:val="en-GB"/>
        </w:rPr>
        <w:t xml:space="preserve">net </w:t>
      </w:r>
      <w:r w:rsidRPr="0071610A">
        <w:rPr>
          <w:lang w:val="en-GB"/>
        </w:rPr>
        <w:t xml:space="preserve">LULUCF emissions will be reduced by 37 </w:t>
      </w:r>
      <w:r>
        <w:rPr>
          <w:lang w:val="en-GB"/>
        </w:rPr>
        <w:t>Mt</w:t>
      </w:r>
      <w:r w:rsidR="007E3059">
        <w:rPr>
          <w:lang w:val="en-GB"/>
        </w:rPr>
        <w:t xml:space="preserve"> </w:t>
      </w:r>
      <w:r>
        <w:rPr>
          <w:lang w:val="en-GB"/>
        </w:rPr>
        <w:t>CO</w:t>
      </w:r>
      <w:r w:rsidRPr="00997997">
        <w:rPr>
          <w:vertAlign w:val="subscript"/>
          <w:lang w:val="en-GB"/>
        </w:rPr>
        <w:t>2</w:t>
      </w:r>
      <w:r w:rsidRPr="0071610A">
        <w:rPr>
          <w:lang w:val="en-GB"/>
        </w:rPr>
        <w:t xml:space="preserve">eq </w:t>
      </w:r>
      <w:r w:rsidR="007E3059">
        <w:rPr>
          <w:bCs/>
        </w:rPr>
        <w:t>yr</w:t>
      </w:r>
      <w:r w:rsidR="007E3059" w:rsidRPr="00B717B5">
        <w:rPr>
          <w:bCs/>
          <w:vertAlign w:val="superscript"/>
        </w:rPr>
        <w:t>-1</w:t>
      </w:r>
      <w:r w:rsidR="007E3059" w:rsidRPr="0071610A">
        <w:rPr>
          <w:lang w:val="en-GB"/>
        </w:rPr>
        <w:t xml:space="preserve"> </w:t>
      </w:r>
      <w:r w:rsidRPr="0071610A">
        <w:rPr>
          <w:lang w:val="en-GB"/>
        </w:rPr>
        <w:t>in 2030 compared to 2010</w:t>
      </w:r>
      <w:r w:rsidR="007E3059">
        <w:rPr>
          <w:lang w:val="en-GB"/>
        </w:rPr>
        <w:t xml:space="preserve"> levels</w:t>
      </w:r>
      <w:r w:rsidRPr="0071610A">
        <w:rPr>
          <w:lang w:val="en-GB"/>
        </w:rPr>
        <w:t xml:space="preserve">. </w:t>
      </w:r>
      <w:r w:rsidR="00830EB4">
        <w:rPr>
          <w:lang w:val="en-GB"/>
        </w:rPr>
        <w:t xml:space="preserve">This implies that the net LULUCF emissions could be reduced </w:t>
      </w:r>
      <w:proofErr w:type="gramStart"/>
      <w:r w:rsidR="00830EB4">
        <w:rPr>
          <w:lang w:val="en-GB"/>
        </w:rPr>
        <w:t xml:space="preserve">by </w:t>
      </w:r>
      <w:r w:rsidR="00830EB4" w:rsidRPr="0071610A">
        <w:rPr>
          <w:lang w:val="en-GB"/>
        </w:rPr>
        <w:t>12 Mt</w:t>
      </w:r>
      <w:r w:rsidR="007E3059">
        <w:rPr>
          <w:lang w:val="en-GB"/>
        </w:rPr>
        <w:t xml:space="preserve"> </w:t>
      </w:r>
      <w:r w:rsidR="00830EB4" w:rsidRPr="0071610A">
        <w:rPr>
          <w:lang w:val="en-GB"/>
        </w:rPr>
        <w:t>CO</w:t>
      </w:r>
      <w:r w:rsidR="00830EB4" w:rsidRPr="00997997">
        <w:rPr>
          <w:vertAlign w:val="subscript"/>
          <w:lang w:val="en-GB"/>
        </w:rPr>
        <w:t>2</w:t>
      </w:r>
      <w:r w:rsidR="007E3059">
        <w:rPr>
          <w:lang w:val="en-GB"/>
        </w:rPr>
        <w:t xml:space="preserve">e </w:t>
      </w:r>
      <w:r w:rsidR="007E3059">
        <w:rPr>
          <w:bCs/>
        </w:rPr>
        <w:t>yr</w:t>
      </w:r>
      <w:r w:rsidR="007E3059" w:rsidRPr="00B717B5">
        <w:rPr>
          <w:bCs/>
          <w:vertAlign w:val="superscript"/>
        </w:rPr>
        <w:t>-1</w:t>
      </w:r>
      <w:proofErr w:type="gramEnd"/>
      <w:r w:rsidR="00830EB4">
        <w:rPr>
          <w:lang w:val="en-GB"/>
        </w:rPr>
        <w:t xml:space="preserve"> </w:t>
      </w:r>
      <w:r w:rsidR="007E3059">
        <w:rPr>
          <w:lang w:val="en-GB"/>
        </w:rPr>
        <w:t>in</w:t>
      </w:r>
      <w:r w:rsidR="00830EB4">
        <w:rPr>
          <w:lang w:val="en-GB"/>
        </w:rPr>
        <w:t xml:space="preserve"> the </w:t>
      </w:r>
      <w:r w:rsidR="00B94EC8">
        <w:rPr>
          <w:lang w:val="en-GB"/>
        </w:rPr>
        <w:t>period</w:t>
      </w:r>
      <w:r w:rsidR="00B94EC8" w:rsidRPr="0071610A">
        <w:rPr>
          <w:lang w:val="en-GB"/>
        </w:rPr>
        <w:t xml:space="preserve"> </w:t>
      </w:r>
      <w:r w:rsidR="00B94EC8">
        <w:rPr>
          <w:lang w:val="en-GB"/>
        </w:rPr>
        <w:t>2010</w:t>
      </w:r>
      <w:r w:rsidR="007E3059">
        <w:rPr>
          <w:lang w:val="en-GB"/>
        </w:rPr>
        <w:t>-</w:t>
      </w:r>
      <w:r w:rsidRPr="0071610A">
        <w:rPr>
          <w:lang w:val="en-GB"/>
        </w:rPr>
        <w:t>2020. According to the INDC, approximately 75% of this reduction will be based on forest carbon sinks measures</w:t>
      </w:r>
      <w:r w:rsidR="00780CE5">
        <w:rPr>
          <w:lang w:val="en-GB"/>
        </w:rPr>
        <w:t>,</w:t>
      </w:r>
      <w:r w:rsidRPr="0071610A">
        <w:rPr>
          <w:lang w:val="en-GB"/>
        </w:rPr>
        <w:t xml:space="preserve"> while the remaining 25% will be the result of cropland management, grazing land management</w:t>
      </w:r>
      <w:r>
        <w:rPr>
          <w:lang w:val="en-GB"/>
        </w:rPr>
        <w:t>,</w:t>
      </w:r>
      <w:r w:rsidRPr="0071610A">
        <w:rPr>
          <w:lang w:val="en-GB"/>
        </w:rPr>
        <w:t xml:space="preserve"> and revegetation.</w:t>
      </w:r>
    </w:p>
    <w:p w14:paraId="20AD6EC5" w14:textId="387F473F" w:rsidR="009029D6" w:rsidRPr="0071610A" w:rsidRDefault="009029D6" w:rsidP="00EF36E7">
      <w:pPr>
        <w:spacing w:line="360" w:lineRule="auto"/>
        <w:jc w:val="both"/>
        <w:rPr>
          <w:lang w:val="en-GB"/>
        </w:rPr>
      </w:pPr>
      <w:r w:rsidRPr="00504B58">
        <w:rPr>
          <w:b/>
          <w:lang w:val="en-GB"/>
        </w:rPr>
        <w:t>Mexico</w:t>
      </w:r>
    </w:p>
    <w:p w14:paraId="61E53451" w14:textId="045FD9FD" w:rsidR="009029D6" w:rsidRDefault="009029D6" w:rsidP="00EF36E7">
      <w:pPr>
        <w:spacing w:line="360" w:lineRule="auto"/>
        <w:jc w:val="both"/>
        <w:rPr>
          <w:lang w:val="en-GB"/>
        </w:rPr>
      </w:pPr>
      <w:r w:rsidRPr="0071610A">
        <w:rPr>
          <w:lang w:val="en-GB"/>
        </w:rPr>
        <w:t xml:space="preserve">The INDC of </w:t>
      </w:r>
      <w:r w:rsidRPr="009029D6">
        <w:rPr>
          <w:lang w:val="en-GB"/>
        </w:rPr>
        <w:t>Mexico</w:t>
      </w:r>
      <w:r w:rsidRPr="0071610A">
        <w:rPr>
          <w:lang w:val="en-GB"/>
        </w:rPr>
        <w:t xml:space="preserve"> covers the LULUCF sector and also includes</w:t>
      </w:r>
      <w:r>
        <w:rPr>
          <w:lang w:val="en-GB"/>
        </w:rPr>
        <w:t xml:space="preserve"> unconditional</w:t>
      </w:r>
      <w:r w:rsidRPr="0071610A">
        <w:rPr>
          <w:lang w:val="en-GB"/>
        </w:rPr>
        <w:t xml:space="preserve"> mitigation targets specifically for this sector (e.g. 0% deforestation by 2030). However, no LULUCF emission projections are provided </w:t>
      </w:r>
      <w:r w:rsidR="00864F86">
        <w:rPr>
          <w:lang w:val="en-GB"/>
        </w:rPr>
        <w:t xml:space="preserve">corresponding to a </w:t>
      </w:r>
      <w:r>
        <w:rPr>
          <w:lang w:val="en-GB"/>
        </w:rPr>
        <w:t>BAU</w:t>
      </w:r>
      <w:r w:rsidRPr="0071610A">
        <w:rPr>
          <w:lang w:val="en-GB"/>
        </w:rPr>
        <w:t xml:space="preserve"> </w:t>
      </w:r>
      <w:r>
        <w:rPr>
          <w:lang w:val="en-GB"/>
        </w:rPr>
        <w:t xml:space="preserve">or INDC </w:t>
      </w:r>
      <w:r w:rsidRPr="0071610A">
        <w:rPr>
          <w:lang w:val="en-GB"/>
        </w:rPr>
        <w:t xml:space="preserve">scenario. Therefore, our assessment uses the </w:t>
      </w:r>
      <w:r>
        <w:rPr>
          <w:lang w:val="en-GB"/>
        </w:rPr>
        <w:t>BAU</w:t>
      </w:r>
      <w:r w:rsidRPr="0071610A">
        <w:rPr>
          <w:lang w:val="en-GB"/>
        </w:rPr>
        <w:t xml:space="preserve"> scenario as reported in the 5</w:t>
      </w:r>
      <w:r w:rsidRPr="00504B58">
        <w:rPr>
          <w:vertAlign w:val="superscript"/>
          <w:lang w:val="en-GB"/>
        </w:rPr>
        <w:t>th</w:t>
      </w:r>
      <w:r w:rsidRPr="0071610A">
        <w:rPr>
          <w:lang w:val="en-GB"/>
        </w:rPr>
        <w:t xml:space="preserve"> National Communication </w:t>
      </w:r>
      <w:r>
        <w:rPr>
          <w:lang w:val="en-GB"/>
        </w:rPr>
        <w:fldChar w:fldCharType="begin"/>
      </w:r>
      <w:r>
        <w:rPr>
          <w:lang w:val="en-GB"/>
        </w:rPr>
        <w:instrText xml:space="preserve"> ADDIN EN.CITE &lt;EndNote&gt;&lt;Cite&gt;&lt;Author&gt;Government of Mexico&lt;/Author&gt;&lt;Year&gt;2012&lt;/Year&gt;&lt;RecNum&gt;96&lt;/RecNum&gt;&lt;DisplayText&gt;[9]&lt;/DisplayText&gt;&lt;record&gt;&lt;rec-number&gt;96&lt;/rec-number&gt;&lt;foreign-keys&gt;&lt;key app="EN" db-id="2aswsaw2ex2sv0epe2cpsvwcz2d0vtfaaxff"&gt;96&lt;/key&gt;&lt;/foreign-keys&gt;&lt;ref-type name="Report"&gt;27&lt;/ref-type&gt;&lt;contributors&gt;&lt;authors&gt;&lt;author&gt;Government of Mexico&lt;/author&gt;&lt;/authors&gt;&lt;/contributors&gt;&lt;titles&gt;&lt;title&gt;Mexico. México quinta comunicación nacional ante la Convención Marco de las Naciones Unidas sobre el Cambio Climático.&lt;/title&gt;&lt;/titles&gt;&lt;dates&gt;&lt;year&gt;2012&lt;/year&gt;&lt;/dates&gt;&lt;publisher&gt;http://unfccc.int/resource/docs/natc/mexnc5s.pdf&lt;/publisher&gt;&lt;urls&gt;&lt;/urls&gt;&lt;/record&gt;&lt;/Cite&gt;&lt;/EndNote&gt;</w:instrText>
      </w:r>
      <w:r>
        <w:rPr>
          <w:lang w:val="en-GB"/>
        </w:rPr>
        <w:fldChar w:fldCharType="separate"/>
      </w:r>
      <w:r>
        <w:rPr>
          <w:noProof/>
          <w:lang w:val="en-GB"/>
        </w:rPr>
        <w:t>[</w:t>
      </w:r>
      <w:hyperlink w:anchor="_ENREF_9" w:tooltip="Government of Mexico, 2012 #96" w:history="1">
        <w:r w:rsidR="005900CB">
          <w:rPr>
            <w:noProof/>
            <w:lang w:val="en-GB"/>
          </w:rPr>
          <w:t>9</w:t>
        </w:r>
      </w:hyperlink>
      <w:r>
        <w:rPr>
          <w:noProof/>
          <w:lang w:val="en-GB"/>
        </w:rPr>
        <w:t>]</w:t>
      </w:r>
      <w:r>
        <w:rPr>
          <w:lang w:val="en-GB"/>
        </w:rPr>
        <w:fldChar w:fldCharType="end"/>
      </w:r>
      <w:r w:rsidRPr="0071610A">
        <w:rPr>
          <w:lang w:val="en-GB"/>
        </w:rPr>
        <w:t>.</w:t>
      </w:r>
      <w:r>
        <w:rPr>
          <w:lang w:val="en-GB"/>
        </w:rPr>
        <w:t xml:space="preserve"> </w:t>
      </w:r>
      <w:r w:rsidR="00864F86">
        <w:rPr>
          <w:lang w:val="en-GB"/>
        </w:rPr>
        <w:t>Overall, t</w:t>
      </w:r>
      <w:r w:rsidRPr="0071610A">
        <w:rPr>
          <w:lang w:val="en-GB"/>
        </w:rPr>
        <w:t xml:space="preserve">he </w:t>
      </w:r>
      <w:r>
        <w:rPr>
          <w:lang w:val="en-GB"/>
        </w:rPr>
        <w:t>BAU</w:t>
      </w:r>
      <w:r w:rsidRPr="0071610A">
        <w:rPr>
          <w:lang w:val="en-GB"/>
        </w:rPr>
        <w:t xml:space="preserve"> scenario</w:t>
      </w:r>
      <w:r>
        <w:rPr>
          <w:lang w:val="en-GB"/>
        </w:rPr>
        <w:t xml:space="preserve"> assumes </w:t>
      </w:r>
      <w:r w:rsidR="00864F86">
        <w:rPr>
          <w:lang w:val="en-GB"/>
        </w:rPr>
        <w:t xml:space="preserve">a </w:t>
      </w:r>
      <w:r>
        <w:rPr>
          <w:lang w:val="en-GB"/>
        </w:rPr>
        <w:t>0.4% year</w:t>
      </w:r>
      <w:r w:rsidR="00864F86">
        <w:rPr>
          <w:lang w:val="en-GB"/>
        </w:rPr>
        <w:t>ly</w:t>
      </w:r>
      <w:r>
        <w:rPr>
          <w:lang w:val="en-GB"/>
        </w:rPr>
        <w:t xml:space="preserve"> decrease </w:t>
      </w:r>
      <w:r w:rsidR="00864F86">
        <w:rPr>
          <w:lang w:val="en-GB"/>
        </w:rPr>
        <w:t xml:space="preserve">of net </w:t>
      </w:r>
      <w:r>
        <w:rPr>
          <w:lang w:val="en-GB"/>
        </w:rPr>
        <w:t>LULUCF emission</w:t>
      </w:r>
      <w:r w:rsidR="00780CE5">
        <w:rPr>
          <w:lang w:val="en-GB"/>
        </w:rPr>
        <w:t>s</w:t>
      </w:r>
      <w:r>
        <w:rPr>
          <w:lang w:val="en-GB"/>
        </w:rPr>
        <w:t>. Consequently, emission</w:t>
      </w:r>
      <w:r w:rsidR="00780CE5">
        <w:rPr>
          <w:lang w:val="en-GB"/>
        </w:rPr>
        <w:t>s</w:t>
      </w:r>
      <w:r>
        <w:rPr>
          <w:lang w:val="en-GB"/>
        </w:rPr>
        <w:t xml:space="preserve"> will </w:t>
      </w:r>
      <w:r w:rsidR="00864F86">
        <w:rPr>
          <w:lang w:val="en-GB"/>
        </w:rPr>
        <w:t xml:space="preserve">remain </w:t>
      </w:r>
      <w:r w:rsidR="00780CE5">
        <w:rPr>
          <w:lang w:val="en-GB"/>
        </w:rPr>
        <w:t>almost</w:t>
      </w:r>
      <w:r>
        <w:rPr>
          <w:lang w:val="en-GB"/>
        </w:rPr>
        <w:t xml:space="preserve"> constant over the period 2010-2020 </w:t>
      </w:r>
      <w:proofErr w:type="gramStart"/>
      <w:r>
        <w:rPr>
          <w:lang w:val="en-GB"/>
        </w:rPr>
        <w:t>(around 46 Mt</w:t>
      </w:r>
      <w:r w:rsidR="007E3059">
        <w:rPr>
          <w:lang w:val="en-GB"/>
        </w:rPr>
        <w:t xml:space="preserve"> </w:t>
      </w:r>
      <w:r>
        <w:rPr>
          <w:lang w:val="en-GB"/>
        </w:rPr>
        <w:t>CO</w:t>
      </w:r>
      <w:r w:rsidRPr="00997997">
        <w:rPr>
          <w:vertAlign w:val="subscript"/>
          <w:lang w:val="en-GB"/>
        </w:rPr>
        <w:t>2</w:t>
      </w:r>
      <w:r>
        <w:rPr>
          <w:lang w:val="en-GB"/>
        </w:rPr>
        <w:t>e</w:t>
      </w:r>
      <w:r w:rsidR="007E3059">
        <w:rPr>
          <w:lang w:val="en-GB"/>
        </w:rPr>
        <w:t xml:space="preserve"> </w:t>
      </w:r>
      <w:r w:rsidR="007E3059">
        <w:rPr>
          <w:bCs/>
        </w:rPr>
        <w:t>yr</w:t>
      </w:r>
      <w:r w:rsidR="007E3059" w:rsidRPr="00B717B5">
        <w:rPr>
          <w:bCs/>
          <w:vertAlign w:val="superscript"/>
        </w:rPr>
        <w:t>-1</w:t>
      </w:r>
      <w:r>
        <w:rPr>
          <w:lang w:val="en-GB"/>
        </w:rPr>
        <w:t>)</w:t>
      </w:r>
      <w:proofErr w:type="gramEnd"/>
      <w:r>
        <w:rPr>
          <w:lang w:val="en-GB"/>
        </w:rPr>
        <w:t xml:space="preserve">. </w:t>
      </w:r>
      <w:r w:rsidR="00864F86">
        <w:rPr>
          <w:lang w:val="en-GB"/>
        </w:rPr>
        <w:t>A s</w:t>
      </w:r>
      <w:r>
        <w:rPr>
          <w:lang w:val="en-GB"/>
        </w:rPr>
        <w:t xml:space="preserve">cenario with measures </w:t>
      </w:r>
      <w:r w:rsidR="00864F86">
        <w:rPr>
          <w:lang w:val="en-GB"/>
        </w:rPr>
        <w:t xml:space="preserve">for the LULUCF is </w:t>
      </w:r>
      <w:r>
        <w:rPr>
          <w:lang w:val="en-GB"/>
        </w:rPr>
        <w:t xml:space="preserve">provided in </w:t>
      </w:r>
      <w:r w:rsidR="00780CE5">
        <w:rPr>
          <w:lang w:val="en-GB"/>
        </w:rPr>
        <w:t xml:space="preserve">the </w:t>
      </w:r>
      <w:r>
        <w:rPr>
          <w:lang w:val="en-GB"/>
        </w:rPr>
        <w:t>5</w:t>
      </w:r>
      <w:r w:rsidRPr="009C6BF0">
        <w:rPr>
          <w:vertAlign w:val="superscript"/>
          <w:lang w:val="en-GB"/>
        </w:rPr>
        <w:t>th</w:t>
      </w:r>
      <w:r>
        <w:rPr>
          <w:lang w:val="en-GB"/>
        </w:rPr>
        <w:t xml:space="preserve"> National Communication </w:t>
      </w:r>
      <w:r w:rsidR="00864F86">
        <w:rPr>
          <w:lang w:val="en-GB"/>
        </w:rPr>
        <w:t xml:space="preserve">that </w:t>
      </w:r>
      <w:r>
        <w:rPr>
          <w:lang w:val="en-GB"/>
        </w:rPr>
        <w:t xml:space="preserve">shows </w:t>
      </w:r>
      <w:r w:rsidR="00864F86">
        <w:rPr>
          <w:lang w:val="en-GB"/>
        </w:rPr>
        <w:t xml:space="preserve">a </w:t>
      </w:r>
      <w:r>
        <w:rPr>
          <w:lang w:val="en-GB"/>
        </w:rPr>
        <w:t>declin</w:t>
      </w:r>
      <w:r w:rsidR="00864F86">
        <w:rPr>
          <w:lang w:val="en-GB"/>
        </w:rPr>
        <w:t>e</w:t>
      </w:r>
      <w:r>
        <w:rPr>
          <w:lang w:val="en-GB"/>
        </w:rPr>
        <w:t xml:space="preserve"> of the net LULUCF emissions </w:t>
      </w:r>
      <w:r w:rsidR="00B94EC8">
        <w:rPr>
          <w:lang w:val="en-GB"/>
        </w:rPr>
        <w:t xml:space="preserve">level </w:t>
      </w:r>
      <w:proofErr w:type="gramStart"/>
      <w:r>
        <w:rPr>
          <w:lang w:val="en-GB"/>
        </w:rPr>
        <w:t>to 11 Mt</w:t>
      </w:r>
      <w:r w:rsidR="007E3059">
        <w:rPr>
          <w:lang w:val="en-GB"/>
        </w:rPr>
        <w:t xml:space="preserve"> </w:t>
      </w:r>
      <w:r>
        <w:rPr>
          <w:lang w:val="en-GB"/>
        </w:rPr>
        <w:t>CO</w:t>
      </w:r>
      <w:r w:rsidRPr="00997997">
        <w:rPr>
          <w:vertAlign w:val="subscript"/>
          <w:lang w:val="en-GB"/>
        </w:rPr>
        <w:t>2</w:t>
      </w:r>
      <w:r>
        <w:rPr>
          <w:lang w:val="en-GB"/>
        </w:rPr>
        <w:t>e</w:t>
      </w:r>
      <w:r w:rsidR="007E3059">
        <w:rPr>
          <w:lang w:val="en-GB"/>
        </w:rPr>
        <w:t xml:space="preserve"> </w:t>
      </w:r>
      <w:r w:rsidR="007E3059">
        <w:rPr>
          <w:bCs/>
        </w:rPr>
        <w:t>yr</w:t>
      </w:r>
      <w:r w:rsidR="007E3059" w:rsidRPr="00B717B5">
        <w:rPr>
          <w:bCs/>
          <w:vertAlign w:val="superscript"/>
        </w:rPr>
        <w:t>-1</w:t>
      </w:r>
      <w:proofErr w:type="gramEnd"/>
      <w:r>
        <w:rPr>
          <w:lang w:val="en-GB"/>
        </w:rPr>
        <w:t xml:space="preserve"> in 2020. </w:t>
      </w:r>
      <w:r w:rsidRPr="0071610A">
        <w:rPr>
          <w:lang w:val="en-GB"/>
        </w:rPr>
        <w:t>Based on the quantification of Mexico’s Mitigation Portfolio as provided in the 5</w:t>
      </w:r>
      <w:r w:rsidRPr="00504B58">
        <w:rPr>
          <w:vertAlign w:val="superscript"/>
          <w:lang w:val="en-GB"/>
        </w:rPr>
        <w:t>th</w:t>
      </w:r>
      <w:r w:rsidRPr="0071610A">
        <w:rPr>
          <w:lang w:val="en-GB"/>
        </w:rPr>
        <w:t xml:space="preserve"> National Communication,</w:t>
      </w:r>
      <w:r>
        <w:rPr>
          <w:lang w:val="en-GB"/>
        </w:rPr>
        <w:t xml:space="preserve"> Mexico can decrease </w:t>
      </w:r>
      <w:r w:rsidR="00DF0B26">
        <w:rPr>
          <w:lang w:val="en-GB"/>
        </w:rPr>
        <w:t xml:space="preserve">net annual LULUC </w:t>
      </w:r>
      <w:r>
        <w:rPr>
          <w:lang w:val="en-GB"/>
        </w:rPr>
        <w:t>emissions by 35 Mt</w:t>
      </w:r>
      <w:r w:rsidR="007E3059">
        <w:rPr>
          <w:lang w:val="en-GB"/>
        </w:rPr>
        <w:t xml:space="preserve"> </w:t>
      </w:r>
      <w:r>
        <w:rPr>
          <w:lang w:val="en-GB"/>
        </w:rPr>
        <w:t>CO</w:t>
      </w:r>
      <w:r w:rsidRPr="00997997">
        <w:rPr>
          <w:vertAlign w:val="subscript"/>
          <w:lang w:val="en-GB"/>
        </w:rPr>
        <w:t>2</w:t>
      </w:r>
      <w:r>
        <w:rPr>
          <w:lang w:val="en-GB"/>
        </w:rPr>
        <w:t>e</w:t>
      </w:r>
      <w:r w:rsidR="007E3059">
        <w:rPr>
          <w:lang w:val="en-GB"/>
        </w:rPr>
        <w:t xml:space="preserve"> </w:t>
      </w:r>
      <w:r w:rsidR="007E3059">
        <w:rPr>
          <w:bCs/>
        </w:rPr>
        <w:t>yr</w:t>
      </w:r>
      <w:r w:rsidR="007E3059" w:rsidRPr="00B717B5">
        <w:rPr>
          <w:bCs/>
          <w:vertAlign w:val="superscript"/>
        </w:rPr>
        <w:t>-1</w:t>
      </w:r>
      <w:r w:rsidR="007E3059" w:rsidDel="007E3059">
        <w:rPr>
          <w:lang w:val="en-GB"/>
        </w:rPr>
        <w:t xml:space="preserve"> </w:t>
      </w:r>
      <w:r>
        <w:rPr>
          <w:lang w:val="en-GB"/>
        </w:rPr>
        <w:t xml:space="preserve">in </w:t>
      </w:r>
      <w:proofErr w:type="gramStart"/>
      <w:r>
        <w:rPr>
          <w:lang w:val="en-GB"/>
        </w:rPr>
        <w:t>2020</w:t>
      </w:r>
      <w:r w:rsidR="007E3059">
        <w:rPr>
          <w:lang w:val="en-GB"/>
        </w:rPr>
        <w:t>,</w:t>
      </w:r>
      <w:proofErr w:type="gramEnd"/>
      <w:r>
        <w:rPr>
          <w:lang w:val="en-GB"/>
        </w:rPr>
        <w:t xml:space="preserve"> compared </w:t>
      </w:r>
      <w:r w:rsidR="007E3059">
        <w:rPr>
          <w:lang w:val="en-GB"/>
        </w:rPr>
        <w:t xml:space="preserve">the </w:t>
      </w:r>
      <w:r>
        <w:rPr>
          <w:lang w:val="en-GB"/>
        </w:rPr>
        <w:t xml:space="preserve">BAU scenario. </w:t>
      </w:r>
      <w:r w:rsidRPr="0071610A">
        <w:rPr>
          <w:lang w:val="en-GB"/>
        </w:rPr>
        <w:t>Th</w:t>
      </w:r>
      <w:r w:rsidR="00864F86">
        <w:rPr>
          <w:lang w:val="en-GB"/>
        </w:rPr>
        <w:t>e</w:t>
      </w:r>
      <w:r w:rsidRPr="0071610A">
        <w:rPr>
          <w:lang w:val="en-GB"/>
        </w:rPr>
        <w:t xml:space="preserve"> </w:t>
      </w:r>
      <w:r w:rsidR="00864F86" w:rsidRPr="0071610A">
        <w:rPr>
          <w:lang w:val="en-GB"/>
        </w:rPr>
        <w:t>5</w:t>
      </w:r>
      <w:r w:rsidR="00864F86" w:rsidRPr="00504B58">
        <w:rPr>
          <w:vertAlign w:val="superscript"/>
          <w:lang w:val="en-GB"/>
        </w:rPr>
        <w:t>th</w:t>
      </w:r>
      <w:r w:rsidR="00864F86" w:rsidRPr="0071610A">
        <w:rPr>
          <w:lang w:val="en-GB"/>
        </w:rPr>
        <w:t xml:space="preserve"> </w:t>
      </w:r>
      <w:r w:rsidRPr="0071610A">
        <w:rPr>
          <w:lang w:val="en-GB"/>
        </w:rPr>
        <w:t xml:space="preserve">National Communication does not provide a quantification of mitigation options for the LULUCF sector </w:t>
      </w:r>
      <w:r w:rsidR="00DF0B26">
        <w:rPr>
          <w:lang w:val="en-GB"/>
        </w:rPr>
        <w:t>after 2020</w:t>
      </w:r>
      <w:r w:rsidRPr="0071610A">
        <w:rPr>
          <w:lang w:val="en-GB"/>
        </w:rPr>
        <w:t>. If the estimated emission reductions would be achieved</w:t>
      </w:r>
      <w:r w:rsidR="00780CE5">
        <w:rPr>
          <w:lang w:val="en-GB"/>
        </w:rPr>
        <w:t xml:space="preserve"> as specified</w:t>
      </w:r>
      <w:r w:rsidRPr="0071610A">
        <w:rPr>
          <w:lang w:val="en-GB"/>
        </w:rPr>
        <w:t xml:space="preserve">, the LULUCF sector would still be a net source of emissions by 2020. However, with continued implementation of emission abatements options after 2020, the LULUCF sector could potentially become a net sink of emissions by 2030. </w:t>
      </w:r>
    </w:p>
    <w:p w14:paraId="3114F220" w14:textId="6C3A72D5" w:rsidR="009029D6" w:rsidRDefault="009029D6" w:rsidP="00EF36E7">
      <w:p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The source of uncertainties for Mexico’s future LULUCF emissions and removals is the BAU and INDC </w:t>
      </w:r>
      <w:r w:rsidR="00B94EC8">
        <w:rPr>
          <w:lang w:val="en-GB"/>
        </w:rPr>
        <w:t xml:space="preserve">fulfilment </w:t>
      </w:r>
      <w:r>
        <w:rPr>
          <w:lang w:val="en-GB"/>
        </w:rPr>
        <w:t>projections after the year 2020. Both projection scenarios might be constant over time or continue to increase/decrease with the same rate as before 2020.</w:t>
      </w:r>
    </w:p>
    <w:p w14:paraId="5975532B" w14:textId="77777777" w:rsidR="00B94EC8" w:rsidRDefault="00B94EC8" w:rsidP="00A53D91">
      <w:pPr>
        <w:spacing w:line="480" w:lineRule="auto"/>
        <w:jc w:val="both"/>
        <w:rPr>
          <w:bCs/>
        </w:rPr>
      </w:pPr>
    </w:p>
    <w:p w14:paraId="1B6A382D" w14:textId="77777777" w:rsidR="009029D6" w:rsidRDefault="009029D6" w:rsidP="009029D6">
      <w:pPr>
        <w:pStyle w:val="Heading2"/>
        <w:rPr>
          <w:color w:val="auto"/>
          <w:sz w:val="24"/>
        </w:rPr>
      </w:pPr>
      <w:r w:rsidRPr="00826B04">
        <w:rPr>
          <w:color w:val="auto"/>
          <w:sz w:val="24"/>
        </w:rPr>
        <w:t>References</w:t>
      </w:r>
    </w:p>
    <w:p w14:paraId="6A98DA5A" w14:textId="77777777" w:rsidR="009029D6" w:rsidRDefault="009029D6" w:rsidP="00602F71">
      <w:pPr>
        <w:jc w:val="both"/>
        <w:rPr>
          <w:lang w:val="en-GB"/>
        </w:rPr>
      </w:pPr>
    </w:p>
    <w:p w14:paraId="09215ADF" w14:textId="0ACF7BAA" w:rsidR="005900CB" w:rsidRPr="005900CB" w:rsidRDefault="009029D6" w:rsidP="005900CB">
      <w:pPr>
        <w:spacing w:after="0" w:line="240" w:lineRule="auto"/>
        <w:ind w:left="720" w:hanging="720"/>
        <w:jc w:val="both"/>
        <w:rPr>
          <w:rFonts w:ascii="Calibri" w:hAnsi="Calibri"/>
          <w:noProof/>
          <w:lang w:val="en-GB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ADDIN EN.REFLIST </w:instrText>
      </w:r>
      <w:r>
        <w:rPr>
          <w:lang w:val="en-GB"/>
        </w:rPr>
        <w:fldChar w:fldCharType="separate"/>
      </w:r>
      <w:bookmarkStart w:id="2" w:name="_ENREF_1"/>
      <w:r w:rsidR="005900CB" w:rsidRPr="005900CB">
        <w:rPr>
          <w:rFonts w:ascii="Calibri" w:hAnsi="Calibri"/>
          <w:noProof/>
          <w:lang w:val="en-GB"/>
        </w:rPr>
        <w:t>1.</w:t>
      </w:r>
      <w:r w:rsidR="005900CB" w:rsidRPr="005900CB">
        <w:rPr>
          <w:rFonts w:ascii="Calibri" w:hAnsi="Calibri"/>
          <w:noProof/>
          <w:lang w:val="en-GB"/>
        </w:rPr>
        <w:tab/>
        <w:t xml:space="preserve">Australian Government, </w:t>
      </w:r>
      <w:r w:rsidR="005900CB" w:rsidRPr="005900CB">
        <w:rPr>
          <w:rFonts w:ascii="Calibri" w:hAnsi="Calibri"/>
          <w:i/>
          <w:noProof/>
          <w:lang w:val="en-GB"/>
        </w:rPr>
        <w:t>Australia's abatement task: tracking to 2020</w:t>
      </w:r>
      <w:r w:rsidR="005900CB" w:rsidRPr="005900CB">
        <w:rPr>
          <w:rFonts w:ascii="Calibri" w:hAnsi="Calibri"/>
          <w:noProof/>
          <w:lang w:val="en-GB"/>
        </w:rPr>
        <w:t xml:space="preserve">. 2015, Department of the Environment, Australia: </w:t>
      </w:r>
      <w:hyperlink r:id="rId10" w:history="1">
        <w:r w:rsidR="005900CB" w:rsidRPr="005900CB">
          <w:rPr>
            <w:rStyle w:val="Hyperlink"/>
            <w:rFonts w:ascii="Calibri" w:hAnsi="Calibri"/>
            <w:noProof/>
            <w:sz w:val="22"/>
          </w:rPr>
          <w:t>http://www.environment.gov.au/climate-change/publications/factsheet-emissions-projections-2015-16</w:t>
        </w:r>
      </w:hyperlink>
      <w:r w:rsidR="005900CB" w:rsidRPr="005900CB">
        <w:rPr>
          <w:rFonts w:ascii="Calibri" w:hAnsi="Calibri"/>
          <w:noProof/>
          <w:lang w:val="en-GB"/>
        </w:rPr>
        <w:t>.</w:t>
      </w:r>
      <w:bookmarkEnd w:id="2"/>
    </w:p>
    <w:p w14:paraId="7F70D606" w14:textId="77777777" w:rsidR="005900CB" w:rsidRPr="005900CB" w:rsidRDefault="005900CB" w:rsidP="005900CB">
      <w:pPr>
        <w:spacing w:after="0" w:line="240" w:lineRule="auto"/>
        <w:ind w:left="720" w:hanging="720"/>
        <w:jc w:val="both"/>
        <w:rPr>
          <w:rFonts w:ascii="Calibri" w:hAnsi="Calibri"/>
          <w:noProof/>
          <w:lang w:val="en-GB"/>
        </w:rPr>
      </w:pPr>
      <w:bookmarkStart w:id="3" w:name="_ENREF_2"/>
      <w:r w:rsidRPr="005900CB">
        <w:rPr>
          <w:rFonts w:ascii="Calibri" w:hAnsi="Calibri"/>
          <w:noProof/>
          <w:lang w:val="en-GB"/>
        </w:rPr>
        <w:t>2.</w:t>
      </w:r>
      <w:r w:rsidRPr="005900CB">
        <w:rPr>
          <w:rFonts w:ascii="Calibri" w:hAnsi="Calibri"/>
          <w:noProof/>
          <w:lang w:val="en-GB"/>
        </w:rPr>
        <w:tab/>
        <w:t xml:space="preserve">Government of Australia, </w:t>
      </w:r>
      <w:r w:rsidRPr="005900CB">
        <w:rPr>
          <w:rFonts w:ascii="Calibri" w:hAnsi="Calibri"/>
          <w:i/>
          <w:noProof/>
          <w:lang w:val="en-GB"/>
        </w:rPr>
        <w:t>Australia’s Sixth National Communication on Climate Change – A report under the United Nations Framework Convention on Climate Change. Canberra: Department of Industry, Innovation, Climate Change, Science, Research and Tertiary Education</w:t>
      </w:r>
      <w:r w:rsidRPr="005900CB">
        <w:rPr>
          <w:rFonts w:ascii="Calibri" w:hAnsi="Calibri"/>
          <w:noProof/>
          <w:lang w:val="en-GB"/>
        </w:rPr>
        <w:t>. 2013.</w:t>
      </w:r>
      <w:bookmarkEnd w:id="3"/>
    </w:p>
    <w:p w14:paraId="59B2D0B8" w14:textId="2A7A9966" w:rsidR="005900CB" w:rsidRPr="005900CB" w:rsidRDefault="005900CB" w:rsidP="005900CB">
      <w:pPr>
        <w:spacing w:after="0" w:line="240" w:lineRule="auto"/>
        <w:ind w:left="720" w:hanging="720"/>
        <w:jc w:val="both"/>
        <w:rPr>
          <w:rFonts w:ascii="Calibri" w:hAnsi="Calibri"/>
          <w:noProof/>
          <w:lang w:val="en-GB"/>
        </w:rPr>
      </w:pPr>
      <w:bookmarkStart w:id="4" w:name="_ENREF_3"/>
      <w:r w:rsidRPr="005900CB">
        <w:rPr>
          <w:rFonts w:ascii="Calibri" w:hAnsi="Calibri"/>
          <w:noProof/>
          <w:lang w:val="en-GB"/>
        </w:rPr>
        <w:t>3.</w:t>
      </w:r>
      <w:r w:rsidRPr="005900CB">
        <w:rPr>
          <w:rFonts w:ascii="Calibri" w:hAnsi="Calibri"/>
          <w:noProof/>
          <w:lang w:val="en-GB"/>
        </w:rPr>
        <w:tab/>
        <w:t xml:space="preserve">Government of Australia, </w:t>
      </w:r>
      <w:r w:rsidRPr="005900CB">
        <w:rPr>
          <w:rFonts w:ascii="Calibri" w:hAnsi="Calibri"/>
          <w:i/>
          <w:noProof/>
          <w:lang w:val="en-GB"/>
        </w:rPr>
        <w:t>Australia's emissions projections 2012</w:t>
      </w:r>
      <w:r w:rsidRPr="005900CB">
        <w:rPr>
          <w:rFonts w:ascii="Calibri" w:hAnsi="Calibri"/>
          <w:noProof/>
          <w:lang w:val="en-GB"/>
        </w:rPr>
        <w:t xml:space="preserve">. 2012, Department of Climate Change and Energy Efficiency, Australia: </w:t>
      </w:r>
      <w:hyperlink r:id="rId11" w:history="1">
        <w:r w:rsidRPr="005900CB">
          <w:rPr>
            <w:rStyle w:val="Hyperlink"/>
            <w:rFonts w:ascii="Calibri" w:hAnsi="Calibri"/>
            <w:noProof/>
            <w:sz w:val="22"/>
          </w:rPr>
          <w:t>http://www.climatechange.gov.au/publications/projections/australias-emissions-projections.aspx</w:t>
        </w:r>
      </w:hyperlink>
      <w:r w:rsidRPr="005900CB">
        <w:rPr>
          <w:rFonts w:ascii="Calibri" w:hAnsi="Calibri"/>
          <w:noProof/>
          <w:lang w:val="en-GB"/>
        </w:rPr>
        <w:t>.</w:t>
      </w:r>
      <w:bookmarkEnd w:id="4"/>
    </w:p>
    <w:p w14:paraId="692BED67" w14:textId="4C2CDFE4" w:rsidR="005900CB" w:rsidRPr="005900CB" w:rsidRDefault="005900CB" w:rsidP="005900CB">
      <w:pPr>
        <w:spacing w:after="0" w:line="240" w:lineRule="auto"/>
        <w:ind w:left="720" w:hanging="720"/>
        <w:jc w:val="both"/>
        <w:rPr>
          <w:rFonts w:ascii="Calibri" w:hAnsi="Calibri"/>
          <w:noProof/>
          <w:lang w:val="en-GB"/>
        </w:rPr>
      </w:pPr>
      <w:bookmarkStart w:id="5" w:name="_ENREF_4"/>
      <w:r w:rsidRPr="005900CB">
        <w:rPr>
          <w:rFonts w:ascii="Calibri" w:hAnsi="Calibri"/>
          <w:noProof/>
          <w:lang w:val="en-GB"/>
        </w:rPr>
        <w:t>4.</w:t>
      </w:r>
      <w:r w:rsidRPr="005900CB">
        <w:rPr>
          <w:rFonts w:ascii="Calibri" w:hAnsi="Calibri"/>
          <w:noProof/>
          <w:lang w:val="en-GB"/>
        </w:rPr>
        <w:tab/>
        <w:t xml:space="preserve">Government of Ethiopia. </w:t>
      </w:r>
      <w:r w:rsidRPr="005900CB">
        <w:rPr>
          <w:rFonts w:ascii="Calibri" w:hAnsi="Calibri"/>
          <w:i/>
          <w:noProof/>
          <w:lang w:val="en-GB"/>
        </w:rPr>
        <w:t xml:space="preserve">Initial national communication of Ethiopia to the United Nations Framework Convention on Climate Change, </w:t>
      </w:r>
      <w:hyperlink r:id="rId12" w:history="1">
        <w:r w:rsidRPr="005900CB">
          <w:rPr>
            <w:rStyle w:val="Hyperlink"/>
            <w:rFonts w:ascii="Calibri" w:hAnsi="Calibri"/>
            <w:i/>
            <w:noProof/>
            <w:sz w:val="22"/>
          </w:rPr>
          <w:t>http://unfccc.int/resource/docs/natc/ethnc1.pdf</w:t>
        </w:r>
      </w:hyperlink>
      <w:r w:rsidRPr="005900CB">
        <w:rPr>
          <w:rFonts w:ascii="Calibri" w:hAnsi="Calibri"/>
          <w:noProof/>
          <w:lang w:val="en-GB"/>
        </w:rPr>
        <w:t>.  2001.</w:t>
      </w:r>
      <w:bookmarkEnd w:id="5"/>
    </w:p>
    <w:p w14:paraId="77C43847" w14:textId="1695393B" w:rsidR="005900CB" w:rsidRPr="005900CB" w:rsidRDefault="005900CB" w:rsidP="005900CB">
      <w:pPr>
        <w:spacing w:after="0" w:line="240" w:lineRule="auto"/>
        <w:ind w:left="720" w:hanging="720"/>
        <w:jc w:val="both"/>
        <w:rPr>
          <w:rFonts w:ascii="Calibri" w:hAnsi="Calibri"/>
          <w:noProof/>
          <w:lang w:val="en-GB"/>
        </w:rPr>
      </w:pPr>
      <w:bookmarkStart w:id="6" w:name="_ENREF_5"/>
      <w:r w:rsidRPr="005900CB">
        <w:rPr>
          <w:rFonts w:ascii="Calibri" w:hAnsi="Calibri"/>
          <w:noProof/>
          <w:lang w:val="en-GB"/>
        </w:rPr>
        <w:t>5.</w:t>
      </w:r>
      <w:r w:rsidRPr="005900CB">
        <w:rPr>
          <w:rFonts w:ascii="Calibri" w:hAnsi="Calibri"/>
          <w:noProof/>
          <w:lang w:val="en-GB"/>
        </w:rPr>
        <w:tab/>
        <w:t xml:space="preserve">Government of Gabon. </w:t>
      </w:r>
      <w:r w:rsidRPr="005900CB">
        <w:rPr>
          <w:rFonts w:ascii="Calibri" w:hAnsi="Calibri"/>
          <w:i/>
          <w:noProof/>
          <w:lang w:val="en-GB"/>
        </w:rPr>
        <w:t xml:space="preserve">Ministère de l'environnement et de la protection de la nature. Direction de l'environnement. Communication nationale sur les changements climatiques, </w:t>
      </w:r>
      <w:hyperlink r:id="rId13" w:history="1">
        <w:r w:rsidRPr="005900CB">
          <w:rPr>
            <w:rStyle w:val="Hyperlink"/>
            <w:rFonts w:ascii="Calibri" w:hAnsi="Calibri"/>
            <w:i/>
            <w:noProof/>
            <w:sz w:val="22"/>
          </w:rPr>
          <w:t>http://unfccc.int/resource/docs/natc/gabnc1.pdf</w:t>
        </w:r>
      </w:hyperlink>
      <w:r w:rsidRPr="005900CB">
        <w:rPr>
          <w:rFonts w:ascii="Calibri" w:hAnsi="Calibri"/>
          <w:noProof/>
          <w:lang w:val="en-GB"/>
        </w:rPr>
        <w:t>.  2004.</w:t>
      </w:r>
      <w:bookmarkEnd w:id="6"/>
    </w:p>
    <w:p w14:paraId="59F4D7CC" w14:textId="721072C7" w:rsidR="005900CB" w:rsidRPr="005900CB" w:rsidRDefault="005900CB" w:rsidP="005900CB">
      <w:pPr>
        <w:spacing w:after="0" w:line="240" w:lineRule="auto"/>
        <w:ind w:left="720" w:hanging="720"/>
        <w:jc w:val="both"/>
        <w:rPr>
          <w:rFonts w:ascii="Calibri" w:hAnsi="Calibri"/>
          <w:noProof/>
          <w:lang w:val="en-GB"/>
        </w:rPr>
      </w:pPr>
      <w:bookmarkStart w:id="7" w:name="_ENREF_6"/>
      <w:r w:rsidRPr="005900CB">
        <w:rPr>
          <w:rFonts w:ascii="Calibri" w:hAnsi="Calibri"/>
          <w:noProof/>
          <w:lang w:val="en-GB"/>
        </w:rPr>
        <w:t>6.</w:t>
      </w:r>
      <w:r w:rsidRPr="005900CB">
        <w:rPr>
          <w:rFonts w:ascii="Calibri" w:hAnsi="Calibri"/>
          <w:noProof/>
          <w:lang w:val="en-GB"/>
        </w:rPr>
        <w:tab/>
        <w:t xml:space="preserve">Government of Gabon. </w:t>
      </w:r>
      <w:r w:rsidRPr="005900CB">
        <w:rPr>
          <w:rFonts w:ascii="Calibri" w:hAnsi="Calibri"/>
          <w:i/>
          <w:noProof/>
          <w:lang w:val="en-GB"/>
        </w:rPr>
        <w:t xml:space="preserve">MINISTERE DE L’HABITAT, DE L’URBANISME, DE L’ECOLOGIE ET DU DEVELOPPEMENT DURABLE. Seconde Communication Nationale du Gabon sur le Changements, </w:t>
      </w:r>
      <w:hyperlink r:id="rId14" w:history="1">
        <w:r w:rsidRPr="005900CB">
          <w:rPr>
            <w:rStyle w:val="Hyperlink"/>
            <w:rFonts w:ascii="Calibri" w:hAnsi="Calibri"/>
            <w:i/>
            <w:noProof/>
            <w:sz w:val="22"/>
          </w:rPr>
          <w:t>http://unfccc.int/resource/docs/natc/gabnc2.pdf</w:t>
        </w:r>
      </w:hyperlink>
      <w:r w:rsidRPr="005900CB">
        <w:rPr>
          <w:rFonts w:ascii="Calibri" w:hAnsi="Calibri"/>
          <w:noProof/>
          <w:lang w:val="en-GB"/>
        </w:rPr>
        <w:t>.  2011.</w:t>
      </w:r>
      <w:bookmarkEnd w:id="7"/>
    </w:p>
    <w:p w14:paraId="394F6442" w14:textId="12D0B5AD" w:rsidR="005900CB" w:rsidRPr="005900CB" w:rsidRDefault="005900CB" w:rsidP="005900CB">
      <w:pPr>
        <w:spacing w:after="0" w:line="240" w:lineRule="auto"/>
        <w:ind w:left="720" w:hanging="720"/>
        <w:jc w:val="both"/>
        <w:rPr>
          <w:rFonts w:ascii="Calibri" w:hAnsi="Calibri"/>
          <w:noProof/>
          <w:lang w:val="en-GB"/>
        </w:rPr>
      </w:pPr>
      <w:bookmarkStart w:id="8" w:name="_ENREF_7"/>
      <w:r w:rsidRPr="005900CB">
        <w:rPr>
          <w:rFonts w:ascii="Calibri" w:hAnsi="Calibri"/>
          <w:noProof/>
          <w:lang w:val="en-GB"/>
        </w:rPr>
        <w:t>7.</w:t>
      </w:r>
      <w:r w:rsidRPr="005900CB">
        <w:rPr>
          <w:rFonts w:ascii="Calibri" w:hAnsi="Calibri"/>
          <w:noProof/>
          <w:lang w:val="en-GB"/>
        </w:rPr>
        <w:tab/>
        <w:t xml:space="preserve">Climate Action Tracker, </w:t>
      </w:r>
      <w:hyperlink r:id="rId15" w:history="1">
        <w:r w:rsidRPr="005900CB">
          <w:rPr>
            <w:rStyle w:val="Hyperlink"/>
            <w:rFonts w:ascii="Calibri" w:hAnsi="Calibri"/>
            <w:i/>
            <w:noProof/>
            <w:sz w:val="22"/>
          </w:rPr>
          <w:t>http://climateactiontracker.org/</w:t>
        </w:r>
      </w:hyperlink>
      <w:r w:rsidRPr="005900CB">
        <w:rPr>
          <w:rFonts w:ascii="Calibri" w:hAnsi="Calibri"/>
          <w:noProof/>
          <w:lang w:val="en-GB"/>
        </w:rPr>
        <w:t>. 2015.</w:t>
      </w:r>
      <w:bookmarkEnd w:id="8"/>
    </w:p>
    <w:p w14:paraId="624A4452" w14:textId="482577CE" w:rsidR="005900CB" w:rsidRPr="005900CB" w:rsidRDefault="005900CB" w:rsidP="005900CB">
      <w:pPr>
        <w:spacing w:after="0" w:line="240" w:lineRule="auto"/>
        <w:ind w:left="720" w:hanging="720"/>
        <w:jc w:val="both"/>
        <w:rPr>
          <w:rFonts w:ascii="Calibri" w:hAnsi="Calibri"/>
          <w:noProof/>
          <w:lang w:val="en-GB"/>
        </w:rPr>
      </w:pPr>
      <w:bookmarkStart w:id="9" w:name="_ENREF_8"/>
      <w:r w:rsidRPr="005900CB">
        <w:rPr>
          <w:rFonts w:ascii="Calibri" w:hAnsi="Calibri"/>
          <w:noProof/>
          <w:lang w:val="en-GB"/>
        </w:rPr>
        <w:t>8.</w:t>
      </w:r>
      <w:r w:rsidRPr="005900CB">
        <w:rPr>
          <w:rFonts w:ascii="Calibri" w:hAnsi="Calibri"/>
          <w:noProof/>
          <w:lang w:val="en-GB"/>
        </w:rPr>
        <w:tab/>
        <w:t xml:space="preserve">Government of Japan, </w:t>
      </w:r>
      <w:r w:rsidRPr="005900CB">
        <w:rPr>
          <w:rFonts w:ascii="Calibri" w:hAnsi="Calibri"/>
          <w:i/>
          <w:noProof/>
          <w:lang w:val="en-GB"/>
        </w:rPr>
        <w:t xml:space="preserve">Sixth National Communication to the United Nations Framework Convention on Climate Change, </w:t>
      </w:r>
      <w:hyperlink r:id="rId16" w:history="1">
        <w:r w:rsidRPr="005900CB">
          <w:rPr>
            <w:rStyle w:val="Hyperlink"/>
            <w:rFonts w:ascii="Calibri" w:hAnsi="Calibri"/>
            <w:i/>
            <w:noProof/>
            <w:sz w:val="22"/>
          </w:rPr>
          <w:t>http://unfccc.int/files/national_reports/annex_i_natcom/submitted_natcom/application/pdf/nc6_jpn_resubmission.pdf</w:t>
        </w:r>
      </w:hyperlink>
      <w:r w:rsidRPr="005900CB">
        <w:rPr>
          <w:rFonts w:ascii="Calibri" w:hAnsi="Calibri"/>
          <w:noProof/>
          <w:lang w:val="en-GB"/>
        </w:rPr>
        <w:t>. 2012.</w:t>
      </w:r>
      <w:bookmarkEnd w:id="9"/>
    </w:p>
    <w:p w14:paraId="2D64F4F5" w14:textId="318AC7D2" w:rsidR="005900CB" w:rsidRPr="005900CB" w:rsidRDefault="005900CB" w:rsidP="005900CB">
      <w:pPr>
        <w:spacing w:line="240" w:lineRule="auto"/>
        <w:ind w:left="720" w:hanging="720"/>
        <w:jc w:val="both"/>
        <w:rPr>
          <w:rFonts w:ascii="Calibri" w:hAnsi="Calibri"/>
          <w:noProof/>
          <w:lang w:val="en-GB"/>
        </w:rPr>
      </w:pPr>
      <w:bookmarkStart w:id="10" w:name="_ENREF_9"/>
      <w:r w:rsidRPr="005900CB">
        <w:rPr>
          <w:rFonts w:ascii="Calibri" w:hAnsi="Calibri"/>
          <w:noProof/>
          <w:lang w:val="en-GB"/>
        </w:rPr>
        <w:t>9.</w:t>
      </w:r>
      <w:r w:rsidRPr="005900CB">
        <w:rPr>
          <w:rFonts w:ascii="Calibri" w:hAnsi="Calibri"/>
          <w:noProof/>
          <w:lang w:val="en-GB"/>
        </w:rPr>
        <w:tab/>
        <w:t xml:space="preserve">Government of Mexico, </w:t>
      </w:r>
      <w:r w:rsidRPr="005900CB">
        <w:rPr>
          <w:rFonts w:ascii="Calibri" w:hAnsi="Calibri"/>
          <w:i/>
          <w:noProof/>
          <w:lang w:val="en-GB"/>
        </w:rPr>
        <w:t>Mexico. México quinta comunicación nacional ante la Convención Marco de las Naciones Unidas sobre el Cambio Climático.</w:t>
      </w:r>
      <w:r w:rsidRPr="005900CB">
        <w:rPr>
          <w:rFonts w:ascii="Calibri" w:hAnsi="Calibri"/>
          <w:noProof/>
          <w:lang w:val="en-GB"/>
        </w:rPr>
        <w:t xml:space="preserve"> 2012, </w:t>
      </w:r>
      <w:hyperlink r:id="rId17" w:history="1">
        <w:r w:rsidRPr="005900CB">
          <w:rPr>
            <w:rStyle w:val="Hyperlink"/>
            <w:rFonts w:ascii="Calibri" w:hAnsi="Calibri"/>
            <w:noProof/>
            <w:sz w:val="22"/>
          </w:rPr>
          <w:t>http://unfccc.int/resource/docs/natc/mexnc5s.pdf</w:t>
        </w:r>
      </w:hyperlink>
      <w:r w:rsidRPr="005900CB">
        <w:rPr>
          <w:rFonts w:ascii="Calibri" w:hAnsi="Calibri"/>
          <w:noProof/>
          <w:lang w:val="en-GB"/>
        </w:rPr>
        <w:t>.</w:t>
      </w:r>
      <w:bookmarkEnd w:id="10"/>
    </w:p>
    <w:p w14:paraId="401C0C1F" w14:textId="6B04ACC5" w:rsidR="005900CB" w:rsidRDefault="005900CB" w:rsidP="005900CB">
      <w:pPr>
        <w:spacing w:line="240" w:lineRule="auto"/>
        <w:jc w:val="both"/>
        <w:rPr>
          <w:rFonts w:ascii="Calibri" w:hAnsi="Calibri"/>
          <w:noProof/>
          <w:lang w:val="en-GB"/>
        </w:rPr>
      </w:pPr>
    </w:p>
    <w:p w14:paraId="5067CB6C" w14:textId="0B57BDE1" w:rsidR="005A0583" w:rsidRPr="009029D6" w:rsidRDefault="009029D6" w:rsidP="00602F71">
      <w:pPr>
        <w:jc w:val="both"/>
        <w:rPr>
          <w:lang w:val="en-GB"/>
        </w:rPr>
      </w:pPr>
      <w:r>
        <w:rPr>
          <w:lang w:val="en-GB"/>
        </w:rPr>
        <w:fldChar w:fldCharType="end"/>
      </w:r>
    </w:p>
    <w:sectPr w:rsidR="005A0583" w:rsidRPr="00902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95C3D3" w15:done="0"/>
  <w15:commentEx w15:paraId="79FAA5F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CC749" w14:textId="77777777" w:rsidR="00A7411C" w:rsidRDefault="00A7411C" w:rsidP="00547E39">
      <w:pPr>
        <w:spacing w:after="0" w:line="240" w:lineRule="auto"/>
      </w:pPr>
      <w:r>
        <w:separator/>
      </w:r>
    </w:p>
  </w:endnote>
  <w:endnote w:type="continuationSeparator" w:id="0">
    <w:p w14:paraId="0A4FB763" w14:textId="77777777" w:rsidR="00A7411C" w:rsidRDefault="00A7411C" w:rsidP="00547E39">
      <w:pPr>
        <w:spacing w:after="0" w:line="240" w:lineRule="auto"/>
      </w:pPr>
      <w:r>
        <w:continuationSeparator/>
      </w:r>
    </w:p>
  </w:endnote>
  <w:endnote w:type="continuationNotice" w:id="1">
    <w:p w14:paraId="04296B9E" w14:textId="77777777" w:rsidR="00A7411C" w:rsidRDefault="00A741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167C7" w14:textId="77777777" w:rsidR="00A7411C" w:rsidRDefault="00A7411C" w:rsidP="00547E39">
      <w:pPr>
        <w:spacing w:after="0" w:line="240" w:lineRule="auto"/>
      </w:pPr>
      <w:r>
        <w:separator/>
      </w:r>
    </w:p>
  </w:footnote>
  <w:footnote w:type="continuationSeparator" w:id="0">
    <w:p w14:paraId="4D3D3EB4" w14:textId="77777777" w:rsidR="00A7411C" w:rsidRDefault="00A7411C" w:rsidP="00547E39">
      <w:pPr>
        <w:spacing w:after="0" w:line="240" w:lineRule="auto"/>
      </w:pPr>
      <w:r>
        <w:continuationSeparator/>
      </w:r>
    </w:p>
  </w:footnote>
  <w:footnote w:type="continuationNotice" w:id="1">
    <w:p w14:paraId="7F2584D4" w14:textId="77777777" w:rsidR="00A7411C" w:rsidRDefault="00A7411C">
      <w:pPr>
        <w:spacing w:after="0" w:line="240" w:lineRule="auto"/>
      </w:pPr>
    </w:p>
  </w:footnote>
  <w:footnote w:id="2">
    <w:p w14:paraId="0D7747E4" w14:textId="43FAC10F" w:rsidR="005A0583" w:rsidRPr="005A0583" w:rsidRDefault="005A0583" w:rsidP="005A0583">
      <w:pPr>
        <w:pStyle w:val="FootnoteText"/>
        <w:spacing w:after="0"/>
        <w:ind w:left="346" w:hanging="346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602F71">
        <w:t>International Institute for Applied System Analysis (IIASA), Schlossplatz 1, 2361 Laxenburg, Austria</w:t>
      </w:r>
    </w:p>
  </w:footnote>
  <w:footnote w:id="3">
    <w:p w14:paraId="7F5231A7" w14:textId="4DEC6D83" w:rsidR="005A0583" w:rsidRPr="005A0583" w:rsidRDefault="005A0583" w:rsidP="005A0583">
      <w:pPr>
        <w:pStyle w:val="FootnoteText"/>
        <w:spacing w:after="0"/>
        <w:ind w:left="346" w:hanging="346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602F71">
        <w:t>Lviv Polytechnic National University, 12 Bandera street, 79013 Lviv, Ukraine</w:t>
      </w:r>
    </w:p>
  </w:footnote>
  <w:footnote w:id="4">
    <w:p w14:paraId="72CC7DC7" w14:textId="26BB802D" w:rsidR="005A0583" w:rsidRPr="005A0583" w:rsidRDefault="005A058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602F71">
        <w:t>PBL Netherlands E</w:t>
      </w:r>
      <w:r>
        <w:t>nvironmental Assessment Agency,</w:t>
      </w:r>
      <w:r w:rsidRPr="00602F71">
        <w:t xml:space="preserve"> </w:t>
      </w:r>
      <w:r w:rsidRPr="00B572F3">
        <w:t>Bezuidenhoutseweg 30</w:t>
      </w:r>
      <w:r>
        <w:t>,</w:t>
      </w:r>
      <w:r w:rsidRPr="00602F71">
        <w:t xml:space="preserve"> </w:t>
      </w:r>
      <w:r w:rsidRPr="00B572F3">
        <w:t>2594 AV</w:t>
      </w:r>
      <w:r>
        <w:t>,</w:t>
      </w:r>
      <w:r w:rsidRPr="00602F71">
        <w:t xml:space="preserve"> </w:t>
      </w:r>
      <w:r w:rsidRPr="00B572F3">
        <w:t>The Hague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>
    <w:nsid w:val="00FE49FE"/>
    <w:multiLevelType w:val="hybridMultilevel"/>
    <w:tmpl w:val="617680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E289E"/>
    <w:multiLevelType w:val="hybridMultilevel"/>
    <w:tmpl w:val="E86C0F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563EFD"/>
    <w:multiLevelType w:val="hybridMultilevel"/>
    <w:tmpl w:val="7B726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37A99"/>
    <w:multiLevelType w:val="hybridMultilevel"/>
    <w:tmpl w:val="36C2F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80E3C"/>
    <w:multiLevelType w:val="hybridMultilevel"/>
    <w:tmpl w:val="E3189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73192"/>
    <w:multiLevelType w:val="hybridMultilevel"/>
    <w:tmpl w:val="67B04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4766C0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D38C8"/>
    <w:multiLevelType w:val="hybridMultilevel"/>
    <w:tmpl w:val="E702B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62E68"/>
    <w:multiLevelType w:val="hybridMultilevel"/>
    <w:tmpl w:val="015EC3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076164D"/>
    <w:multiLevelType w:val="hybridMultilevel"/>
    <w:tmpl w:val="590CB7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5F02F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68A2CC7"/>
    <w:multiLevelType w:val="hybridMultilevel"/>
    <w:tmpl w:val="08E48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9A17A1"/>
    <w:multiLevelType w:val="hybridMultilevel"/>
    <w:tmpl w:val="3DC8A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344FAF"/>
    <w:multiLevelType w:val="hybridMultilevel"/>
    <w:tmpl w:val="4748E6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9B728E4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>
    <w:nsid w:val="7FC86A69"/>
    <w:multiLevelType w:val="hybridMultilevel"/>
    <w:tmpl w:val="F6F809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4"/>
  </w:num>
  <w:num w:numId="5">
    <w:abstractNumId w:val="9"/>
  </w:num>
  <w:num w:numId="6">
    <w:abstractNumId w:val="13"/>
  </w:num>
  <w:num w:numId="7">
    <w:abstractNumId w:val="2"/>
  </w:num>
  <w:num w:numId="8">
    <w:abstractNumId w:val="8"/>
  </w:num>
  <w:num w:numId="9">
    <w:abstractNumId w:val="11"/>
  </w:num>
  <w:num w:numId="10">
    <w:abstractNumId w:val="5"/>
  </w:num>
  <w:num w:numId="11">
    <w:abstractNumId w:val="0"/>
  </w:num>
  <w:num w:numId="12">
    <w:abstractNumId w:val="4"/>
  </w:num>
  <w:num w:numId="13">
    <w:abstractNumId w:val="12"/>
  </w:num>
  <w:num w:numId="14">
    <w:abstractNumId w:val="7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ddttpezpfrtd21e9re85faex2a0v50e5x9af&quot;&gt;My EndNote Library&lt;record-ids&gt;&lt;item&gt;207&lt;/item&gt;&lt;/record-ids&gt;&lt;/item&gt;&lt;/Libraries&gt;"/>
  </w:docVars>
  <w:rsids>
    <w:rsidRoot w:val="00422E8E"/>
    <w:rsid w:val="0000187F"/>
    <w:rsid w:val="0000212D"/>
    <w:rsid w:val="0000577B"/>
    <w:rsid w:val="00010AF2"/>
    <w:rsid w:val="00011C17"/>
    <w:rsid w:val="00014D0D"/>
    <w:rsid w:val="00017039"/>
    <w:rsid w:val="00021088"/>
    <w:rsid w:val="00022E4C"/>
    <w:rsid w:val="00030F38"/>
    <w:rsid w:val="00040323"/>
    <w:rsid w:val="00041484"/>
    <w:rsid w:val="00051902"/>
    <w:rsid w:val="000525C1"/>
    <w:rsid w:val="00063A99"/>
    <w:rsid w:val="00063D0F"/>
    <w:rsid w:val="000666D9"/>
    <w:rsid w:val="000672D8"/>
    <w:rsid w:val="00067C8F"/>
    <w:rsid w:val="00073AFC"/>
    <w:rsid w:val="00073D90"/>
    <w:rsid w:val="00076E6A"/>
    <w:rsid w:val="000832B0"/>
    <w:rsid w:val="00085AD3"/>
    <w:rsid w:val="00091CE6"/>
    <w:rsid w:val="000972BD"/>
    <w:rsid w:val="000A472F"/>
    <w:rsid w:val="000A6B5E"/>
    <w:rsid w:val="000B12AC"/>
    <w:rsid w:val="000B2156"/>
    <w:rsid w:val="000B7FA9"/>
    <w:rsid w:val="000C1683"/>
    <w:rsid w:val="000C49A8"/>
    <w:rsid w:val="000C6CE5"/>
    <w:rsid w:val="000C77AE"/>
    <w:rsid w:val="000D1EFE"/>
    <w:rsid w:val="000D38B4"/>
    <w:rsid w:val="000D56FE"/>
    <w:rsid w:val="000D7B16"/>
    <w:rsid w:val="000E2B86"/>
    <w:rsid w:val="000E611A"/>
    <w:rsid w:val="000F5B84"/>
    <w:rsid w:val="00114FBF"/>
    <w:rsid w:val="00116E3A"/>
    <w:rsid w:val="00126F57"/>
    <w:rsid w:val="001302E5"/>
    <w:rsid w:val="00141525"/>
    <w:rsid w:val="001415D7"/>
    <w:rsid w:val="00150F5D"/>
    <w:rsid w:val="00153C3A"/>
    <w:rsid w:val="00153DC4"/>
    <w:rsid w:val="001545BF"/>
    <w:rsid w:val="0015464E"/>
    <w:rsid w:val="00154CB8"/>
    <w:rsid w:val="001658AD"/>
    <w:rsid w:val="00165946"/>
    <w:rsid w:val="001725EE"/>
    <w:rsid w:val="001736EC"/>
    <w:rsid w:val="001738CE"/>
    <w:rsid w:val="001739BD"/>
    <w:rsid w:val="00174AB3"/>
    <w:rsid w:val="00177623"/>
    <w:rsid w:val="00184D60"/>
    <w:rsid w:val="001854AB"/>
    <w:rsid w:val="001860F2"/>
    <w:rsid w:val="00190C8E"/>
    <w:rsid w:val="00196697"/>
    <w:rsid w:val="00196EB5"/>
    <w:rsid w:val="001A303D"/>
    <w:rsid w:val="001B1885"/>
    <w:rsid w:val="001B52E4"/>
    <w:rsid w:val="001B684F"/>
    <w:rsid w:val="001C26E0"/>
    <w:rsid w:val="001D35FE"/>
    <w:rsid w:val="001D56A4"/>
    <w:rsid w:val="001D7B5E"/>
    <w:rsid w:val="001F4CD7"/>
    <w:rsid w:val="00204448"/>
    <w:rsid w:val="00204620"/>
    <w:rsid w:val="002051CA"/>
    <w:rsid w:val="00205D6F"/>
    <w:rsid w:val="00210FCE"/>
    <w:rsid w:val="002129A0"/>
    <w:rsid w:val="002174EF"/>
    <w:rsid w:val="00220395"/>
    <w:rsid w:val="00220B2C"/>
    <w:rsid w:val="00222E58"/>
    <w:rsid w:val="00227078"/>
    <w:rsid w:val="00230004"/>
    <w:rsid w:val="002313F1"/>
    <w:rsid w:val="00231732"/>
    <w:rsid w:val="002360C2"/>
    <w:rsid w:val="00240DA1"/>
    <w:rsid w:val="00243402"/>
    <w:rsid w:val="0025720D"/>
    <w:rsid w:val="002647A2"/>
    <w:rsid w:val="002729F3"/>
    <w:rsid w:val="0028071E"/>
    <w:rsid w:val="00280FCD"/>
    <w:rsid w:val="0028412F"/>
    <w:rsid w:val="00294278"/>
    <w:rsid w:val="00297DAD"/>
    <w:rsid w:val="002A484D"/>
    <w:rsid w:val="002C097C"/>
    <w:rsid w:val="002C211A"/>
    <w:rsid w:val="002C2C6F"/>
    <w:rsid w:val="002C37D7"/>
    <w:rsid w:val="002C739E"/>
    <w:rsid w:val="002D2E45"/>
    <w:rsid w:val="002D36C3"/>
    <w:rsid w:val="002D3A57"/>
    <w:rsid w:val="002D5414"/>
    <w:rsid w:val="002D7712"/>
    <w:rsid w:val="002E0B1B"/>
    <w:rsid w:val="002E5025"/>
    <w:rsid w:val="002F034B"/>
    <w:rsid w:val="002F2AEC"/>
    <w:rsid w:val="002F6E41"/>
    <w:rsid w:val="00300355"/>
    <w:rsid w:val="003019C1"/>
    <w:rsid w:val="00301C53"/>
    <w:rsid w:val="00304BA5"/>
    <w:rsid w:val="00306F39"/>
    <w:rsid w:val="0030777D"/>
    <w:rsid w:val="0031214C"/>
    <w:rsid w:val="003213A1"/>
    <w:rsid w:val="003345DF"/>
    <w:rsid w:val="0033475B"/>
    <w:rsid w:val="003427AC"/>
    <w:rsid w:val="00342986"/>
    <w:rsid w:val="00347EAD"/>
    <w:rsid w:val="003563A0"/>
    <w:rsid w:val="00367EE5"/>
    <w:rsid w:val="0037263B"/>
    <w:rsid w:val="0037446F"/>
    <w:rsid w:val="00375736"/>
    <w:rsid w:val="0038289F"/>
    <w:rsid w:val="00382FC2"/>
    <w:rsid w:val="0038595A"/>
    <w:rsid w:val="00385B82"/>
    <w:rsid w:val="00385C0A"/>
    <w:rsid w:val="00395813"/>
    <w:rsid w:val="0039593D"/>
    <w:rsid w:val="00396A1E"/>
    <w:rsid w:val="003A0BAD"/>
    <w:rsid w:val="003A2C77"/>
    <w:rsid w:val="003B07B3"/>
    <w:rsid w:val="003B13AE"/>
    <w:rsid w:val="003B2E1C"/>
    <w:rsid w:val="003B329F"/>
    <w:rsid w:val="003B4999"/>
    <w:rsid w:val="003B67ED"/>
    <w:rsid w:val="003C0A83"/>
    <w:rsid w:val="003D1974"/>
    <w:rsid w:val="003E11D3"/>
    <w:rsid w:val="003E6D20"/>
    <w:rsid w:val="003E7B46"/>
    <w:rsid w:val="004004BB"/>
    <w:rsid w:val="004014E1"/>
    <w:rsid w:val="004028F0"/>
    <w:rsid w:val="00407164"/>
    <w:rsid w:val="00410285"/>
    <w:rsid w:val="00410546"/>
    <w:rsid w:val="00416AA4"/>
    <w:rsid w:val="0042253A"/>
    <w:rsid w:val="00422AB0"/>
    <w:rsid w:val="00422E8E"/>
    <w:rsid w:val="004235EC"/>
    <w:rsid w:val="0042481B"/>
    <w:rsid w:val="00424C8B"/>
    <w:rsid w:val="0042620F"/>
    <w:rsid w:val="0042748A"/>
    <w:rsid w:val="00427828"/>
    <w:rsid w:val="00430B39"/>
    <w:rsid w:val="00432162"/>
    <w:rsid w:val="00432EFB"/>
    <w:rsid w:val="00433D36"/>
    <w:rsid w:val="0043554B"/>
    <w:rsid w:val="004422C0"/>
    <w:rsid w:val="00450738"/>
    <w:rsid w:val="00453E34"/>
    <w:rsid w:val="00454C09"/>
    <w:rsid w:val="00463124"/>
    <w:rsid w:val="00470B47"/>
    <w:rsid w:val="00475055"/>
    <w:rsid w:val="0048336A"/>
    <w:rsid w:val="00483528"/>
    <w:rsid w:val="00486D15"/>
    <w:rsid w:val="004916A5"/>
    <w:rsid w:val="004917E7"/>
    <w:rsid w:val="00496CA7"/>
    <w:rsid w:val="004A06CE"/>
    <w:rsid w:val="004A1F82"/>
    <w:rsid w:val="004A2E97"/>
    <w:rsid w:val="004A6858"/>
    <w:rsid w:val="004A6A3F"/>
    <w:rsid w:val="004B07BA"/>
    <w:rsid w:val="004B3259"/>
    <w:rsid w:val="004C14AF"/>
    <w:rsid w:val="004C2D42"/>
    <w:rsid w:val="004D0449"/>
    <w:rsid w:val="004D4512"/>
    <w:rsid w:val="004D7AFB"/>
    <w:rsid w:val="004E3FCE"/>
    <w:rsid w:val="004E6768"/>
    <w:rsid w:val="004E68C0"/>
    <w:rsid w:val="004E6C23"/>
    <w:rsid w:val="004F0BD9"/>
    <w:rsid w:val="004F18DD"/>
    <w:rsid w:val="005001E1"/>
    <w:rsid w:val="00501B97"/>
    <w:rsid w:val="00511903"/>
    <w:rsid w:val="00515B5D"/>
    <w:rsid w:val="0052073F"/>
    <w:rsid w:val="005248C7"/>
    <w:rsid w:val="005314FF"/>
    <w:rsid w:val="00531982"/>
    <w:rsid w:val="005342ED"/>
    <w:rsid w:val="005406C3"/>
    <w:rsid w:val="00540D58"/>
    <w:rsid w:val="00543EC8"/>
    <w:rsid w:val="00547E39"/>
    <w:rsid w:val="00552A06"/>
    <w:rsid w:val="00557645"/>
    <w:rsid w:val="0056032D"/>
    <w:rsid w:val="005656CD"/>
    <w:rsid w:val="00565EC5"/>
    <w:rsid w:val="005813B8"/>
    <w:rsid w:val="00581B04"/>
    <w:rsid w:val="005826B4"/>
    <w:rsid w:val="00583140"/>
    <w:rsid w:val="00583375"/>
    <w:rsid w:val="00583955"/>
    <w:rsid w:val="005871FA"/>
    <w:rsid w:val="005879A0"/>
    <w:rsid w:val="005900CB"/>
    <w:rsid w:val="00591725"/>
    <w:rsid w:val="005A0583"/>
    <w:rsid w:val="005A089C"/>
    <w:rsid w:val="005A2979"/>
    <w:rsid w:val="005A4476"/>
    <w:rsid w:val="005A5368"/>
    <w:rsid w:val="005B22B0"/>
    <w:rsid w:val="005B2D54"/>
    <w:rsid w:val="005B7EC2"/>
    <w:rsid w:val="005C1B17"/>
    <w:rsid w:val="005C7891"/>
    <w:rsid w:val="005D1FE6"/>
    <w:rsid w:val="005D41D7"/>
    <w:rsid w:val="005D4841"/>
    <w:rsid w:val="005D5BCC"/>
    <w:rsid w:val="005D6DF1"/>
    <w:rsid w:val="005E05D5"/>
    <w:rsid w:val="005E07F8"/>
    <w:rsid w:val="005F2A64"/>
    <w:rsid w:val="005F542A"/>
    <w:rsid w:val="005F6A68"/>
    <w:rsid w:val="00602F71"/>
    <w:rsid w:val="00604ED8"/>
    <w:rsid w:val="006068A0"/>
    <w:rsid w:val="006070AA"/>
    <w:rsid w:val="0062019B"/>
    <w:rsid w:val="00630A8D"/>
    <w:rsid w:val="00631968"/>
    <w:rsid w:val="00632DB4"/>
    <w:rsid w:val="00634EF7"/>
    <w:rsid w:val="006457A4"/>
    <w:rsid w:val="0064584D"/>
    <w:rsid w:val="006458E1"/>
    <w:rsid w:val="00656613"/>
    <w:rsid w:val="0066256D"/>
    <w:rsid w:val="00663E03"/>
    <w:rsid w:val="00663E07"/>
    <w:rsid w:val="006641C2"/>
    <w:rsid w:val="0066581C"/>
    <w:rsid w:val="00665820"/>
    <w:rsid w:val="006660DF"/>
    <w:rsid w:val="0066619D"/>
    <w:rsid w:val="00670472"/>
    <w:rsid w:val="00676778"/>
    <w:rsid w:val="00680416"/>
    <w:rsid w:val="0068066C"/>
    <w:rsid w:val="006810AF"/>
    <w:rsid w:val="00681665"/>
    <w:rsid w:val="006848AE"/>
    <w:rsid w:val="00684CD7"/>
    <w:rsid w:val="0069032A"/>
    <w:rsid w:val="006920F3"/>
    <w:rsid w:val="00695B4B"/>
    <w:rsid w:val="00697B9A"/>
    <w:rsid w:val="006B01E9"/>
    <w:rsid w:val="006B79AF"/>
    <w:rsid w:val="006C1B89"/>
    <w:rsid w:val="006C1E54"/>
    <w:rsid w:val="006C3576"/>
    <w:rsid w:val="006C3E82"/>
    <w:rsid w:val="006D680F"/>
    <w:rsid w:val="006E02A5"/>
    <w:rsid w:val="006F0589"/>
    <w:rsid w:val="006F5433"/>
    <w:rsid w:val="006F5AB9"/>
    <w:rsid w:val="0070739E"/>
    <w:rsid w:val="007113F8"/>
    <w:rsid w:val="007120F0"/>
    <w:rsid w:val="0071381A"/>
    <w:rsid w:val="00721619"/>
    <w:rsid w:val="00722174"/>
    <w:rsid w:val="0072419F"/>
    <w:rsid w:val="007253E3"/>
    <w:rsid w:val="00727E57"/>
    <w:rsid w:val="00731E26"/>
    <w:rsid w:val="0073222C"/>
    <w:rsid w:val="00734456"/>
    <w:rsid w:val="00736246"/>
    <w:rsid w:val="00741C9C"/>
    <w:rsid w:val="00742B70"/>
    <w:rsid w:val="0074680D"/>
    <w:rsid w:val="007525B5"/>
    <w:rsid w:val="00753257"/>
    <w:rsid w:val="00755F2C"/>
    <w:rsid w:val="00757911"/>
    <w:rsid w:val="00761905"/>
    <w:rsid w:val="00764512"/>
    <w:rsid w:val="007666C8"/>
    <w:rsid w:val="00771F0F"/>
    <w:rsid w:val="00780CE5"/>
    <w:rsid w:val="00782588"/>
    <w:rsid w:val="00785858"/>
    <w:rsid w:val="00790B1C"/>
    <w:rsid w:val="007943E1"/>
    <w:rsid w:val="00796F57"/>
    <w:rsid w:val="007A63BA"/>
    <w:rsid w:val="007B06EF"/>
    <w:rsid w:val="007B1581"/>
    <w:rsid w:val="007B5CEE"/>
    <w:rsid w:val="007B5F11"/>
    <w:rsid w:val="007B68F5"/>
    <w:rsid w:val="007C132D"/>
    <w:rsid w:val="007C222C"/>
    <w:rsid w:val="007C28D7"/>
    <w:rsid w:val="007C36EA"/>
    <w:rsid w:val="007C6F46"/>
    <w:rsid w:val="007D1FDD"/>
    <w:rsid w:val="007D3815"/>
    <w:rsid w:val="007E0F57"/>
    <w:rsid w:val="007E2004"/>
    <w:rsid w:val="007E3059"/>
    <w:rsid w:val="007E310B"/>
    <w:rsid w:val="007E3494"/>
    <w:rsid w:val="007E4A6B"/>
    <w:rsid w:val="007E4E62"/>
    <w:rsid w:val="007E57B7"/>
    <w:rsid w:val="007F3E30"/>
    <w:rsid w:val="008043B1"/>
    <w:rsid w:val="008063BC"/>
    <w:rsid w:val="008066C1"/>
    <w:rsid w:val="00812BB8"/>
    <w:rsid w:val="0082058D"/>
    <w:rsid w:val="00821217"/>
    <w:rsid w:val="00825C70"/>
    <w:rsid w:val="00830122"/>
    <w:rsid w:val="00830EB4"/>
    <w:rsid w:val="00834E1C"/>
    <w:rsid w:val="008358A1"/>
    <w:rsid w:val="008367B8"/>
    <w:rsid w:val="00837A2F"/>
    <w:rsid w:val="0084616D"/>
    <w:rsid w:val="0085078E"/>
    <w:rsid w:val="008511C7"/>
    <w:rsid w:val="008522B5"/>
    <w:rsid w:val="00863282"/>
    <w:rsid w:val="008632F0"/>
    <w:rsid w:val="00864F86"/>
    <w:rsid w:val="00865291"/>
    <w:rsid w:val="00873D96"/>
    <w:rsid w:val="00884C31"/>
    <w:rsid w:val="00884F9D"/>
    <w:rsid w:val="008859F6"/>
    <w:rsid w:val="00892D76"/>
    <w:rsid w:val="00896CDD"/>
    <w:rsid w:val="008974E2"/>
    <w:rsid w:val="008A155B"/>
    <w:rsid w:val="008A1B26"/>
    <w:rsid w:val="008B1899"/>
    <w:rsid w:val="008D0CCA"/>
    <w:rsid w:val="008D1A42"/>
    <w:rsid w:val="008D2390"/>
    <w:rsid w:val="008E1A9C"/>
    <w:rsid w:val="008E4634"/>
    <w:rsid w:val="008E6F29"/>
    <w:rsid w:val="008F04A7"/>
    <w:rsid w:val="008F66B7"/>
    <w:rsid w:val="009019CA"/>
    <w:rsid w:val="00901E37"/>
    <w:rsid w:val="00901F1F"/>
    <w:rsid w:val="009029D6"/>
    <w:rsid w:val="00905F13"/>
    <w:rsid w:val="0091350B"/>
    <w:rsid w:val="00924C3B"/>
    <w:rsid w:val="00926581"/>
    <w:rsid w:val="00926689"/>
    <w:rsid w:val="00936CE2"/>
    <w:rsid w:val="009373F8"/>
    <w:rsid w:val="009411F2"/>
    <w:rsid w:val="009435CA"/>
    <w:rsid w:val="0095246C"/>
    <w:rsid w:val="00954B02"/>
    <w:rsid w:val="00960D84"/>
    <w:rsid w:val="00960EDE"/>
    <w:rsid w:val="009638C4"/>
    <w:rsid w:val="00964D74"/>
    <w:rsid w:val="009840AF"/>
    <w:rsid w:val="00985457"/>
    <w:rsid w:val="00986661"/>
    <w:rsid w:val="00986FCC"/>
    <w:rsid w:val="00995B3A"/>
    <w:rsid w:val="009A4476"/>
    <w:rsid w:val="009B7D2B"/>
    <w:rsid w:val="009C2F81"/>
    <w:rsid w:val="009D02A5"/>
    <w:rsid w:val="009D0B38"/>
    <w:rsid w:val="009D410D"/>
    <w:rsid w:val="009E0C76"/>
    <w:rsid w:val="00A00300"/>
    <w:rsid w:val="00A00593"/>
    <w:rsid w:val="00A01C78"/>
    <w:rsid w:val="00A02DCD"/>
    <w:rsid w:val="00A04F60"/>
    <w:rsid w:val="00A0631E"/>
    <w:rsid w:val="00A14582"/>
    <w:rsid w:val="00A14EDB"/>
    <w:rsid w:val="00A20DFF"/>
    <w:rsid w:val="00A220C8"/>
    <w:rsid w:val="00A30059"/>
    <w:rsid w:val="00A32EA3"/>
    <w:rsid w:val="00A37F7E"/>
    <w:rsid w:val="00A401BF"/>
    <w:rsid w:val="00A4023F"/>
    <w:rsid w:val="00A4215B"/>
    <w:rsid w:val="00A42908"/>
    <w:rsid w:val="00A430A4"/>
    <w:rsid w:val="00A46E14"/>
    <w:rsid w:val="00A479D9"/>
    <w:rsid w:val="00A53D91"/>
    <w:rsid w:val="00A579C3"/>
    <w:rsid w:val="00A62EE4"/>
    <w:rsid w:val="00A65598"/>
    <w:rsid w:val="00A7411C"/>
    <w:rsid w:val="00A742CC"/>
    <w:rsid w:val="00A82A72"/>
    <w:rsid w:val="00A83D5B"/>
    <w:rsid w:val="00A844A6"/>
    <w:rsid w:val="00A84F22"/>
    <w:rsid w:val="00A90169"/>
    <w:rsid w:val="00A90422"/>
    <w:rsid w:val="00A923BC"/>
    <w:rsid w:val="00A97BD7"/>
    <w:rsid w:val="00AA7D8B"/>
    <w:rsid w:val="00AC43F5"/>
    <w:rsid w:val="00AC57FE"/>
    <w:rsid w:val="00AC5ABE"/>
    <w:rsid w:val="00AD0305"/>
    <w:rsid w:val="00AD60E0"/>
    <w:rsid w:val="00AD62E0"/>
    <w:rsid w:val="00AE2BB7"/>
    <w:rsid w:val="00AE67A0"/>
    <w:rsid w:val="00AF0B20"/>
    <w:rsid w:val="00AF0FDA"/>
    <w:rsid w:val="00AF2069"/>
    <w:rsid w:val="00AF2F90"/>
    <w:rsid w:val="00AF4D53"/>
    <w:rsid w:val="00AF5492"/>
    <w:rsid w:val="00AF6142"/>
    <w:rsid w:val="00AF6859"/>
    <w:rsid w:val="00B00F72"/>
    <w:rsid w:val="00B02714"/>
    <w:rsid w:val="00B02770"/>
    <w:rsid w:val="00B15849"/>
    <w:rsid w:val="00B16171"/>
    <w:rsid w:val="00B225AB"/>
    <w:rsid w:val="00B247F7"/>
    <w:rsid w:val="00B317E9"/>
    <w:rsid w:val="00B37B77"/>
    <w:rsid w:val="00B44321"/>
    <w:rsid w:val="00B447BB"/>
    <w:rsid w:val="00B45E66"/>
    <w:rsid w:val="00B46827"/>
    <w:rsid w:val="00B47140"/>
    <w:rsid w:val="00B47669"/>
    <w:rsid w:val="00B51FDC"/>
    <w:rsid w:val="00B56143"/>
    <w:rsid w:val="00B66AE8"/>
    <w:rsid w:val="00B71BD0"/>
    <w:rsid w:val="00B71DF8"/>
    <w:rsid w:val="00B72C42"/>
    <w:rsid w:val="00B75A68"/>
    <w:rsid w:val="00B7754D"/>
    <w:rsid w:val="00B80760"/>
    <w:rsid w:val="00B81A1C"/>
    <w:rsid w:val="00B8525D"/>
    <w:rsid w:val="00B864A5"/>
    <w:rsid w:val="00B93165"/>
    <w:rsid w:val="00B94EC8"/>
    <w:rsid w:val="00B97864"/>
    <w:rsid w:val="00BC00F5"/>
    <w:rsid w:val="00BC11E4"/>
    <w:rsid w:val="00BC14D6"/>
    <w:rsid w:val="00BC178E"/>
    <w:rsid w:val="00BD55D8"/>
    <w:rsid w:val="00BE3274"/>
    <w:rsid w:val="00BE3A8E"/>
    <w:rsid w:val="00BE3C9C"/>
    <w:rsid w:val="00BE5584"/>
    <w:rsid w:val="00BE56CB"/>
    <w:rsid w:val="00BF2744"/>
    <w:rsid w:val="00BF3A72"/>
    <w:rsid w:val="00BF739A"/>
    <w:rsid w:val="00C061F5"/>
    <w:rsid w:val="00C11313"/>
    <w:rsid w:val="00C119C1"/>
    <w:rsid w:val="00C14E3F"/>
    <w:rsid w:val="00C1752B"/>
    <w:rsid w:val="00C23CA9"/>
    <w:rsid w:val="00C24DF7"/>
    <w:rsid w:val="00C35CD0"/>
    <w:rsid w:val="00C36CF3"/>
    <w:rsid w:val="00C44B4A"/>
    <w:rsid w:val="00C45468"/>
    <w:rsid w:val="00C54F09"/>
    <w:rsid w:val="00C57808"/>
    <w:rsid w:val="00C57D03"/>
    <w:rsid w:val="00C61316"/>
    <w:rsid w:val="00C64DA3"/>
    <w:rsid w:val="00C66B56"/>
    <w:rsid w:val="00C71403"/>
    <w:rsid w:val="00C72788"/>
    <w:rsid w:val="00C72E83"/>
    <w:rsid w:val="00C7479D"/>
    <w:rsid w:val="00C7503A"/>
    <w:rsid w:val="00C822DB"/>
    <w:rsid w:val="00C8290E"/>
    <w:rsid w:val="00C92710"/>
    <w:rsid w:val="00C92821"/>
    <w:rsid w:val="00C9323B"/>
    <w:rsid w:val="00C960A6"/>
    <w:rsid w:val="00CA5447"/>
    <w:rsid w:val="00CA6D15"/>
    <w:rsid w:val="00CA7FD3"/>
    <w:rsid w:val="00CB17B7"/>
    <w:rsid w:val="00CB313F"/>
    <w:rsid w:val="00CB34F9"/>
    <w:rsid w:val="00CB3788"/>
    <w:rsid w:val="00CB4B95"/>
    <w:rsid w:val="00CC24B6"/>
    <w:rsid w:val="00CC2D17"/>
    <w:rsid w:val="00CC6CD7"/>
    <w:rsid w:val="00CD3379"/>
    <w:rsid w:val="00CD6F3A"/>
    <w:rsid w:val="00CD738D"/>
    <w:rsid w:val="00CE2CEA"/>
    <w:rsid w:val="00CE595A"/>
    <w:rsid w:val="00CE6AB9"/>
    <w:rsid w:val="00CF0DBA"/>
    <w:rsid w:val="00CF7687"/>
    <w:rsid w:val="00D0255D"/>
    <w:rsid w:val="00D036AD"/>
    <w:rsid w:val="00D06AF9"/>
    <w:rsid w:val="00D130F8"/>
    <w:rsid w:val="00D1508C"/>
    <w:rsid w:val="00D1710A"/>
    <w:rsid w:val="00D20353"/>
    <w:rsid w:val="00D24D65"/>
    <w:rsid w:val="00D25770"/>
    <w:rsid w:val="00D343A2"/>
    <w:rsid w:val="00D37925"/>
    <w:rsid w:val="00D4600D"/>
    <w:rsid w:val="00D47170"/>
    <w:rsid w:val="00D52BE4"/>
    <w:rsid w:val="00D642B1"/>
    <w:rsid w:val="00D657B1"/>
    <w:rsid w:val="00D67C56"/>
    <w:rsid w:val="00D7117B"/>
    <w:rsid w:val="00D73A17"/>
    <w:rsid w:val="00D76157"/>
    <w:rsid w:val="00D761CF"/>
    <w:rsid w:val="00D76B92"/>
    <w:rsid w:val="00D77683"/>
    <w:rsid w:val="00D853BD"/>
    <w:rsid w:val="00D85A79"/>
    <w:rsid w:val="00D86ACD"/>
    <w:rsid w:val="00D8757D"/>
    <w:rsid w:val="00D9320F"/>
    <w:rsid w:val="00D9365A"/>
    <w:rsid w:val="00D940A7"/>
    <w:rsid w:val="00D943D6"/>
    <w:rsid w:val="00D9730F"/>
    <w:rsid w:val="00DA03D6"/>
    <w:rsid w:val="00DA0417"/>
    <w:rsid w:val="00DA31C5"/>
    <w:rsid w:val="00DA36BD"/>
    <w:rsid w:val="00DA62A8"/>
    <w:rsid w:val="00DB07A0"/>
    <w:rsid w:val="00DB550B"/>
    <w:rsid w:val="00DB61DD"/>
    <w:rsid w:val="00DC0151"/>
    <w:rsid w:val="00DC0B3D"/>
    <w:rsid w:val="00DC6159"/>
    <w:rsid w:val="00DC6333"/>
    <w:rsid w:val="00DD08F6"/>
    <w:rsid w:val="00DE37AD"/>
    <w:rsid w:val="00DF063F"/>
    <w:rsid w:val="00DF0B1C"/>
    <w:rsid w:val="00DF0B26"/>
    <w:rsid w:val="00DF230A"/>
    <w:rsid w:val="00DF4838"/>
    <w:rsid w:val="00DF5226"/>
    <w:rsid w:val="00E00883"/>
    <w:rsid w:val="00E013F7"/>
    <w:rsid w:val="00E16121"/>
    <w:rsid w:val="00E20C1D"/>
    <w:rsid w:val="00E2495A"/>
    <w:rsid w:val="00E25AFC"/>
    <w:rsid w:val="00E33424"/>
    <w:rsid w:val="00E43CFF"/>
    <w:rsid w:val="00E47B2A"/>
    <w:rsid w:val="00E50699"/>
    <w:rsid w:val="00E50704"/>
    <w:rsid w:val="00E50871"/>
    <w:rsid w:val="00E539C8"/>
    <w:rsid w:val="00E60575"/>
    <w:rsid w:val="00E60765"/>
    <w:rsid w:val="00E608B4"/>
    <w:rsid w:val="00E620EB"/>
    <w:rsid w:val="00E626FD"/>
    <w:rsid w:val="00E64273"/>
    <w:rsid w:val="00E65089"/>
    <w:rsid w:val="00E65DDB"/>
    <w:rsid w:val="00E668C7"/>
    <w:rsid w:val="00E74762"/>
    <w:rsid w:val="00E84F84"/>
    <w:rsid w:val="00E8668C"/>
    <w:rsid w:val="00E877B5"/>
    <w:rsid w:val="00E87F22"/>
    <w:rsid w:val="00E92962"/>
    <w:rsid w:val="00E93291"/>
    <w:rsid w:val="00EA24CB"/>
    <w:rsid w:val="00EA27B8"/>
    <w:rsid w:val="00EA3C1E"/>
    <w:rsid w:val="00EA79DE"/>
    <w:rsid w:val="00EB06B1"/>
    <w:rsid w:val="00EB2DDC"/>
    <w:rsid w:val="00EB7776"/>
    <w:rsid w:val="00EC287D"/>
    <w:rsid w:val="00ED2C9E"/>
    <w:rsid w:val="00ED4013"/>
    <w:rsid w:val="00EE4A0A"/>
    <w:rsid w:val="00EE69E8"/>
    <w:rsid w:val="00EF0882"/>
    <w:rsid w:val="00EF36E7"/>
    <w:rsid w:val="00EF576D"/>
    <w:rsid w:val="00EF64D9"/>
    <w:rsid w:val="00EF689F"/>
    <w:rsid w:val="00F0325D"/>
    <w:rsid w:val="00F06803"/>
    <w:rsid w:val="00F06B61"/>
    <w:rsid w:val="00F112FC"/>
    <w:rsid w:val="00F2037E"/>
    <w:rsid w:val="00F20C33"/>
    <w:rsid w:val="00F304DA"/>
    <w:rsid w:val="00F3441B"/>
    <w:rsid w:val="00F37402"/>
    <w:rsid w:val="00F416B7"/>
    <w:rsid w:val="00F45ECF"/>
    <w:rsid w:val="00F51021"/>
    <w:rsid w:val="00F521BE"/>
    <w:rsid w:val="00F6108A"/>
    <w:rsid w:val="00F61B39"/>
    <w:rsid w:val="00F70802"/>
    <w:rsid w:val="00F729A5"/>
    <w:rsid w:val="00F73AF2"/>
    <w:rsid w:val="00F80EE3"/>
    <w:rsid w:val="00F86767"/>
    <w:rsid w:val="00F919A6"/>
    <w:rsid w:val="00F92D98"/>
    <w:rsid w:val="00FA0204"/>
    <w:rsid w:val="00FA38DA"/>
    <w:rsid w:val="00FA4FB1"/>
    <w:rsid w:val="00FA52F8"/>
    <w:rsid w:val="00FA774A"/>
    <w:rsid w:val="00FB3016"/>
    <w:rsid w:val="00FB6908"/>
    <w:rsid w:val="00FC0A54"/>
    <w:rsid w:val="00FC1C26"/>
    <w:rsid w:val="00FC36B6"/>
    <w:rsid w:val="00FC396C"/>
    <w:rsid w:val="00FC3EB6"/>
    <w:rsid w:val="00FC5A1E"/>
    <w:rsid w:val="00FC7736"/>
    <w:rsid w:val="00FD0052"/>
    <w:rsid w:val="00FD4BA2"/>
    <w:rsid w:val="00FF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B4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E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22E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2E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422E8E"/>
    <w:rPr>
      <w:lang w:val="en-GB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MAIN CONTENT,List Paragraph12,List Paragraph2,Normal numbered,Recommendatio"/>
    <w:basedOn w:val="Normal"/>
    <w:link w:val="ListParagraphChar"/>
    <w:uiPriority w:val="34"/>
    <w:qFormat/>
    <w:rsid w:val="00422E8E"/>
    <w:pPr>
      <w:ind w:left="720"/>
      <w:contextualSpacing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2E8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E8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22E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unhideWhenUsed/>
    <w:rsid w:val="00AD0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0305"/>
    <w:rPr>
      <w:sz w:val="20"/>
      <w:szCs w:val="20"/>
    </w:rPr>
  </w:style>
  <w:style w:type="paragraph" w:customStyle="1" w:styleId="Default">
    <w:name w:val="Default"/>
    <w:rsid w:val="005E07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061F5"/>
    <w:rPr>
      <w:b/>
      <w:bCs/>
      <w:i/>
      <w:iCs/>
      <w:color w:val="4F81BD" w:themeColor="accent1"/>
    </w:rPr>
  </w:style>
  <w:style w:type="table" w:styleId="LightList-Accent5">
    <w:name w:val="Light List Accent 5"/>
    <w:basedOn w:val="TableNormal"/>
    <w:uiPriority w:val="61"/>
    <w:rsid w:val="00C061F5"/>
    <w:pPr>
      <w:spacing w:after="0" w:line="240" w:lineRule="auto"/>
    </w:pPr>
    <w:rPr>
      <w:lang w:val="en-GB"/>
    </w:rPr>
    <w:tblPr>
      <w:tblStyleRowBandSize w:val="1"/>
      <w:tblStyleColBandSize w:val="1"/>
      <w:tblInd w:w="0" w:type="nil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F304D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rsid w:val="00547E39"/>
    <w:rPr>
      <w:color w:val="0000FF"/>
      <w:sz w:val="24"/>
      <w:u w:val="single"/>
      <w:lang w:val="en-GB" w:eastAsia="en-US" w:bidi="ar-SA"/>
    </w:rPr>
  </w:style>
  <w:style w:type="paragraph" w:styleId="FootnoteText">
    <w:name w:val="footnote text"/>
    <w:aliases w:val="fn,footnote text,Fußnotentext Char,Char Char,(Diplomarbeit),(Diplomarbeit)1,(Diplomarbeit)2,(Diplomarbeit)3,(Diplomarbeit)4,(Diplomarbeit)5,(Diplomarbeit)6,(Diplomarbeit)7,(Diplomarbeit)8,(Diplomarbeit)9,Fußnote,-E Fußnotentext,E Fußn"/>
    <w:basedOn w:val="Normal"/>
    <w:link w:val="FootnoteTextChar"/>
    <w:uiPriority w:val="99"/>
    <w:rsid w:val="00547E39"/>
    <w:pPr>
      <w:keepLines/>
      <w:tabs>
        <w:tab w:val="left" w:pos="340"/>
        <w:tab w:val="left" w:pos="709"/>
      </w:tabs>
      <w:spacing w:line="264" w:lineRule="auto"/>
      <w:ind w:left="340" w:hanging="340"/>
      <w:jc w:val="both"/>
    </w:pPr>
    <w:rPr>
      <w:rFonts w:ascii="Times Roman" w:eastAsia="Times New Roman" w:hAnsi="Times Roman" w:cs="Times New Roman"/>
      <w:sz w:val="21"/>
      <w:szCs w:val="20"/>
      <w:lang w:val="en-GB"/>
    </w:rPr>
  </w:style>
  <w:style w:type="character" w:customStyle="1" w:styleId="FootnoteTextChar">
    <w:name w:val="Footnote Text Char"/>
    <w:aliases w:val="fn Char,footnote text Char,Fußnotentext Char Char,Char Char Char,(Diplomarbeit) Char,(Diplomarbeit)1 Char,(Diplomarbeit)2 Char,(Diplomarbeit)3 Char,(Diplomarbeit)4 Char,(Diplomarbeit)5 Char,(Diplomarbeit)6 Char,(Diplomarbeit)7 Char"/>
    <w:basedOn w:val="DefaultParagraphFont"/>
    <w:link w:val="FootnoteText"/>
    <w:uiPriority w:val="99"/>
    <w:rsid w:val="00547E39"/>
    <w:rPr>
      <w:rFonts w:ascii="Times Roman" w:eastAsia="Times New Roman" w:hAnsi="Times Roman" w:cs="Times New Roman"/>
      <w:sz w:val="21"/>
      <w:szCs w:val="20"/>
      <w:lang w:val="en-GB"/>
    </w:rPr>
  </w:style>
  <w:style w:type="character" w:styleId="FootnoteReference">
    <w:name w:val="footnote reference"/>
    <w:aliases w:val="fr,(Diplomarbeit FZ),-E Fußnotenzeichen,(Diplomarbeit FZ)1,(Dipl...,(Diplomarbeit FZ)2,(Diplomarbeit FZ)3,(Diplomarbeit FZ)4,(Diplomarbeit FZ)5,(Diplomarbeit FZ)6,(Diplomarbeit FZ)7,(Diplomarbeit FZ)8,(Diplomarbeit FZ)9,oc-footnoteref"/>
    <w:uiPriority w:val="99"/>
    <w:rsid w:val="00547E39"/>
    <w:rPr>
      <w:sz w:val="22"/>
      <w:vertAlign w:val="superscript"/>
      <w:lang w:val="en-GB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38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89F"/>
  </w:style>
  <w:style w:type="paragraph" w:styleId="Footer">
    <w:name w:val="footer"/>
    <w:basedOn w:val="Normal"/>
    <w:link w:val="FooterChar"/>
    <w:uiPriority w:val="99"/>
    <w:unhideWhenUsed/>
    <w:rsid w:val="0038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8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76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6768"/>
    <w:pPr>
      <w:spacing w:after="0" w:line="240" w:lineRule="auto"/>
    </w:pPr>
  </w:style>
  <w:style w:type="paragraph" w:customStyle="1" w:styleId="ECVSectionBullet">
    <w:name w:val="_ECV_SectionBullet"/>
    <w:basedOn w:val="Normal"/>
    <w:rsid w:val="005248C7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character" w:customStyle="1" w:styleId="pbtoclink">
    <w:name w:val="pb_toc_link"/>
    <w:basedOn w:val="DefaultParagraphFont"/>
    <w:rsid w:val="009435CA"/>
  </w:style>
  <w:style w:type="character" w:styleId="FollowedHyperlink">
    <w:name w:val="FollowedHyperlink"/>
    <w:basedOn w:val="DefaultParagraphFont"/>
    <w:uiPriority w:val="99"/>
    <w:semiHidden/>
    <w:unhideWhenUsed/>
    <w:rsid w:val="00C35CD0"/>
    <w:rPr>
      <w:color w:val="800080" w:themeColor="followedHyperlink"/>
      <w:u w:val="single"/>
    </w:rPr>
  </w:style>
  <w:style w:type="character" w:customStyle="1" w:styleId="articlecitationvolume">
    <w:name w:val="articlecitation_volume"/>
    <w:basedOn w:val="DefaultParagraphFont"/>
    <w:rsid w:val="009029D6"/>
  </w:style>
  <w:style w:type="character" w:customStyle="1" w:styleId="articlecitationpages">
    <w:name w:val="articlecitation_pages"/>
    <w:basedOn w:val="DefaultParagraphFont"/>
    <w:rsid w:val="009029D6"/>
  </w:style>
  <w:style w:type="table" w:styleId="TableGrid">
    <w:name w:val="Table Grid"/>
    <w:basedOn w:val="TableNormal"/>
    <w:uiPriority w:val="39"/>
    <w:rsid w:val="00B94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E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22E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2E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422E8E"/>
    <w:rPr>
      <w:lang w:val="en-GB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MAIN CONTENT,List Paragraph12,List Paragraph2,Normal numbered,Recommendatio"/>
    <w:basedOn w:val="Normal"/>
    <w:link w:val="ListParagraphChar"/>
    <w:uiPriority w:val="34"/>
    <w:qFormat/>
    <w:rsid w:val="00422E8E"/>
    <w:pPr>
      <w:ind w:left="720"/>
      <w:contextualSpacing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2E8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E8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22E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unhideWhenUsed/>
    <w:rsid w:val="00AD0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0305"/>
    <w:rPr>
      <w:sz w:val="20"/>
      <w:szCs w:val="20"/>
    </w:rPr>
  </w:style>
  <w:style w:type="paragraph" w:customStyle="1" w:styleId="Default">
    <w:name w:val="Default"/>
    <w:rsid w:val="005E07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061F5"/>
    <w:rPr>
      <w:b/>
      <w:bCs/>
      <w:i/>
      <w:iCs/>
      <w:color w:val="4F81BD" w:themeColor="accent1"/>
    </w:rPr>
  </w:style>
  <w:style w:type="table" w:styleId="LightList-Accent5">
    <w:name w:val="Light List Accent 5"/>
    <w:basedOn w:val="TableNormal"/>
    <w:uiPriority w:val="61"/>
    <w:rsid w:val="00C061F5"/>
    <w:pPr>
      <w:spacing w:after="0" w:line="240" w:lineRule="auto"/>
    </w:pPr>
    <w:rPr>
      <w:lang w:val="en-GB"/>
    </w:rPr>
    <w:tblPr>
      <w:tblStyleRowBandSize w:val="1"/>
      <w:tblStyleColBandSize w:val="1"/>
      <w:tblInd w:w="0" w:type="nil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F304D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rsid w:val="00547E39"/>
    <w:rPr>
      <w:color w:val="0000FF"/>
      <w:sz w:val="24"/>
      <w:u w:val="single"/>
      <w:lang w:val="en-GB" w:eastAsia="en-US" w:bidi="ar-SA"/>
    </w:rPr>
  </w:style>
  <w:style w:type="paragraph" w:styleId="FootnoteText">
    <w:name w:val="footnote text"/>
    <w:aliases w:val="fn,footnote text,Fußnotentext Char,Char Char,(Diplomarbeit),(Diplomarbeit)1,(Diplomarbeit)2,(Diplomarbeit)3,(Diplomarbeit)4,(Diplomarbeit)5,(Diplomarbeit)6,(Diplomarbeit)7,(Diplomarbeit)8,(Diplomarbeit)9,Fußnote,-E Fußnotentext,E Fußn"/>
    <w:basedOn w:val="Normal"/>
    <w:link w:val="FootnoteTextChar"/>
    <w:uiPriority w:val="99"/>
    <w:rsid w:val="00547E39"/>
    <w:pPr>
      <w:keepLines/>
      <w:tabs>
        <w:tab w:val="left" w:pos="340"/>
        <w:tab w:val="left" w:pos="709"/>
      </w:tabs>
      <w:spacing w:line="264" w:lineRule="auto"/>
      <w:ind w:left="340" w:hanging="340"/>
      <w:jc w:val="both"/>
    </w:pPr>
    <w:rPr>
      <w:rFonts w:ascii="Times Roman" w:eastAsia="Times New Roman" w:hAnsi="Times Roman" w:cs="Times New Roman"/>
      <w:sz w:val="21"/>
      <w:szCs w:val="20"/>
      <w:lang w:val="en-GB"/>
    </w:rPr>
  </w:style>
  <w:style w:type="character" w:customStyle="1" w:styleId="FootnoteTextChar">
    <w:name w:val="Footnote Text Char"/>
    <w:aliases w:val="fn Char,footnote text Char,Fußnotentext Char Char,Char Char Char,(Diplomarbeit) Char,(Diplomarbeit)1 Char,(Diplomarbeit)2 Char,(Diplomarbeit)3 Char,(Diplomarbeit)4 Char,(Diplomarbeit)5 Char,(Diplomarbeit)6 Char,(Diplomarbeit)7 Char"/>
    <w:basedOn w:val="DefaultParagraphFont"/>
    <w:link w:val="FootnoteText"/>
    <w:uiPriority w:val="99"/>
    <w:rsid w:val="00547E39"/>
    <w:rPr>
      <w:rFonts w:ascii="Times Roman" w:eastAsia="Times New Roman" w:hAnsi="Times Roman" w:cs="Times New Roman"/>
      <w:sz w:val="21"/>
      <w:szCs w:val="20"/>
      <w:lang w:val="en-GB"/>
    </w:rPr>
  </w:style>
  <w:style w:type="character" w:styleId="FootnoteReference">
    <w:name w:val="footnote reference"/>
    <w:aliases w:val="fr,(Diplomarbeit FZ),-E Fußnotenzeichen,(Diplomarbeit FZ)1,(Dipl...,(Diplomarbeit FZ)2,(Diplomarbeit FZ)3,(Diplomarbeit FZ)4,(Diplomarbeit FZ)5,(Diplomarbeit FZ)6,(Diplomarbeit FZ)7,(Diplomarbeit FZ)8,(Diplomarbeit FZ)9,oc-footnoteref"/>
    <w:uiPriority w:val="99"/>
    <w:rsid w:val="00547E39"/>
    <w:rPr>
      <w:sz w:val="22"/>
      <w:vertAlign w:val="superscript"/>
      <w:lang w:val="en-GB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38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89F"/>
  </w:style>
  <w:style w:type="paragraph" w:styleId="Footer">
    <w:name w:val="footer"/>
    <w:basedOn w:val="Normal"/>
    <w:link w:val="FooterChar"/>
    <w:uiPriority w:val="99"/>
    <w:unhideWhenUsed/>
    <w:rsid w:val="0038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8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76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6768"/>
    <w:pPr>
      <w:spacing w:after="0" w:line="240" w:lineRule="auto"/>
    </w:pPr>
  </w:style>
  <w:style w:type="paragraph" w:customStyle="1" w:styleId="ECVSectionBullet">
    <w:name w:val="_ECV_SectionBullet"/>
    <w:basedOn w:val="Normal"/>
    <w:rsid w:val="005248C7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character" w:customStyle="1" w:styleId="pbtoclink">
    <w:name w:val="pb_toc_link"/>
    <w:basedOn w:val="DefaultParagraphFont"/>
    <w:rsid w:val="009435CA"/>
  </w:style>
  <w:style w:type="character" w:styleId="FollowedHyperlink">
    <w:name w:val="FollowedHyperlink"/>
    <w:basedOn w:val="DefaultParagraphFont"/>
    <w:uiPriority w:val="99"/>
    <w:semiHidden/>
    <w:unhideWhenUsed/>
    <w:rsid w:val="00C35CD0"/>
    <w:rPr>
      <w:color w:val="800080" w:themeColor="followedHyperlink"/>
      <w:u w:val="single"/>
    </w:rPr>
  </w:style>
  <w:style w:type="character" w:customStyle="1" w:styleId="articlecitationvolume">
    <w:name w:val="articlecitation_volume"/>
    <w:basedOn w:val="DefaultParagraphFont"/>
    <w:rsid w:val="009029D6"/>
  </w:style>
  <w:style w:type="character" w:customStyle="1" w:styleId="articlecitationpages">
    <w:name w:val="articlecitation_pages"/>
    <w:basedOn w:val="DefaultParagraphFont"/>
    <w:rsid w:val="009029D6"/>
  </w:style>
  <w:style w:type="table" w:styleId="TableGrid">
    <w:name w:val="Table Grid"/>
    <w:basedOn w:val="TableNormal"/>
    <w:uiPriority w:val="39"/>
    <w:rsid w:val="00B94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nfccc.int/resource/docs/natc/gabnc1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nfccc.int/resource/docs/natc/ethnc1.pdf" TargetMode="External"/><Relationship Id="rId17" Type="http://schemas.openxmlformats.org/officeDocument/2006/relationships/hyperlink" Target="http://unfccc.int/resource/docs/natc/mexnc5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nfccc.int/files/national_reports/annex_i_natcom/submitted_natcom/application/pdf/nc6_jpn_resubmission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limatechange.gov.au/publications/projections/australias-emissions-projections.asp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limateactiontracker.org/" TargetMode="External"/><Relationship Id="rId10" Type="http://schemas.openxmlformats.org/officeDocument/2006/relationships/hyperlink" Target="http://www.environment.gov.au/climate-change/publications/factsheet-emissions-projections-2015-16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forsell@iiasa.ac.at" TargetMode="External"/><Relationship Id="rId14" Type="http://schemas.openxmlformats.org/officeDocument/2006/relationships/hyperlink" Target="http://unfccc.int/resource/docs/natc/gabnc2.pdf" TargetMode="Externa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B8288-7FAC-4DC2-BC7B-C459BA59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3614</Words>
  <Characters>20603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PBL</Company>
  <LinksUpToDate>false</LinksUpToDate>
  <CharactersWithSpaces>24169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FORSELL Nicklas3</dc:creator>
  <cp:lastModifiedBy>FORSELL Nicklas3</cp:lastModifiedBy>
  <cp:revision>56</cp:revision>
  <cp:lastPrinted>2016-11-22T06:58:00Z</cp:lastPrinted>
  <dcterms:created xsi:type="dcterms:W3CDTF">2016-07-12T10:49:00Z</dcterms:created>
  <dcterms:modified xsi:type="dcterms:W3CDTF">2016-11-28T15:25:00Z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544493216</vt:i4>
  </property>
</Properties>
</file>