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83B" w:rsidRPr="0037683B" w:rsidRDefault="0037683B" w:rsidP="0037683B">
      <w:pPr>
        <w:keepNext/>
        <w:keepLines/>
        <w:spacing w:before="120" w:after="120" w:line="264" w:lineRule="auto"/>
        <w:outlineLvl w:val="1"/>
        <w:rPr>
          <w:rFonts w:eastAsiaTheme="majorEastAsia" w:cstheme="majorBidi"/>
          <w:b/>
          <w:color w:val="2E74B5" w:themeColor="accent1" w:themeShade="BF"/>
          <w:sz w:val="28"/>
          <w:szCs w:val="26"/>
          <w:lang w:val="en-US"/>
        </w:rPr>
      </w:pPr>
      <w:r w:rsidRPr="0037683B">
        <w:rPr>
          <w:rFonts w:eastAsiaTheme="majorEastAsia" w:cstheme="majorBidi"/>
          <w:b/>
          <w:color w:val="2E74B5" w:themeColor="accent1" w:themeShade="BF"/>
          <w:sz w:val="28"/>
          <w:szCs w:val="26"/>
          <w:lang w:val="en-US"/>
        </w:rPr>
        <w:t>SUPPORTING INFORMATION</w:t>
      </w:r>
    </w:p>
    <w:p w:rsidR="0037683B" w:rsidRPr="0037683B" w:rsidRDefault="0037683B" w:rsidP="0037683B">
      <w:pPr>
        <w:keepNext/>
        <w:keepLines/>
        <w:spacing w:before="120" w:after="120" w:line="264" w:lineRule="auto"/>
        <w:ind w:left="720" w:hanging="360"/>
        <w:outlineLvl w:val="3"/>
        <w:rPr>
          <w:rFonts w:eastAsiaTheme="majorEastAsia" w:cstheme="majorBidi"/>
          <w:i/>
          <w:iCs/>
          <w:color w:val="0070C0"/>
          <w:sz w:val="24"/>
          <w:lang w:val="en-US"/>
        </w:rPr>
      </w:pPr>
      <w:r w:rsidRPr="0037683B">
        <w:rPr>
          <w:rFonts w:eastAsiaTheme="majorEastAsia" w:cstheme="majorBidi"/>
          <w:i/>
          <w:iCs/>
          <w:color w:val="0070C0"/>
          <w:sz w:val="24"/>
          <w:lang w:val="en-US"/>
        </w:rPr>
        <w:t>Terms and definitions</w:t>
      </w:r>
    </w:p>
    <w:p w:rsidR="0037683B" w:rsidRPr="0037683B" w:rsidRDefault="0037683B" w:rsidP="0037683B">
      <w:pPr>
        <w:spacing w:after="120" w:line="264" w:lineRule="auto"/>
        <w:ind w:left="567" w:hanging="425"/>
        <w:rPr>
          <w:lang w:val="en-US"/>
        </w:rPr>
      </w:pPr>
      <w:r w:rsidRPr="0037683B">
        <w:rPr>
          <w:i/>
          <w:lang w:val="en-US"/>
        </w:rPr>
        <w:t xml:space="preserve">Resource extraction </w:t>
      </w:r>
      <w:r w:rsidRPr="0037683B">
        <w:rPr>
          <w:lang w:val="en-US"/>
        </w:rPr>
        <w:t>refers to Domestic Extractions (DE) of materials – biomass, fossil fuels, metal ores, and non-metallic minerals – within a nation or group of nations, and measured in tonnes.</w:t>
      </w:r>
    </w:p>
    <w:p w:rsidR="0037683B" w:rsidRPr="0037683B" w:rsidRDefault="0037683B" w:rsidP="0037683B">
      <w:pPr>
        <w:spacing w:after="120" w:line="264" w:lineRule="auto"/>
        <w:ind w:left="567" w:hanging="425"/>
        <w:rPr>
          <w:lang w:val="en-US"/>
        </w:rPr>
      </w:pPr>
      <w:r w:rsidRPr="0037683B">
        <w:rPr>
          <w:i/>
          <w:lang w:val="en-US"/>
        </w:rPr>
        <w:t xml:space="preserve">Resource use </w:t>
      </w:r>
      <w:r w:rsidRPr="0037683B">
        <w:rPr>
          <w:lang w:val="en-US"/>
        </w:rPr>
        <w:t>refers</w:t>
      </w:r>
      <w:r w:rsidRPr="0037683B">
        <w:rPr>
          <w:i/>
          <w:lang w:val="en-US"/>
        </w:rPr>
        <w:t xml:space="preserve"> </w:t>
      </w:r>
      <w:r w:rsidRPr="0037683B">
        <w:rPr>
          <w:lang w:val="en-US"/>
        </w:rPr>
        <w:t>to Domestic Material Consumption (DMC), defined as Domestic Extractions less exports of primary materials plus imports of primary materials, measured in tonnes.</w:t>
      </w:r>
    </w:p>
    <w:p w:rsidR="0037683B" w:rsidRPr="0037683B" w:rsidRDefault="0037683B" w:rsidP="0037683B">
      <w:pPr>
        <w:spacing w:after="120" w:line="264" w:lineRule="auto"/>
        <w:ind w:left="567" w:hanging="425"/>
        <w:rPr>
          <w:lang w:val="en-US"/>
        </w:rPr>
      </w:pPr>
      <w:r w:rsidRPr="0037683B">
        <w:rPr>
          <w:i/>
          <w:lang w:val="en-US"/>
        </w:rPr>
        <w:t>Resource efficiency</w:t>
      </w:r>
      <w:r w:rsidRPr="0037683B">
        <w:rPr>
          <w:lang w:val="en-US"/>
        </w:rPr>
        <w:t xml:space="preserve"> refers to a reduction in natural resource extractions, and is measured by the difference between </w:t>
      </w:r>
      <w:r w:rsidRPr="0037683B">
        <w:rPr>
          <w:i/>
          <w:lang w:val="en-US"/>
        </w:rPr>
        <w:t>Resource Efficiency</w:t>
      </w:r>
      <w:r w:rsidRPr="0037683B">
        <w:rPr>
          <w:lang w:val="en-US"/>
        </w:rPr>
        <w:t xml:space="preserve"> (E3) and the </w:t>
      </w:r>
      <w:r w:rsidRPr="0037683B">
        <w:rPr>
          <w:i/>
          <w:lang w:val="en-US"/>
        </w:rPr>
        <w:t>Existing Trends</w:t>
      </w:r>
      <w:r w:rsidRPr="0037683B">
        <w:rPr>
          <w:lang w:val="en-US"/>
        </w:rPr>
        <w:t xml:space="preserve"> (H3) scenarios, and by the difference between the </w:t>
      </w:r>
      <w:r w:rsidRPr="0037683B">
        <w:rPr>
          <w:i/>
          <w:lang w:val="en-US"/>
        </w:rPr>
        <w:t>Ambitious Climate</w:t>
      </w:r>
      <w:r w:rsidRPr="0037683B">
        <w:rPr>
          <w:lang w:val="en-US"/>
        </w:rPr>
        <w:t xml:space="preserve"> (H2) and </w:t>
      </w:r>
      <w:r w:rsidRPr="0037683B">
        <w:rPr>
          <w:i/>
          <w:lang w:val="en-US"/>
        </w:rPr>
        <w:t>Efficiency Plus</w:t>
      </w:r>
      <w:r w:rsidRPr="0037683B">
        <w:rPr>
          <w:lang w:val="en-US"/>
        </w:rPr>
        <w:t xml:space="preserve"> (E2) scenarios (see Table 1). Resource efficiency can also refer to reduced resource intensity (natural resource use in tonnes per dollar of economic activity). In principle, resource efficiency can result in net economic benefits – which we describe as ‘economically attractive resource efficiency’ – or net economic costs (such as where the cost of achieving reductions in resource use is larger than the value of the resources saved).</w:t>
      </w:r>
    </w:p>
    <w:p w:rsidR="0037683B" w:rsidRPr="0037683B" w:rsidRDefault="0037683B" w:rsidP="0037683B">
      <w:pPr>
        <w:spacing w:after="120" w:line="264" w:lineRule="auto"/>
        <w:ind w:left="567" w:hanging="425"/>
        <w:rPr>
          <w:lang w:val="en-US"/>
        </w:rPr>
      </w:pPr>
      <w:r w:rsidRPr="0037683B">
        <w:rPr>
          <w:i/>
          <w:lang w:val="en-US"/>
        </w:rPr>
        <w:t xml:space="preserve">Resource productivity </w:t>
      </w:r>
      <w:r w:rsidRPr="0037683B">
        <w:rPr>
          <w:lang w:val="en-US"/>
        </w:rPr>
        <w:t>refers to the value of economic activity (GDP in real dollars) per unit of resource use (DMC), measured in $ per kg.</w:t>
      </w:r>
    </w:p>
    <w:p w:rsidR="0037683B" w:rsidRPr="0037683B" w:rsidRDefault="0037683B" w:rsidP="0037683B">
      <w:pPr>
        <w:spacing w:after="120" w:line="264" w:lineRule="auto"/>
        <w:ind w:left="567" w:hanging="425"/>
        <w:rPr>
          <w:lang w:val="en-US"/>
        </w:rPr>
      </w:pPr>
      <w:r w:rsidRPr="0037683B">
        <w:rPr>
          <w:i/>
          <w:lang w:val="en-US"/>
        </w:rPr>
        <w:t>Basic materials</w:t>
      </w:r>
      <w:r w:rsidRPr="0037683B">
        <w:rPr>
          <w:lang w:val="en-US"/>
        </w:rPr>
        <w:t xml:space="preserve"> refers to natural resources that have been simply processed (such as making iron and steel from metal ores and energy inputs), corresponding to outputs from simple processing and manufacturing sectors.</w:t>
      </w:r>
    </w:p>
    <w:p w:rsidR="0037683B" w:rsidRPr="0037683B" w:rsidRDefault="0037683B" w:rsidP="0037683B">
      <w:pPr>
        <w:spacing w:after="120" w:line="264" w:lineRule="auto"/>
        <w:ind w:left="567" w:hanging="425"/>
        <w:rPr>
          <w:lang w:val="en-US"/>
        </w:rPr>
      </w:pPr>
      <w:r w:rsidRPr="0037683B">
        <w:rPr>
          <w:i/>
          <w:lang w:val="en-US"/>
        </w:rPr>
        <w:t>Economic activity</w:t>
      </w:r>
      <w:r w:rsidRPr="0037683B">
        <w:rPr>
          <w:lang w:val="en-US"/>
        </w:rPr>
        <w:t xml:space="preserve"> refers to the value of market activity measured in real 2015 international dollars (equivalent to USD).</w:t>
      </w:r>
    </w:p>
    <w:p w:rsidR="0037683B" w:rsidRPr="0037683B" w:rsidRDefault="0037683B" w:rsidP="0037683B">
      <w:pPr>
        <w:spacing w:after="120" w:line="264" w:lineRule="auto"/>
        <w:ind w:left="567" w:hanging="425"/>
        <w:rPr>
          <w:lang w:val="en-US"/>
        </w:rPr>
      </w:pPr>
      <w:r w:rsidRPr="0037683B">
        <w:rPr>
          <w:i/>
          <w:lang w:val="en-US"/>
        </w:rPr>
        <w:t xml:space="preserve">Economic growth </w:t>
      </w:r>
      <w:r w:rsidRPr="0037683B">
        <w:rPr>
          <w:lang w:val="en-US"/>
        </w:rPr>
        <w:t>refers to an increase in the value of real economic activity.</w:t>
      </w:r>
    </w:p>
    <w:p w:rsidR="0037683B" w:rsidRPr="0037683B" w:rsidRDefault="0037683B" w:rsidP="0037683B">
      <w:pPr>
        <w:spacing w:after="120" w:line="264" w:lineRule="auto"/>
        <w:ind w:left="567" w:hanging="425"/>
        <w:rPr>
          <w:lang w:val="en-US"/>
        </w:rPr>
      </w:pPr>
      <w:r w:rsidRPr="0037683B">
        <w:rPr>
          <w:i/>
          <w:lang w:val="en-US"/>
        </w:rPr>
        <w:t xml:space="preserve">Energy use </w:t>
      </w:r>
      <w:r w:rsidRPr="0037683B">
        <w:rPr>
          <w:lang w:val="en-US"/>
        </w:rPr>
        <w:t>refers to Total Primary Energy Supply (TPES).</w:t>
      </w:r>
    </w:p>
    <w:p w:rsidR="0037683B" w:rsidRPr="0037683B" w:rsidRDefault="0037683B" w:rsidP="0037683B">
      <w:pPr>
        <w:spacing w:after="120" w:line="264" w:lineRule="auto"/>
        <w:ind w:left="567" w:hanging="425"/>
        <w:rPr>
          <w:lang w:val="en-US"/>
        </w:rPr>
      </w:pPr>
      <w:r w:rsidRPr="0037683B">
        <w:rPr>
          <w:i/>
          <w:lang w:val="en-US"/>
        </w:rPr>
        <w:t>Greenhouse gas emissions</w:t>
      </w:r>
      <w:r w:rsidRPr="0037683B">
        <w:rPr>
          <w:lang w:val="en-US"/>
        </w:rPr>
        <w:t xml:space="preserve"> include all six climate forcing gases, and are reported in CO</w:t>
      </w:r>
      <w:r w:rsidRPr="0037683B">
        <w:rPr>
          <w:vertAlign w:val="subscript"/>
          <w:lang w:val="en-US"/>
        </w:rPr>
        <w:t>2</w:t>
      </w:r>
      <w:r w:rsidRPr="0037683B">
        <w:rPr>
          <w:lang w:val="en-US"/>
        </w:rPr>
        <w:t>e.</w:t>
      </w:r>
    </w:p>
    <w:p w:rsidR="0037683B" w:rsidRPr="0037683B" w:rsidRDefault="0037683B" w:rsidP="0037683B">
      <w:pPr>
        <w:spacing w:after="120" w:line="264" w:lineRule="auto"/>
        <w:ind w:left="567" w:hanging="425"/>
        <w:rPr>
          <w:lang w:val="en-US"/>
        </w:rPr>
      </w:pPr>
      <w:r w:rsidRPr="0037683B">
        <w:rPr>
          <w:i/>
          <w:lang w:val="en-US"/>
        </w:rPr>
        <w:t xml:space="preserve">Physical Trade Balance </w:t>
      </w:r>
      <w:r w:rsidRPr="0037683B">
        <w:rPr>
          <w:lang w:val="en-US"/>
        </w:rPr>
        <w:t>refers to</w:t>
      </w:r>
      <w:r w:rsidRPr="0037683B">
        <w:rPr>
          <w:i/>
          <w:lang w:val="en-US"/>
        </w:rPr>
        <w:t xml:space="preserve"> </w:t>
      </w:r>
      <w:r w:rsidRPr="0037683B">
        <w:rPr>
          <w:lang w:val="en-US"/>
        </w:rPr>
        <w:t>imports of primary materials minus exports of primary materials for a nation or group of nations, measured in tonnes.</w:t>
      </w:r>
    </w:p>
    <w:p w:rsidR="0037683B" w:rsidRPr="0037683B" w:rsidRDefault="0037683B" w:rsidP="0037683B">
      <w:pPr>
        <w:spacing w:after="120" w:line="264" w:lineRule="auto"/>
        <w:ind w:left="567" w:hanging="425"/>
        <w:rPr>
          <w:lang w:val="en-US"/>
        </w:rPr>
      </w:pPr>
      <w:r w:rsidRPr="0037683B">
        <w:rPr>
          <w:i/>
          <w:lang w:val="en-US"/>
        </w:rPr>
        <w:t>Primary materials</w:t>
      </w:r>
      <w:r w:rsidRPr="0037683B">
        <w:rPr>
          <w:lang w:val="en-US"/>
        </w:rPr>
        <w:t xml:space="preserve"> refers to unprocessed natural resources, corresponding to the output from the mining, minerals, energy commodities, agriculture, forestry and fisheries sectors.</w:t>
      </w:r>
    </w:p>
    <w:p w:rsidR="0037683B" w:rsidRDefault="0037683B" w:rsidP="005149BE">
      <w:pPr>
        <w:keepNext/>
        <w:keepLines/>
        <w:pageBreakBefore/>
        <w:spacing w:before="120" w:after="120" w:line="264" w:lineRule="auto"/>
        <w:outlineLvl w:val="3"/>
        <w:rPr>
          <w:rFonts w:eastAsiaTheme="majorEastAsia" w:cstheme="majorBidi"/>
          <w:i/>
          <w:iCs/>
          <w:color w:val="0070C0"/>
          <w:sz w:val="24"/>
          <w:lang w:val="en-US"/>
        </w:rPr>
      </w:pPr>
      <w:bookmarkStart w:id="0" w:name="_GoBack"/>
      <w:bookmarkEnd w:id="0"/>
      <w:r w:rsidRPr="0037683B">
        <w:rPr>
          <w:rFonts w:eastAsiaTheme="majorEastAsia" w:cstheme="majorBidi"/>
          <w:i/>
          <w:iCs/>
          <w:color w:val="0070C0"/>
          <w:sz w:val="24"/>
          <w:lang w:val="en-US"/>
        </w:rPr>
        <w:lastRenderedPageBreak/>
        <w:t>GTEM sectors and regions</w:t>
      </w:r>
    </w:p>
    <w:p w:rsidR="005149BE" w:rsidRPr="005149BE" w:rsidRDefault="005149BE" w:rsidP="005149BE">
      <w:pPr>
        <w:rPr>
          <w:rFonts w:asciiTheme="majorHAnsi" w:eastAsiaTheme="majorEastAsia" w:hAnsiTheme="majorHAnsi" w:cstheme="majorBidi"/>
          <w:color w:val="0070C0"/>
          <w:spacing w:val="-10"/>
          <w:kern w:val="28"/>
          <w:lang w:val="en-US"/>
        </w:rPr>
      </w:pPr>
      <w:r w:rsidRPr="0037683B">
        <w:rPr>
          <w:rFonts w:asciiTheme="majorHAnsi" w:eastAsiaTheme="majorEastAsia" w:hAnsiTheme="majorHAnsi" w:cstheme="majorBidi"/>
          <w:color w:val="0070C0"/>
          <w:spacing w:val="-10"/>
          <w:kern w:val="28"/>
          <w:lang w:val="en-US"/>
        </w:rPr>
        <w:t>Table SI-1. Sectors</w:t>
      </w:r>
    </w:p>
    <w:tbl>
      <w:tblPr>
        <w:tblW w:w="410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13"/>
        <w:gridCol w:w="2693"/>
      </w:tblGrid>
      <w:tr w:rsidR="0037683B" w:rsidRPr="0037683B" w:rsidTr="00C532A9">
        <w:trPr>
          <w:trHeight w:val="56"/>
        </w:trPr>
        <w:tc>
          <w:tcPr>
            <w:tcW w:w="1413" w:type="dxa"/>
            <w:shd w:val="clear" w:color="auto" w:fill="44546A" w:themeFill="text2"/>
          </w:tcPr>
          <w:p w:rsidR="0037683B" w:rsidRPr="0037683B" w:rsidRDefault="0037683B" w:rsidP="0037683B">
            <w:pPr>
              <w:keepNext/>
              <w:keepLines/>
              <w:spacing w:before="20" w:after="20" w:line="240" w:lineRule="auto"/>
              <w:rPr>
                <w:rFonts w:asciiTheme="majorHAnsi" w:eastAsia="Times New Roman" w:hAnsiTheme="majorHAnsi" w:cs="Times New Roman"/>
                <w:b/>
                <w:color w:val="FFFFFF" w:themeColor="background1"/>
                <w:sz w:val="18"/>
                <w:szCs w:val="18"/>
                <w:lang w:val="en-US" w:eastAsia="en-AU"/>
              </w:rPr>
            </w:pPr>
            <w:r w:rsidRPr="0037683B">
              <w:rPr>
                <w:rFonts w:asciiTheme="majorHAnsi" w:eastAsia="Times New Roman" w:hAnsiTheme="majorHAnsi" w:cs="Times New Roman"/>
                <w:b/>
                <w:color w:val="FFFFFF" w:themeColor="background1"/>
                <w:sz w:val="18"/>
                <w:szCs w:val="18"/>
                <w:lang w:val="en-US" w:eastAsia="en-AU"/>
              </w:rPr>
              <w:t xml:space="preserve">Sector types </w:t>
            </w:r>
          </w:p>
        </w:tc>
        <w:tc>
          <w:tcPr>
            <w:tcW w:w="2693" w:type="dxa"/>
            <w:shd w:val="clear" w:color="auto" w:fill="44546A" w:themeFill="text2"/>
            <w:noWrap/>
          </w:tcPr>
          <w:p w:rsidR="0037683B" w:rsidRPr="0037683B" w:rsidRDefault="0037683B" w:rsidP="0037683B">
            <w:pPr>
              <w:keepNext/>
              <w:keepLines/>
              <w:spacing w:before="20" w:after="20" w:line="240" w:lineRule="auto"/>
              <w:rPr>
                <w:rFonts w:asciiTheme="majorHAnsi" w:eastAsia="Times New Roman" w:hAnsiTheme="majorHAnsi" w:cs="Times New Roman"/>
                <w:b/>
                <w:color w:val="FFFFFF" w:themeColor="background1"/>
                <w:sz w:val="18"/>
                <w:szCs w:val="18"/>
                <w:lang w:val="en-US" w:eastAsia="en-AU"/>
              </w:rPr>
            </w:pPr>
            <w:r w:rsidRPr="0037683B">
              <w:rPr>
                <w:rFonts w:asciiTheme="majorHAnsi" w:eastAsia="Times New Roman" w:hAnsiTheme="majorHAnsi" w:cs="Times New Roman"/>
                <w:b/>
                <w:color w:val="FFFFFF" w:themeColor="background1"/>
                <w:sz w:val="18"/>
                <w:szCs w:val="18"/>
                <w:lang w:val="en-US" w:eastAsia="en-AU"/>
              </w:rPr>
              <w:t xml:space="preserve">Sectors </w:t>
            </w:r>
          </w:p>
        </w:tc>
      </w:tr>
      <w:tr w:rsidR="0037683B" w:rsidRPr="0037683B" w:rsidTr="00C532A9">
        <w:trPr>
          <w:trHeight w:val="66"/>
        </w:trPr>
        <w:tc>
          <w:tcPr>
            <w:tcW w:w="1413" w:type="dxa"/>
            <w:vMerge w:val="restart"/>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r w:rsidRPr="0037683B">
              <w:rPr>
                <w:rFonts w:asciiTheme="majorHAnsi" w:eastAsia="Times New Roman" w:hAnsiTheme="majorHAnsi" w:cs="Times New Roman"/>
                <w:sz w:val="18"/>
                <w:szCs w:val="18"/>
                <w:lang w:val="en-US" w:eastAsia="en-AU"/>
              </w:rPr>
              <w:t xml:space="preserve">Mining and energy commodities </w:t>
            </w:r>
          </w:p>
        </w:tc>
        <w:tc>
          <w:tcPr>
            <w:tcW w:w="2693" w:type="dxa"/>
            <w:shd w:val="clear" w:color="auto" w:fill="auto"/>
            <w:noWrap/>
            <w:hideMark/>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r w:rsidRPr="0037683B">
              <w:rPr>
                <w:rFonts w:asciiTheme="majorHAnsi" w:eastAsia="Times New Roman" w:hAnsiTheme="majorHAnsi" w:cs="Times New Roman"/>
                <w:sz w:val="18"/>
                <w:szCs w:val="18"/>
                <w:lang w:val="en-US" w:eastAsia="en-AU"/>
              </w:rPr>
              <w:t>Coal</w:t>
            </w:r>
          </w:p>
        </w:tc>
      </w:tr>
      <w:tr w:rsidR="0037683B" w:rsidRPr="0037683B" w:rsidTr="00C532A9">
        <w:trPr>
          <w:trHeight w:val="66"/>
        </w:trPr>
        <w:tc>
          <w:tcPr>
            <w:tcW w:w="1413" w:type="dxa"/>
            <w:vMerge/>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p>
        </w:tc>
        <w:tc>
          <w:tcPr>
            <w:tcW w:w="2693" w:type="dxa"/>
            <w:shd w:val="clear" w:color="auto" w:fill="auto"/>
            <w:noWrap/>
            <w:hideMark/>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r w:rsidRPr="0037683B">
              <w:rPr>
                <w:rFonts w:asciiTheme="majorHAnsi" w:eastAsia="Times New Roman" w:hAnsiTheme="majorHAnsi" w:cs="Times New Roman"/>
                <w:sz w:val="18"/>
                <w:szCs w:val="18"/>
                <w:lang w:val="en-US" w:eastAsia="en-AU"/>
              </w:rPr>
              <w:t>Oil</w:t>
            </w:r>
          </w:p>
        </w:tc>
      </w:tr>
      <w:tr w:rsidR="0037683B" w:rsidRPr="0037683B" w:rsidTr="00C532A9">
        <w:trPr>
          <w:trHeight w:val="66"/>
        </w:trPr>
        <w:tc>
          <w:tcPr>
            <w:tcW w:w="1413" w:type="dxa"/>
            <w:vMerge/>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p>
        </w:tc>
        <w:tc>
          <w:tcPr>
            <w:tcW w:w="2693" w:type="dxa"/>
            <w:shd w:val="clear" w:color="auto" w:fill="auto"/>
            <w:noWrap/>
            <w:hideMark/>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r w:rsidRPr="0037683B">
              <w:rPr>
                <w:rFonts w:asciiTheme="majorHAnsi" w:eastAsia="Times New Roman" w:hAnsiTheme="majorHAnsi" w:cs="Times New Roman"/>
                <w:sz w:val="18"/>
                <w:szCs w:val="18"/>
                <w:lang w:val="en-US" w:eastAsia="en-AU"/>
              </w:rPr>
              <w:t>Gas extraction</w:t>
            </w:r>
          </w:p>
        </w:tc>
      </w:tr>
      <w:tr w:rsidR="0037683B" w:rsidRPr="0037683B" w:rsidTr="00C532A9">
        <w:trPr>
          <w:trHeight w:val="66"/>
        </w:trPr>
        <w:tc>
          <w:tcPr>
            <w:tcW w:w="1413" w:type="dxa"/>
            <w:vMerge/>
            <w:tcBorders>
              <w:bottom w:val="single" w:sz="4" w:space="0" w:color="auto"/>
            </w:tcBorders>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p>
        </w:tc>
        <w:tc>
          <w:tcPr>
            <w:tcW w:w="2693" w:type="dxa"/>
            <w:tcBorders>
              <w:bottom w:val="single" w:sz="4" w:space="0" w:color="auto"/>
            </w:tcBorders>
            <w:shd w:val="clear" w:color="auto" w:fill="auto"/>
            <w:noWrap/>
            <w:hideMark/>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r w:rsidRPr="0037683B">
              <w:rPr>
                <w:rFonts w:asciiTheme="majorHAnsi" w:eastAsia="Times New Roman" w:hAnsiTheme="majorHAnsi" w:cs="Times New Roman"/>
                <w:sz w:val="18"/>
                <w:szCs w:val="18"/>
                <w:lang w:val="en-US" w:eastAsia="en-AU"/>
              </w:rPr>
              <w:t>Other mining (OMN)</w:t>
            </w:r>
          </w:p>
        </w:tc>
      </w:tr>
      <w:tr w:rsidR="0037683B" w:rsidRPr="0037683B" w:rsidTr="00C532A9">
        <w:trPr>
          <w:trHeight w:val="56"/>
        </w:trPr>
        <w:tc>
          <w:tcPr>
            <w:tcW w:w="1413" w:type="dxa"/>
            <w:tcBorders>
              <w:top w:val="single" w:sz="4" w:space="0" w:color="auto"/>
              <w:bottom w:val="nil"/>
            </w:tcBorders>
            <w:shd w:val="clear" w:color="auto" w:fill="F2F2F2" w:themeFill="background1" w:themeFillShade="F2"/>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r w:rsidRPr="0037683B">
              <w:rPr>
                <w:rFonts w:asciiTheme="majorHAnsi" w:eastAsia="Times New Roman" w:hAnsiTheme="majorHAnsi" w:cs="Times New Roman"/>
                <w:sz w:val="18"/>
                <w:szCs w:val="18"/>
                <w:lang w:val="en-US" w:eastAsia="en-AU"/>
              </w:rPr>
              <w:t xml:space="preserve">Agriculture </w:t>
            </w:r>
          </w:p>
        </w:tc>
        <w:tc>
          <w:tcPr>
            <w:tcW w:w="2693" w:type="dxa"/>
            <w:tcBorders>
              <w:top w:val="single" w:sz="4" w:space="0" w:color="auto"/>
              <w:bottom w:val="nil"/>
            </w:tcBorders>
            <w:shd w:val="clear" w:color="auto" w:fill="F2F2F2" w:themeFill="background1" w:themeFillShade="F2"/>
            <w:noWrap/>
            <w:hideMark/>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r w:rsidRPr="0037683B">
              <w:rPr>
                <w:rFonts w:asciiTheme="majorHAnsi" w:eastAsia="Times New Roman" w:hAnsiTheme="majorHAnsi" w:cs="Times New Roman"/>
                <w:sz w:val="18"/>
                <w:szCs w:val="18"/>
                <w:lang w:val="en-US" w:eastAsia="en-AU"/>
              </w:rPr>
              <w:t xml:space="preserve">Crops (including biofuels) </w:t>
            </w:r>
          </w:p>
        </w:tc>
      </w:tr>
      <w:tr w:rsidR="0037683B" w:rsidRPr="0037683B" w:rsidTr="00C532A9">
        <w:trPr>
          <w:trHeight w:val="165"/>
        </w:trPr>
        <w:tc>
          <w:tcPr>
            <w:tcW w:w="1413" w:type="dxa"/>
            <w:tcBorders>
              <w:top w:val="nil"/>
              <w:bottom w:val="nil"/>
            </w:tcBorders>
            <w:shd w:val="clear" w:color="auto" w:fill="F2F2F2" w:themeFill="background1" w:themeFillShade="F2"/>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p>
        </w:tc>
        <w:tc>
          <w:tcPr>
            <w:tcW w:w="2693" w:type="dxa"/>
            <w:tcBorders>
              <w:top w:val="nil"/>
              <w:bottom w:val="nil"/>
            </w:tcBorders>
            <w:shd w:val="clear" w:color="auto" w:fill="F2F2F2" w:themeFill="background1" w:themeFillShade="F2"/>
            <w:noWrap/>
            <w:hideMark/>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r w:rsidRPr="0037683B">
              <w:rPr>
                <w:rFonts w:asciiTheme="majorHAnsi" w:eastAsia="Times New Roman" w:hAnsiTheme="majorHAnsi" w:cs="Times New Roman"/>
                <w:sz w:val="18"/>
                <w:szCs w:val="18"/>
                <w:lang w:val="en-US" w:eastAsia="en-AU"/>
              </w:rPr>
              <w:t>Livestock (cattle, sheep, dairy)</w:t>
            </w:r>
          </w:p>
        </w:tc>
      </w:tr>
      <w:tr w:rsidR="0037683B" w:rsidRPr="0037683B" w:rsidTr="00C532A9">
        <w:trPr>
          <w:trHeight w:val="66"/>
        </w:trPr>
        <w:tc>
          <w:tcPr>
            <w:tcW w:w="1413" w:type="dxa"/>
            <w:tcBorders>
              <w:top w:val="nil"/>
              <w:bottom w:val="nil"/>
            </w:tcBorders>
            <w:shd w:val="clear" w:color="auto" w:fill="F2F2F2" w:themeFill="background1" w:themeFillShade="F2"/>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p>
        </w:tc>
        <w:tc>
          <w:tcPr>
            <w:tcW w:w="2693" w:type="dxa"/>
            <w:tcBorders>
              <w:top w:val="nil"/>
              <w:bottom w:val="nil"/>
            </w:tcBorders>
            <w:shd w:val="clear" w:color="auto" w:fill="F2F2F2" w:themeFill="background1" w:themeFillShade="F2"/>
            <w:noWrap/>
            <w:hideMark/>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r w:rsidRPr="0037683B">
              <w:rPr>
                <w:rFonts w:asciiTheme="majorHAnsi" w:eastAsia="Times New Roman" w:hAnsiTheme="majorHAnsi" w:cs="Times New Roman"/>
                <w:sz w:val="18"/>
                <w:szCs w:val="18"/>
                <w:lang w:val="en-US" w:eastAsia="en-AU"/>
              </w:rPr>
              <w:t>Other animals and fishing</w:t>
            </w:r>
          </w:p>
        </w:tc>
      </w:tr>
      <w:tr w:rsidR="0037683B" w:rsidRPr="0037683B" w:rsidTr="00C532A9">
        <w:trPr>
          <w:trHeight w:val="66"/>
        </w:trPr>
        <w:tc>
          <w:tcPr>
            <w:tcW w:w="1413" w:type="dxa"/>
            <w:tcBorders>
              <w:top w:val="nil"/>
              <w:bottom w:val="single" w:sz="4" w:space="0" w:color="auto"/>
            </w:tcBorders>
            <w:shd w:val="clear" w:color="auto" w:fill="F2F2F2" w:themeFill="background1" w:themeFillShade="F2"/>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p>
        </w:tc>
        <w:tc>
          <w:tcPr>
            <w:tcW w:w="2693" w:type="dxa"/>
            <w:tcBorders>
              <w:top w:val="nil"/>
              <w:bottom w:val="single" w:sz="4" w:space="0" w:color="auto"/>
            </w:tcBorders>
            <w:shd w:val="clear" w:color="auto" w:fill="F2F2F2" w:themeFill="background1" w:themeFillShade="F2"/>
            <w:noWrap/>
            <w:hideMark/>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r w:rsidRPr="0037683B">
              <w:rPr>
                <w:rFonts w:asciiTheme="majorHAnsi" w:eastAsia="Times New Roman" w:hAnsiTheme="majorHAnsi" w:cs="Times New Roman"/>
                <w:sz w:val="18"/>
                <w:szCs w:val="18"/>
                <w:lang w:val="en-US" w:eastAsia="en-AU"/>
              </w:rPr>
              <w:t>Forestry</w:t>
            </w:r>
          </w:p>
        </w:tc>
      </w:tr>
      <w:tr w:rsidR="0037683B" w:rsidRPr="0037683B" w:rsidTr="00C532A9">
        <w:trPr>
          <w:trHeight w:val="65"/>
        </w:trPr>
        <w:tc>
          <w:tcPr>
            <w:tcW w:w="1413" w:type="dxa"/>
            <w:tcBorders>
              <w:top w:val="single" w:sz="4" w:space="0" w:color="auto"/>
            </w:tcBorders>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r w:rsidRPr="0037683B">
              <w:rPr>
                <w:rFonts w:asciiTheme="majorHAnsi" w:eastAsia="Times New Roman" w:hAnsiTheme="majorHAnsi" w:cs="Times New Roman"/>
                <w:sz w:val="18"/>
                <w:szCs w:val="18"/>
                <w:lang w:val="en-US" w:eastAsia="en-AU"/>
              </w:rPr>
              <w:t xml:space="preserve">Heavy industry </w:t>
            </w:r>
          </w:p>
        </w:tc>
        <w:tc>
          <w:tcPr>
            <w:tcW w:w="2693" w:type="dxa"/>
            <w:tcBorders>
              <w:top w:val="single" w:sz="4" w:space="0" w:color="auto"/>
            </w:tcBorders>
            <w:shd w:val="clear" w:color="auto" w:fill="auto"/>
            <w:noWrap/>
            <w:hideMark/>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r w:rsidRPr="0037683B">
              <w:rPr>
                <w:rFonts w:asciiTheme="majorHAnsi" w:eastAsia="Times New Roman" w:hAnsiTheme="majorHAnsi" w:cs="Times New Roman"/>
                <w:sz w:val="18"/>
                <w:szCs w:val="18"/>
                <w:lang w:val="en-US" w:eastAsia="en-AU"/>
              </w:rPr>
              <w:t>Non-metallic minerals (NMM)</w:t>
            </w:r>
          </w:p>
        </w:tc>
      </w:tr>
      <w:tr w:rsidR="0037683B" w:rsidRPr="0037683B" w:rsidTr="00C532A9">
        <w:trPr>
          <w:trHeight w:val="66"/>
        </w:trPr>
        <w:tc>
          <w:tcPr>
            <w:tcW w:w="1413" w:type="dxa"/>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p>
        </w:tc>
        <w:tc>
          <w:tcPr>
            <w:tcW w:w="2693" w:type="dxa"/>
            <w:shd w:val="clear" w:color="auto" w:fill="auto"/>
            <w:noWrap/>
            <w:hideMark/>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r w:rsidRPr="0037683B">
              <w:rPr>
                <w:rFonts w:asciiTheme="majorHAnsi" w:eastAsia="Times New Roman" w:hAnsiTheme="majorHAnsi" w:cs="Times New Roman"/>
                <w:sz w:val="18"/>
                <w:szCs w:val="18"/>
                <w:lang w:val="en-US" w:eastAsia="en-AU"/>
              </w:rPr>
              <w:t>Petroleum and coke products</w:t>
            </w:r>
          </w:p>
        </w:tc>
      </w:tr>
      <w:tr w:rsidR="0037683B" w:rsidRPr="0037683B" w:rsidTr="00C532A9">
        <w:trPr>
          <w:trHeight w:val="66"/>
        </w:trPr>
        <w:tc>
          <w:tcPr>
            <w:tcW w:w="1413" w:type="dxa"/>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p>
        </w:tc>
        <w:tc>
          <w:tcPr>
            <w:tcW w:w="2693" w:type="dxa"/>
            <w:shd w:val="clear" w:color="auto" w:fill="auto"/>
            <w:noWrap/>
            <w:hideMark/>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r w:rsidRPr="0037683B">
              <w:rPr>
                <w:rFonts w:asciiTheme="majorHAnsi" w:eastAsia="Times New Roman" w:hAnsiTheme="majorHAnsi" w:cs="Times New Roman"/>
                <w:sz w:val="18"/>
                <w:szCs w:val="18"/>
                <w:lang w:val="en-US" w:eastAsia="en-AU"/>
              </w:rPr>
              <w:t>Electricity</w:t>
            </w:r>
          </w:p>
        </w:tc>
      </w:tr>
      <w:tr w:rsidR="0037683B" w:rsidRPr="0037683B" w:rsidTr="00C532A9">
        <w:trPr>
          <w:trHeight w:val="66"/>
        </w:trPr>
        <w:tc>
          <w:tcPr>
            <w:tcW w:w="1413" w:type="dxa"/>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p>
        </w:tc>
        <w:tc>
          <w:tcPr>
            <w:tcW w:w="2693" w:type="dxa"/>
            <w:shd w:val="clear" w:color="auto" w:fill="auto"/>
            <w:noWrap/>
            <w:hideMark/>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r w:rsidRPr="0037683B">
              <w:rPr>
                <w:rFonts w:asciiTheme="majorHAnsi" w:eastAsia="Times New Roman" w:hAnsiTheme="majorHAnsi" w:cs="Times New Roman"/>
                <w:sz w:val="18"/>
                <w:szCs w:val="18"/>
                <w:lang w:val="en-US" w:eastAsia="en-AU"/>
              </w:rPr>
              <w:t>Iron and steel</w:t>
            </w:r>
          </w:p>
        </w:tc>
      </w:tr>
      <w:tr w:rsidR="0037683B" w:rsidRPr="0037683B" w:rsidTr="00C532A9">
        <w:trPr>
          <w:trHeight w:val="66"/>
        </w:trPr>
        <w:tc>
          <w:tcPr>
            <w:tcW w:w="1413" w:type="dxa"/>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p>
        </w:tc>
        <w:tc>
          <w:tcPr>
            <w:tcW w:w="2693" w:type="dxa"/>
            <w:shd w:val="clear" w:color="auto" w:fill="auto"/>
            <w:noWrap/>
            <w:hideMark/>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r w:rsidRPr="0037683B">
              <w:rPr>
                <w:rFonts w:asciiTheme="majorHAnsi" w:eastAsia="Times New Roman" w:hAnsiTheme="majorHAnsi" w:cs="Times New Roman"/>
                <w:sz w:val="18"/>
                <w:szCs w:val="18"/>
                <w:lang w:val="en-US" w:eastAsia="en-AU"/>
              </w:rPr>
              <w:t>Nonferrous metals</w:t>
            </w:r>
          </w:p>
        </w:tc>
      </w:tr>
      <w:tr w:rsidR="0037683B" w:rsidRPr="0037683B" w:rsidTr="00C532A9">
        <w:trPr>
          <w:trHeight w:val="66"/>
        </w:trPr>
        <w:tc>
          <w:tcPr>
            <w:tcW w:w="1413" w:type="dxa"/>
            <w:tcBorders>
              <w:bottom w:val="single" w:sz="4" w:space="0" w:color="auto"/>
            </w:tcBorders>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p>
        </w:tc>
        <w:tc>
          <w:tcPr>
            <w:tcW w:w="2693" w:type="dxa"/>
            <w:tcBorders>
              <w:bottom w:val="single" w:sz="4" w:space="0" w:color="auto"/>
            </w:tcBorders>
            <w:shd w:val="clear" w:color="auto" w:fill="auto"/>
            <w:noWrap/>
            <w:hideMark/>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r w:rsidRPr="0037683B">
              <w:rPr>
                <w:rFonts w:asciiTheme="majorHAnsi" w:eastAsia="Times New Roman" w:hAnsiTheme="majorHAnsi" w:cs="Times New Roman"/>
                <w:sz w:val="18"/>
                <w:szCs w:val="18"/>
                <w:lang w:val="en-US" w:eastAsia="en-AU"/>
              </w:rPr>
              <w:t>Chemicals, rubber, plastics</w:t>
            </w:r>
          </w:p>
        </w:tc>
      </w:tr>
      <w:tr w:rsidR="0037683B" w:rsidRPr="0037683B" w:rsidTr="00C532A9">
        <w:trPr>
          <w:trHeight w:val="56"/>
        </w:trPr>
        <w:tc>
          <w:tcPr>
            <w:tcW w:w="1413" w:type="dxa"/>
            <w:tcBorders>
              <w:top w:val="single" w:sz="4" w:space="0" w:color="auto"/>
              <w:bottom w:val="nil"/>
            </w:tcBorders>
            <w:shd w:val="clear" w:color="auto" w:fill="F2F2F2" w:themeFill="background1" w:themeFillShade="F2"/>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r w:rsidRPr="0037683B">
              <w:rPr>
                <w:rFonts w:asciiTheme="majorHAnsi" w:eastAsia="Times New Roman" w:hAnsiTheme="majorHAnsi" w:cs="Times New Roman"/>
                <w:sz w:val="18"/>
                <w:szCs w:val="18"/>
                <w:lang w:val="en-US" w:eastAsia="en-AU"/>
              </w:rPr>
              <w:t xml:space="preserve">Manufacturing </w:t>
            </w:r>
          </w:p>
        </w:tc>
        <w:tc>
          <w:tcPr>
            <w:tcW w:w="2693" w:type="dxa"/>
            <w:tcBorders>
              <w:top w:val="single" w:sz="4" w:space="0" w:color="auto"/>
              <w:bottom w:val="nil"/>
            </w:tcBorders>
            <w:shd w:val="clear" w:color="auto" w:fill="F2F2F2" w:themeFill="background1" w:themeFillShade="F2"/>
            <w:noWrap/>
            <w:hideMark/>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r w:rsidRPr="0037683B">
              <w:rPr>
                <w:rFonts w:asciiTheme="majorHAnsi" w:eastAsia="Times New Roman" w:hAnsiTheme="majorHAnsi" w:cs="Times New Roman"/>
                <w:sz w:val="18"/>
                <w:szCs w:val="18"/>
                <w:lang w:val="en-US" w:eastAsia="en-AU"/>
              </w:rPr>
              <w:t>Manufacturing</w:t>
            </w:r>
          </w:p>
        </w:tc>
      </w:tr>
      <w:tr w:rsidR="0037683B" w:rsidRPr="0037683B" w:rsidTr="00C532A9">
        <w:trPr>
          <w:trHeight w:val="66"/>
        </w:trPr>
        <w:tc>
          <w:tcPr>
            <w:tcW w:w="1413" w:type="dxa"/>
            <w:tcBorders>
              <w:top w:val="nil"/>
              <w:bottom w:val="single" w:sz="4" w:space="0" w:color="auto"/>
            </w:tcBorders>
            <w:shd w:val="clear" w:color="auto" w:fill="F2F2F2" w:themeFill="background1" w:themeFillShade="F2"/>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p>
        </w:tc>
        <w:tc>
          <w:tcPr>
            <w:tcW w:w="2693" w:type="dxa"/>
            <w:tcBorders>
              <w:top w:val="nil"/>
              <w:bottom w:val="single" w:sz="4" w:space="0" w:color="auto"/>
            </w:tcBorders>
            <w:shd w:val="clear" w:color="auto" w:fill="F2F2F2" w:themeFill="background1" w:themeFillShade="F2"/>
            <w:noWrap/>
            <w:hideMark/>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r w:rsidRPr="0037683B">
              <w:rPr>
                <w:rFonts w:asciiTheme="majorHAnsi" w:eastAsia="Times New Roman" w:hAnsiTheme="majorHAnsi" w:cs="Times New Roman"/>
                <w:sz w:val="18"/>
                <w:szCs w:val="18"/>
                <w:lang w:val="en-US" w:eastAsia="en-AU"/>
              </w:rPr>
              <w:t>Processed food</w:t>
            </w:r>
          </w:p>
        </w:tc>
      </w:tr>
      <w:tr w:rsidR="0037683B" w:rsidRPr="0037683B" w:rsidTr="00C532A9">
        <w:trPr>
          <w:trHeight w:val="56"/>
        </w:trPr>
        <w:tc>
          <w:tcPr>
            <w:tcW w:w="1413" w:type="dxa"/>
            <w:tcBorders>
              <w:top w:val="single" w:sz="4" w:space="0" w:color="auto"/>
            </w:tcBorders>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r w:rsidRPr="0037683B">
              <w:rPr>
                <w:rFonts w:asciiTheme="majorHAnsi" w:eastAsia="Times New Roman" w:hAnsiTheme="majorHAnsi" w:cs="Times New Roman"/>
                <w:sz w:val="18"/>
                <w:szCs w:val="18"/>
                <w:lang w:val="en-US" w:eastAsia="en-AU"/>
              </w:rPr>
              <w:t xml:space="preserve">Transport </w:t>
            </w:r>
          </w:p>
        </w:tc>
        <w:tc>
          <w:tcPr>
            <w:tcW w:w="2693" w:type="dxa"/>
            <w:tcBorders>
              <w:top w:val="single" w:sz="4" w:space="0" w:color="auto"/>
            </w:tcBorders>
            <w:shd w:val="clear" w:color="auto" w:fill="auto"/>
            <w:noWrap/>
            <w:hideMark/>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r w:rsidRPr="0037683B">
              <w:rPr>
                <w:rFonts w:asciiTheme="majorHAnsi" w:eastAsia="Times New Roman" w:hAnsiTheme="majorHAnsi" w:cs="Times New Roman"/>
                <w:sz w:val="18"/>
                <w:szCs w:val="18"/>
                <w:lang w:val="en-US" w:eastAsia="en-AU"/>
              </w:rPr>
              <w:t>Land and Other Transport</w:t>
            </w:r>
          </w:p>
        </w:tc>
      </w:tr>
      <w:tr w:rsidR="0037683B" w:rsidRPr="0037683B" w:rsidTr="00C532A9">
        <w:trPr>
          <w:trHeight w:val="66"/>
        </w:trPr>
        <w:tc>
          <w:tcPr>
            <w:tcW w:w="1413" w:type="dxa"/>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p>
        </w:tc>
        <w:tc>
          <w:tcPr>
            <w:tcW w:w="2693" w:type="dxa"/>
            <w:shd w:val="clear" w:color="auto" w:fill="auto"/>
            <w:noWrap/>
            <w:hideMark/>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r w:rsidRPr="0037683B">
              <w:rPr>
                <w:rFonts w:asciiTheme="majorHAnsi" w:eastAsia="Times New Roman" w:hAnsiTheme="majorHAnsi" w:cs="Times New Roman"/>
                <w:sz w:val="18"/>
                <w:szCs w:val="18"/>
                <w:lang w:val="en-US" w:eastAsia="en-AU"/>
              </w:rPr>
              <w:t>Water transport</w:t>
            </w:r>
          </w:p>
        </w:tc>
      </w:tr>
      <w:tr w:rsidR="0037683B" w:rsidRPr="0037683B" w:rsidTr="00C532A9">
        <w:trPr>
          <w:trHeight w:val="66"/>
        </w:trPr>
        <w:tc>
          <w:tcPr>
            <w:tcW w:w="1413" w:type="dxa"/>
            <w:tcBorders>
              <w:bottom w:val="single" w:sz="4" w:space="0" w:color="auto"/>
            </w:tcBorders>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p>
        </w:tc>
        <w:tc>
          <w:tcPr>
            <w:tcW w:w="2693" w:type="dxa"/>
            <w:tcBorders>
              <w:bottom w:val="single" w:sz="4" w:space="0" w:color="auto"/>
            </w:tcBorders>
            <w:shd w:val="clear" w:color="auto" w:fill="auto"/>
            <w:noWrap/>
            <w:hideMark/>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r w:rsidRPr="0037683B">
              <w:rPr>
                <w:rFonts w:asciiTheme="majorHAnsi" w:eastAsia="Times New Roman" w:hAnsiTheme="majorHAnsi" w:cs="Times New Roman"/>
                <w:sz w:val="18"/>
                <w:szCs w:val="18"/>
                <w:lang w:val="en-US" w:eastAsia="en-AU"/>
              </w:rPr>
              <w:t>Air transport</w:t>
            </w:r>
          </w:p>
        </w:tc>
      </w:tr>
      <w:tr w:rsidR="0037683B" w:rsidRPr="0037683B" w:rsidTr="00C532A9">
        <w:trPr>
          <w:trHeight w:val="56"/>
        </w:trPr>
        <w:tc>
          <w:tcPr>
            <w:tcW w:w="1413" w:type="dxa"/>
            <w:tcBorders>
              <w:top w:val="single" w:sz="4" w:space="0" w:color="auto"/>
              <w:bottom w:val="nil"/>
            </w:tcBorders>
            <w:shd w:val="clear" w:color="auto" w:fill="F2F2F2" w:themeFill="background1" w:themeFillShade="F2"/>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r w:rsidRPr="0037683B">
              <w:rPr>
                <w:rFonts w:asciiTheme="majorHAnsi" w:eastAsia="Times New Roman" w:hAnsiTheme="majorHAnsi" w:cs="Times New Roman"/>
                <w:sz w:val="18"/>
                <w:szCs w:val="18"/>
                <w:lang w:val="en-US" w:eastAsia="en-AU"/>
              </w:rPr>
              <w:t xml:space="preserve">Services </w:t>
            </w:r>
          </w:p>
        </w:tc>
        <w:tc>
          <w:tcPr>
            <w:tcW w:w="2693" w:type="dxa"/>
            <w:tcBorders>
              <w:top w:val="single" w:sz="4" w:space="0" w:color="auto"/>
              <w:bottom w:val="nil"/>
            </w:tcBorders>
            <w:shd w:val="clear" w:color="auto" w:fill="F2F2F2" w:themeFill="background1" w:themeFillShade="F2"/>
            <w:noWrap/>
            <w:hideMark/>
          </w:tcPr>
          <w:p w:rsidR="0037683B" w:rsidRPr="0037683B" w:rsidRDefault="0037683B" w:rsidP="0037683B">
            <w:pPr>
              <w:keepNext/>
              <w:keepLines/>
              <w:spacing w:after="0" w:line="240" w:lineRule="auto"/>
              <w:rPr>
                <w:rFonts w:asciiTheme="majorHAnsi" w:eastAsia="Times New Roman" w:hAnsiTheme="majorHAnsi" w:cs="Times New Roman"/>
                <w:sz w:val="18"/>
                <w:szCs w:val="18"/>
                <w:lang w:val="en-US" w:eastAsia="en-AU"/>
              </w:rPr>
            </w:pPr>
            <w:r w:rsidRPr="0037683B">
              <w:rPr>
                <w:rFonts w:asciiTheme="majorHAnsi" w:eastAsia="Times New Roman" w:hAnsiTheme="majorHAnsi" w:cs="Times New Roman"/>
                <w:sz w:val="18"/>
                <w:szCs w:val="18"/>
                <w:lang w:val="en-US" w:eastAsia="en-AU"/>
              </w:rPr>
              <w:t>Construction</w:t>
            </w:r>
          </w:p>
        </w:tc>
      </w:tr>
      <w:tr w:rsidR="0037683B" w:rsidRPr="0037683B" w:rsidTr="00C532A9">
        <w:trPr>
          <w:trHeight w:val="66"/>
        </w:trPr>
        <w:tc>
          <w:tcPr>
            <w:tcW w:w="1413" w:type="dxa"/>
            <w:tcBorders>
              <w:top w:val="nil"/>
              <w:bottom w:val="single" w:sz="4" w:space="0" w:color="auto"/>
            </w:tcBorders>
            <w:shd w:val="clear" w:color="auto" w:fill="F2F2F2" w:themeFill="background1" w:themeFillShade="F2"/>
          </w:tcPr>
          <w:p w:rsidR="0037683B" w:rsidRPr="0037683B" w:rsidRDefault="0037683B" w:rsidP="0037683B">
            <w:pPr>
              <w:spacing w:after="0" w:line="240" w:lineRule="auto"/>
              <w:rPr>
                <w:rFonts w:asciiTheme="majorHAnsi" w:eastAsia="Times New Roman" w:hAnsiTheme="majorHAnsi" w:cs="Times New Roman"/>
                <w:sz w:val="18"/>
                <w:szCs w:val="18"/>
                <w:lang w:val="en-US" w:eastAsia="en-AU"/>
              </w:rPr>
            </w:pPr>
          </w:p>
        </w:tc>
        <w:tc>
          <w:tcPr>
            <w:tcW w:w="2693" w:type="dxa"/>
            <w:tcBorders>
              <w:top w:val="nil"/>
              <w:bottom w:val="single" w:sz="4" w:space="0" w:color="auto"/>
            </w:tcBorders>
            <w:shd w:val="clear" w:color="auto" w:fill="F2F2F2" w:themeFill="background1" w:themeFillShade="F2"/>
            <w:noWrap/>
            <w:hideMark/>
          </w:tcPr>
          <w:p w:rsidR="0037683B" w:rsidRPr="0037683B" w:rsidRDefault="0037683B" w:rsidP="0037683B">
            <w:pPr>
              <w:spacing w:after="0" w:line="240" w:lineRule="auto"/>
              <w:rPr>
                <w:rFonts w:asciiTheme="majorHAnsi" w:eastAsia="Times New Roman" w:hAnsiTheme="majorHAnsi" w:cs="Times New Roman"/>
                <w:sz w:val="18"/>
                <w:szCs w:val="18"/>
                <w:lang w:val="en-US" w:eastAsia="en-AU"/>
              </w:rPr>
            </w:pPr>
            <w:r w:rsidRPr="0037683B">
              <w:rPr>
                <w:rFonts w:asciiTheme="majorHAnsi" w:eastAsia="Times New Roman" w:hAnsiTheme="majorHAnsi" w:cs="Times New Roman"/>
                <w:sz w:val="18"/>
                <w:szCs w:val="18"/>
                <w:lang w:val="en-US" w:eastAsia="en-AU"/>
              </w:rPr>
              <w:t>Services</w:t>
            </w:r>
          </w:p>
        </w:tc>
      </w:tr>
    </w:tbl>
    <w:p w:rsidR="0037683B" w:rsidRPr="0037683B" w:rsidRDefault="0037683B" w:rsidP="0037683B">
      <w:pPr>
        <w:rPr>
          <w:lang w:val="en-US"/>
        </w:rPr>
      </w:pPr>
    </w:p>
    <w:p w:rsidR="0037683B" w:rsidRPr="0037683B" w:rsidRDefault="0037683B" w:rsidP="0037683B">
      <w:pPr>
        <w:rPr>
          <w:rFonts w:asciiTheme="majorHAnsi" w:eastAsiaTheme="majorEastAsia" w:hAnsiTheme="majorHAnsi" w:cstheme="majorBidi"/>
          <w:color w:val="0070C0"/>
          <w:spacing w:val="-10"/>
          <w:kern w:val="28"/>
          <w:lang w:val="en-US"/>
        </w:rPr>
      </w:pPr>
      <w:r w:rsidRPr="0037683B">
        <w:rPr>
          <w:lang w:val="en-US"/>
        </w:rPr>
        <w:br w:type="column"/>
      </w:r>
      <w:r w:rsidRPr="0037683B">
        <w:rPr>
          <w:rFonts w:asciiTheme="majorHAnsi" w:eastAsiaTheme="majorEastAsia" w:hAnsiTheme="majorHAnsi" w:cstheme="majorBidi"/>
          <w:color w:val="0070C0"/>
          <w:spacing w:val="-10"/>
          <w:kern w:val="28"/>
          <w:lang w:val="en-US"/>
        </w:rPr>
        <w:lastRenderedPageBreak/>
        <w:t>Table SI-2. Countries included</w:t>
      </w:r>
    </w:p>
    <w:tbl>
      <w:tblPr>
        <w:tblW w:w="5098" w:type="dxa"/>
        <w:tblLook w:val="04A0" w:firstRow="1" w:lastRow="0" w:firstColumn="1" w:lastColumn="0" w:noHBand="0" w:noVBand="1"/>
      </w:tblPr>
      <w:tblGrid>
        <w:gridCol w:w="768"/>
        <w:gridCol w:w="4330"/>
      </w:tblGrid>
      <w:tr w:rsidR="0037683B" w:rsidRPr="0037683B" w:rsidTr="00C532A9">
        <w:trPr>
          <w:trHeight w:val="129"/>
        </w:trPr>
        <w:tc>
          <w:tcPr>
            <w:tcW w:w="704" w:type="dxa"/>
            <w:tcBorders>
              <w:top w:val="single" w:sz="4" w:space="0" w:color="auto"/>
              <w:left w:val="single" w:sz="4" w:space="0" w:color="auto"/>
            </w:tcBorders>
            <w:shd w:val="clear" w:color="auto" w:fill="44546A" w:themeFill="text2"/>
            <w:noWrap/>
            <w:hideMark/>
          </w:tcPr>
          <w:p w:rsidR="0037683B" w:rsidRPr="0037683B" w:rsidRDefault="0037683B" w:rsidP="0037683B">
            <w:pPr>
              <w:spacing w:after="0" w:line="240" w:lineRule="auto"/>
              <w:rPr>
                <w:rFonts w:asciiTheme="majorHAnsi" w:eastAsia="Times New Roman" w:hAnsiTheme="majorHAnsi" w:cs="Times New Roman"/>
                <w:b/>
                <w:bCs/>
                <w:color w:val="FFFFFF" w:themeColor="background1"/>
                <w:sz w:val="20"/>
                <w:szCs w:val="18"/>
                <w:lang w:val="en-US" w:eastAsia="en-AU"/>
              </w:rPr>
            </w:pPr>
            <w:r w:rsidRPr="0037683B">
              <w:rPr>
                <w:rFonts w:asciiTheme="majorHAnsi" w:eastAsia="Times New Roman" w:hAnsiTheme="majorHAnsi" w:cs="Times New Roman"/>
                <w:b/>
                <w:bCs/>
                <w:color w:val="FFFFFF" w:themeColor="background1"/>
                <w:sz w:val="20"/>
                <w:szCs w:val="18"/>
                <w:lang w:val="en-US" w:eastAsia="en-AU"/>
              </w:rPr>
              <w:t>Region</w:t>
            </w:r>
          </w:p>
        </w:tc>
        <w:tc>
          <w:tcPr>
            <w:tcW w:w="4394" w:type="dxa"/>
            <w:tcBorders>
              <w:top w:val="single" w:sz="4" w:space="0" w:color="auto"/>
              <w:right w:val="single" w:sz="4" w:space="0" w:color="auto"/>
            </w:tcBorders>
            <w:shd w:val="clear" w:color="auto" w:fill="44546A" w:themeFill="text2"/>
            <w:hideMark/>
          </w:tcPr>
          <w:p w:rsidR="0037683B" w:rsidRPr="0037683B" w:rsidRDefault="0037683B" w:rsidP="0037683B">
            <w:pPr>
              <w:spacing w:after="0" w:line="240" w:lineRule="auto"/>
              <w:rPr>
                <w:rFonts w:asciiTheme="majorHAnsi" w:eastAsia="Times New Roman" w:hAnsiTheme="majorHAnsi" w:cs="Times New Roman"/>
                <w:b/>
                <w:bCs/>
                <w:color w:val="FFFFFF" w:themeColor="background1"/>
                <w:sz w:val="20"/>
                <w:szCs w:val="18"/>
                <w:lang w:val="en-US" w:eastAsia="en-AU"/>
              </w:rPr>
            </w:pPr>
            <w:r w:rsidRPr="0037683B">
              <w:rPr>
                <w:rFonts w:asciiTheme="majorHAnsi" w:eastAsia="Times New Roman" w:hAnsiTheme="majorHAnsi" w:cs="Times New Roman"/>
                <w:b/>
                <w:bCs/>
                <w:color w:val="FFFFFF" w:themeColor="background1"/>
                <w:sz w:val="20"/>
                <w:szCs w:val="18"/>
                <w:lang w:val="en-US" w:eastAsia="en-AU"/>
              </w:rPr>
              <w:t>Countries included</w:t>
            </w:r>
          </w:p>
        </w:tc>
      </w:tr>
      <w:tr w:rsidR="0037683B" w:rsidRPr="0037683B" w:rsidTr="00C532A9">
        <w:trPr>
          <w:trHeight w:val="56"/>
        </w:trPr>
        <w:tc>
          <w:tcPr>
            <w:tcW w:w="5098"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noWrap/>
          </w:tcPr>
          <w:p w:rsidR="0037683B" w:rsidRPr="0037683B" w:rsidRDefault="0037683B" w:rsidP="0037683B">
            <w:pPr>
              <w:spacing w:after="0" w:line="240" w:lineRule="auto"/>
              <w:rPr>
                <w:rFonts w:asciiTheme="majorHAnsi" w:eastAsia="Times New Roman" w:hAnsiTheme="majorHAnsi" w:cs="Times New Roman"/>
                <w:b/>
                <w:bCs/>
                <w:sz w:val="20"/>
                <w:szCs w:val="18"/>
                <w:lang w:val="en-US" w:eastAsia="en-AU"/>
              </w:rPr>
            </w:pPr>
            <w:r w:rsidRPr="0037683B">
              <w:rPr>
                <w:rFonts w:asciiTheme="majorHAnsi" w:eastAsia="Times New Roman" w:hAnsiTheme="majorHAnsi" w:cs="Times New Roman"/>
                <w:b/>
                <w:bCs/>
                <w:sz w:val="20"/>
                <w:szCs w:val="18"/>
                <w:lang w:val="en-US" w:eastAsia="en-AU"/>
              </w:rPr>
              <w:t xml:space="preserve">Asia-Pacific </w:t>
            </w:r>
          </w:p>
        </w:tc>
      </w:tr>
      <w:tr w:rsidR="0037683B" w:rsidRPr="0037683B" w:rsidTr="00C532A9">
        <w:trPr>
          <w:trHeight w:val="74"/>
        </w:trPr>
        <w:tc>
          <w:tcPr>
            <w:tcW w:w="704" w:type="dxa"/>
            <w:tcBorders>
              <w:top w:val="single" w:sz="4" w:space="0" w:color="auto"/>
              <w:left w:val="single" w:sz="4" w:space="0" w:color="auto"/>
              <w:bottom w:val="nil"/>
            </w:tcBorders>
            <w:shd w:val="clear" w:color="auto" w:fill="auto"/>
            <w:noWrap/>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AUS</w:t>
            </w:r>
          </w:p>
        </w:tc>
        <w:tc>
          <w:tcPr>
            <w:tcW w:w="4394" w:type="dxa"/>
            <w:tcBorders>
              <w:top w:val="single" w:sz="4" w:space="0" w:color="auto"/>
              <w:bottom w:val="nil"/>
              <w:right w:val="single" w:sz="4" w:space="0" w:color="auto"/>
            </w:tcBorders>
            <w:shd w:val="clear" w:color="auto" w:fill="auto"/>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Australia</w:t>
            </w:r>
          </w:p>
        </w:tc>
      </w:tr>
      <w:tr w:rsidR="0037683B" w:rsidRPr="0037683B" w:rsidTr="00C532A9">
        <w:trPr>
          <w:trHeight w:val="66"/>
        </w:trPr>
        <w:tc>
          <w:tcPr>
            <w:tcW w:w="704" w:type="dxa"/>
            <w:tcBorders>
              <w:top w:val="nil"/>
              <w:left w:val="single" w:sz="4" w:space="0" w:color="auto"/>
              <w:bottom w:val="nil"/>
            </w:tcBorders>
            <w:shd w:val="clear" w:color="auto" w:fill="D9D9D9" w:themeFill="background1" w:themeFillShade="D9"/>
            <w:noWrap/>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CHN</w:t>
            </w:r>
          </w:p>
        </w:tc>
        <w:tc>
          <w:tcPr>
            <w:tcW w:w="4394" w:type="dxa"/>
            <w:tcBorders>
              <w:top w:val="nil"/>
              <w:bottom w:val="nil"/>
              <w:right w:val="single" w:sz="4" w:space="0" w:color="auto"/>
            </w:tcBorders>
            <w:shd w:val="clear" w:color="auto" w:fill="D9D9D9" w:themeFill="background1" w:themeFillShade="D9"/>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China</w:t>
            </w:r>
          </w:p>
        </w:tc>
      </w:tr>
      <w:tr w:rsidR="0037683B" w:rsidRPr="0037683B" w:rsidTr="00C532A9">
        <w:trPr>
          <w:trHeight w:val="628"/>
        </w:trPr>
        <w:tc>
          <w:tcPr>
            <w:tcW w:w="704" w:type="dxa"/>
            <w:tcBorders>
              <w:top w:val="nil"/>
              <w:left w:val="single" w:sz="4" w:space="0" w:color="auto"/>
              <w:bottom w:val="nil"/>
            </w:tcBorders>
            <w:shd w:val="clear" w:color="auto" w:fill="auto"/>
            <w:noWrap/>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EAO</w:t>
            </w:r>
          </w:p>
        </w:tc>
        <w:tc>
          <w:tcPr>
            <w:tcW w:w="4394" w:type="dxa"/>
            <w:tcBorders>
              <w:top w:val="nil"/>
              <w:bottom w:val="nil"/>
              <w:right w:val="single" w:sz="4" w:space="0" w:color="auto"/>
            </w:tcBorders>
            <w:shd w:val="clear" w:color="auto" w:fill="auto"/>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Cambodia, Hong Kong, Lao PDR, Malaysia, Mongolia, Philippines, Singapore, Taiwan, Thailand, Vietnam Rest of East Asia, Rest of Oceania, Rest of Southeast Asia</w:t>
            </w:r>
          </w:p>
        </w:tc>
      </w:tr>
      <w:tr w:rsidR="0037683B" w:rsidRPr="0037683B" w:rsidTr="00C532A9">
        <w:trPr>
          <w:trHeight w:val="66"/>
        </w:trPr>
        <w:tc>
          <w:tcPr>
            <w:tcW w:w="704" w:type="dxa"/>
            <w:tcBorders>
              <w:top w:val="nil"/>
              <w:left w:val="single" w:sz="4" w:space="0" w:color="auto"/>
              <w:bottom w:val="nil"/>
            </w:tcBorders>
            <w:shd w:val="clear" w:color="auto" w:fill="D9D9D9" w:themeFill="background1" w:themeFillShade="D9"/>
            <w:noWrap/>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IND</w:t>
            </w:r>
          </w:p>
        </w:tc>
        <w:tc>
          <w:tcPr>
            <w:tcW w:w="4394" w:type="dxa"/>
            <w:tcBorders>
              <w:top w:val="nil"/>
              <w:bottom w:val="nil"/>
              <w:right w:val="single" w:sz="4" w:space="0" w:color="auto"/>
            </w:tcBorders>
            <w:shd w:val="clear" w:color="auto" w:fill="D9D9D9" w:themeFill="background1" w:themeFillShade="D9"/>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India</w:t>
            </w:r>
          </w:p>
        </w:tc>
      </w:tr>
      <w:tr w:rsidR="0037683B" w:rsidRPr="0037683B" w:rsidTr="00C532A9">
        <w:trPr>
          <w:trHeight w:val="91"/>
        </w:trPr>
        <w:tc>
          <w:tcPr>
            <w:tcW w:w="704" w:type="dxa"/>
            <w:tcBorders>
              <w:top w:val="nil"/>
              <w:left w:val="single" w:sz="4" w:space="0" w:color="auto"/>
              <w:bottom w:val="nil"/>
            </w:tcBorders>
            <w:shd w:val="clear" w:color="auto" w:fill="auto"/>
            <w:noWrap/>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IDN</w:t>
            </w:r>
          </w:p>
        </w:tc>
        <w:tc>
          <w:tcPr>
            <w:tcW w:w="4394" w:type="dxa"/>
            <w:tcBorders>
              <w:top w:val="nil"/>
              <w:bottom w:val="nil"/>
              <w:right w:val="single" w:sz="4" w:space="0" w:color="auto"/>
            </w:tcBorders>
            <w:shd w:val="clear" w:color="auto" w:fill="auto"/>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Indonesia</w:t>
            </w:r>
          </w:p>
        </w:tc>
      </w:tr>
      <w:tr w:rsidR="0037683B" w:rsidRPr="0037683B" w:rsidTr="00C532A9">
        <w:trPr>
          <w:trHeight w:val="66"/>
        </w:trPr>
        <w:tc>
          <w:tcPr>
            <w:tcW w:w="704" w:type="dxa"/>
            <w:tcBorders>
              <w:top w:val="nil"/>
              <w:left w:val="single" w:sz="4" w:space="0" w:color="auto"/>
              <w:bottom w:val="nil"/>
            </w:tcBorders>
            <w:shd w:val="clear" w:color="auto" w:fill="D9D9D9" w:themeFill="background1" w:themeFillShade="D9"/>
            <w:noWrap/>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JPN</w:t>
            </w:r>
          </w:p>
        </w:tc>
        <w:tc>
          <w:tcPr>
            <w:tcW w:w="4394" w:type="dxa"/>
            <w:tcBorders>
              <w:top w:val="nil"/>
              <w:bottom w:val="nil"/>
              <w:right w:val="single" w:sz="4" w:space="0" w:color="auto"/>
            </w:tcBorders>
            <w:shd w:val="clear" w:color="auto" w:fill="D9D9D9" w:themeFill="background1" w:themeFillShade="D9"/>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Japan</w:t>
            </w:r>
          </w:p>
        </w:tc>
      </w:tr>
      <w:tr w:rsidR="0037683B" w:rsidRPr="0037683B" w:rsidTr="00C532A9">
        <w:trPr>
          <w:trHeight w:val="83"/>
        </w:trPr>
        <w:tc>
          <w:tcPr>
            <w:tcW w:w="704" w:type="dxa"/>
            <w:tcBorders>
              <w:top w:val="nil"/>
              <w:left w:val="single" w:sz="4" w:space="0" w:color="auto"/>
              <w:bottom w:val="nil"/>
            </w:tcBorders>
            <w:shd w:val="clear" w:color="auto" w:fill="auto"/>
            <w:noWrap/>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KOR</w:t>
            </w:r>
          </w:p>
        </w:tc>
        <w:tc>
          <w:tcPr>
            <w:tcW w:w="4394" w:type="dxa"/>
            <w:tcBorders>
              <w:top w:val="nil"/>
              <w:bottom w:val="nil"/>
              <w:right w:val="single" w:sz="4" w:space="0" w:color="auto"/>
            </w:tcBorders>
            <w:shd w:val="clear" w:color="auto" w:fill="auto"/>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Korea</w:t>
            </w:r>
          </w:p>
        </w:tc>
      </w:tr>
      <w:tr w:rsidR="0037683B" w:rsidRPr="0037683B" w:rsidTr="00C532A9">
        <w:trPr>
          <w:trHeight w:val="66"/>
        </w:trPr>
        <w:tc>
          <w:tcPr>
            <w:tcW w:w="704" w:type="dxa"/>
            <w:tcBorders>
              <w:top w:val="nil"/>
              <w:left w:val="single" w:sz="4" w:space="0" w:color="auto"/>
              <w:bottom w:val="nil"/>
            </w:tcBorders>
            <w:shd w:val="clear" w:color="auto" w:fill="D9D9D9" w:themeFill="background1" w:themeFillShade="D9"/>
            <w:noWrap/>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NZL</w:t>
            </w:r>
          </w:p>
        </w:tc>
        <w:tc>
          <w:tcPr>
            <w:tcW w:w="4394" w:type="dxa"/>
            <w:tcBorders>
              <w:top w:val="nil"/>
              <w:bottom w:val="nil"/>
              <w:right w:val="single" w:sz="4" w:space="0" w:color="auto"/>
            </w:tcBorders>
            <w:shd w:val="clear" w:color="auto" w:fill="D9D9D9" w:themeFill="background1" w:themeFillShade="D9"/>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New Zealand</w:t>
            </w:r>
          </w:p>
        </w:tc>
      </w:tr>
      <w:tr w:rsidR="0037683B" w:rsidRPr="0037683B" w:rsidTr="00C532A9">
        <w:trPr>
          <w:trHeight w:val="141"/>
        </w:trPr>
        <w:tc>
          <w:tcPr>
            <w:tcW w:w="704" w:type="dxa"/>
            <w:tcBorders>
              <w:top w:val="nil"/>
              <w:left w:val="single" w:sz="4" w:space="0" w:color="auto"/>
              <w:bottom w:val="single" w:sz="4" w:space="0" w:color="auto"/>
            </w:tcBorders>
            <w:shd w:val="clear" w:color="auto" w:fill="auto"/>
            <w:noWrap/>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SAS</w:t>
            </w:r>
          </w:p>
        </w:tc>
        <w:tc>
          <w:tcPr>
            <w:tcW w:w="4394" w:type="dxa"/>
            <w:tcBorders>
              <w:top w:val="nil"/>
              <w:bottom w:val="single" w:sz="4" w:space="0" w:color="auto"/>
              <w:right w:val="single" w:sz="4" w:space="0" w:color="auto"/>
            </w:tcBorders>
            <w:shd w:val="clear" w:color="auto" w:fill="auto"/>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Bangladesh, Nepal, Pakistan, Sri Lanka, Rest of South Asia</w:t>
            </w:r>
          </w:p>
        </w:tc>
      </w:tr>
      <w:tr w:rsidR="0037683B" w:rsidRPr="0037683B" w:rsidTr="00C532A9">
        <w:trPr>
          <w:trHeight w:val="56"/>
        </w:trPr>
        <w:tc>
          <w:tcPr>
            <w:tcW w:w="5098"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7683B" w:rsidRPr="0037683B" w:rsidRDefault="0037683B" w:rsidP="0037683B">
            <w:pPr>
              <w:spacing w:after="0" w:line="240" w:lineRule="auto"/>
              <w:rPr>
                <w:rFonts w:asciiTheme="majorHAnsi" w:eastAsia="Times New Roman" w:hAnsiTheme="majorHAnsi" w:cs="Times New Roman"/>
                <w:b/>
                <w:bCs/>
                <w:sz w:val="20"/>
                <w:szCs w:val="18"/>
                <w:lang w:val="en-US" w:eastAsia="en-AU"/>
              </w:rPr>
            </w:pPr>
            <w:r w:rsidRPr="0037683B">
              <w:rPr>
                <w:rFonts w:asciiTheme="majorHAnsi" w:eastAsia="Times New Roman" w:hAnsiTheme="majorHAnsi" w:cs="Times New Roman"/>
                <w:b/>
                <w:bCs/>
                <w:sz w:val="20"/>
                <w:szCs w:val="18"/>
                <w:lang w:val="en-US" w:eastAsia="en-AU"/>
              </w:rPr>
              <w:t xml:space="preserve">Asia-Pacific </w:t>
            </w:r>
          </w:p>
        </w:tc>
      </w:tr>
      <w:tr w:rsidR="0037683B" w:rsidRPr="0037683B" w:rsidTr="00C532A9">
        <w:trPr>
          <w:trHeight w:val="103"/>
        </w:trPr>
        <w:tc>
          <w:tcPr>
            <w:tcW w:w="704" w:type="dxa"/>
            <w:tcBorders>
              <w:top w:val="single" w:sz="4" w:space="0" w:color="auto"/>
              <w:left w:val="single" w:sz="4" w:space="0" w:color="auto"/>
              <w:bottom w:val="nil"/>
            </w:tcBorders>
            <w:shd w:val="clear" w:color="auto" w:fill="auto"/>
            <w:noWrap/>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CAN</w:t>
            </w:r>
          </w:p>
        </w:tc>
        <w:tc>
          <w:tcPr>
            <w:tcW w:w="4394" w:type="dxa"/>
            <w:tcBorders>
              <w:top w:val="single" w:sz="4" w:space="0" w:color="auto"/>
              <w:bottom w:val="nil"/>
              <w:right w:val="single" w:sz="4" w:space="0" w:color="auto"/>
            </w:tcBorders>
            <w:shd w:val="clear" w:color="auto" w:fill="auto"/>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Canada</w:t>
            </w:r>
          </w:p>
        </w:tc>
      </w:tr>
      <w:tr w:rsidR="0037683B" w:rsidRPr="0037683B" w:rsidTr="00C532A9">
        <w:trPr>
          <w:trHeight w:val="66"/>
        </w:trPr>
        <w:tc>
          <w:tcPr>
            <w:tcW w:w="704" w:type="dxa"/>
            <w:tcBorders>
              <w:top w:val="nil"/>
              <w:left w:val="single" w:sz="4" w:space="0" w:color="auto"/>
              <w:bottom w:val="nil"/>
            </w:tcBorders>
            <w:shd w:val="clear" w:color="auto" w:fill="D9D9D9" w:themeFill="background1" w:themeFillShade="D9"/>
            <w:noWrap/>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MEX</w:t>
            </w:r>
          </w:p>
        </w:tc>
        <w:tc>
          <w:tcPr>
            <w:tcW w:w="4394" w:type="dxa"/>
            <w:tcBorders>
              <w:top w:val="nil"/>
              <w:bottom w:val="nil"/>
              <w:right w:val="single" w:sz="4" w:space="0" w:color="auto"/>
            </w:tcBorders>
            <w:shd w:val="clear" w:color="auto" w:fill="D9D9D9" w:themeFill="background1" w:themeFillShade="D9"/>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 xml:space="preserve">Mexico </w:t>
            </w:r>
          </w:p>
        </w:tc>
      </w:tr>
      <w:tr w:rsidR="0037683B" w:rsidRPr="0037683B" w:rsidTr="00C532A9">
        <w:trPr>
          <w:trHeight w:val="90"/>
        </w:trPr>
        <w:tc>
          <w:tcPr>
            <w:tcW w:w="704" w:type="dxa"/>
            <w:tcBorders>
              <w:top w:val="nil"/>
              <w:left w:val="single" w:sz="4" w:space="0" w:color="auto"/>
              <w:bottom w:val="single" w:sz="4" w:space="0" w:color="auto"/>
            </w:tcBorders>
            <w:shd w:val="clear" w:color="auto" w:fill="auto"/>
            <w:noWrap/>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USA</w:t>
            </w:r>
          </w:p>
        </w:tc>
        <w:tc>
          <w:tcPr>
            <w:tcW w:w="4394" w:type="dxa"/>
            <w:tcBorders>
              <w:top w:val="nil"/>
              <w:bottom w:val="single" w:sz="4" w:space="0" w:color="auto"/>
              <w:right w:val="single" w:sz="4" w:space="0" w:color="auto"/>
            </w:tcBorders>
            <w:shd w:val="clear" w:color="auto" w:fill="auto"/>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USA</w:t>
            </w:r>
          </w:p>
        </w:tc>
      </w:tr>
      <w:tr w:rsidR="0037683B" w:rsidRPr="0037683B" w:rsidTr="00C532A9">
        <w:trPr>
          <w:trHeight w:val="56"/>
        </w:trPr>
        <w:tc>
          <w:tcPr>
            <w:tcW w:w="5098"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7683B" w:rsidRPr="0037683B" w:rsidRDefault="0037683B" w:rsidP="0037683B">
            <w:pPr>
              <w:spacing w:after="0" w:line="240" w:lineRule="auto"/>
              <w:rPr>
                <w:rFonts w:asciiTheme="majorHAnsi" w:eastAsia="Times New Roman" w:hAnsiTheme="majorHAnsi" w:cs="Times New Roman"/>
                <w:b/>
                <w:color w:val="000000"/>
                <w:sz w:val="18"/>
                <w:szCs w:val="18"/>
                <w:lang w:val="en-US" w:eastAsia="en-AU"/>
              </w:rPr>
            </w:pPr>
            <w:r w:rsidRPr="0037683B">
              <w:rPr>
                <w:rFonts w:asciiTheme="majorHAnsi" w:eastAsia="Times New Roman" w:hAnsiTheme="majorHAnsi" w:cs="Times New Roman"/>
                <w:b/>
                <w:color w:val="000000"/>
                <w:sz w:val="18"/>
                <w:szCs w:val="18"/>
                <w:lang w:val="en-US" w:eastAsia="en-AU"/>
              </w:rPr>
              <w:t>South and Central America</w:t>
            </w:r>
          </w:p>
        </w:tc>
      </w:tr>
      <w:tr w:rsidR="0037683B" w:rsidRPr="0037683B" w:rsidTr="00C532A9">
        <w:trPr>
          <w:trHeight w:val="186"/>
        </w:trPr>
        <w:tc>
          <w:tcPr>
            <w:tcW w:w="704" w:type="dxa"/>
            <w:tcBorders>
              <w:top w:val="single" w:sz="4" w:space="0" w:color="auto"/>
              <w:left w:val="single" w:sz="4" w:space="0" w:color="auto"/>
              <w:bottom w:val="nil"/>
            </w:tcBorders>
            <w:shd w:val="clear" w:color="auto" w:fill="auto"/>
            <w:noWrap/>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BRA</w:t>
            </w:r>
          </w:p>
        </w:tc>
        <w:tc>
          <w:tcPr>
            <w:tcW w:w="4394" w:type="dxa"/>
            <w:tcBorders>
              <w:top w:val="single" w:sz="4" w:space="0" w:color="auto"/>
              <w:bottom w:val="nil"/>
              <w:right w:val="single" w:sz="4" w:space="0" w:color="auto"/>
            </w:tcBorders>
            <w:shd w:val="clear" w:color="auto" w:fill="auto"/>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 xml:space="preserve">Brazil </w:t>
            </w:r>
          </w:p>
        </w:tc>
      </w:tr>
      <w:tr w:rsidR="0037683B" w:rsidRPr="0037683B" w:rsidTr="00C532A9">
        <w:trPr>
          <w:trHeight w:val="257"/>
        </w:trPr>
        <w:tc>
          <w:tcPr>
            <w:tcW w:w="704" w:type="dxa"/>
            <w:tcBorders>
              <w:top w:val="nil"/>
              <w:left w:val="single" w:sz="4" w:space="0" w:color="auto"/>
              <w:bottom w:val="nil"/>
            </w:tcBorders>
            <w:shd w:val="clear" w:color="auto" w:fill="D9D9D9" w:themeFill="background1" w:themeFillShade="D9"/>
            <w:noWrap/>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CAM</w:t>
            </w:r>
          </w:p>
        </w:tc>
        <w:tc>
          <w:tcPr>
            <w:tcW w:w="4394" w:type="dxa"/>
            <w:tcBorders>
              <w:top w:val="nil"/>
              <w:bottom w:val="nil"/>
              <w:right w:val="single" w:sz="4" w:space="0" w:color="auto"/>
            </w:tcBorders>
            <w:shd w:val="clear" w:color="auto" w:fill="D9D9D9" w:themeFill="background1" w:themeFillShade="D9"/>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Belize, Bermuda, Caribbean, Costa Rica, El Salvador, Guatemala, Honduras, Nicaragua, Panama</w:t>
            </w:r>
          </w:p>
        </w:tc>
      </w:tr>
      <w:tr w:rsidR="0037683B" w:rsidRPr="0037683B" w:rsidTr="00C532A9">
        <w:trPr>
          <w:trHeight w:val="300"/>
        </w:trPr>
        <w:tc>
          <w:tcPr>
            <w:tcW w:w="704" w:type="dxa"/>
            <w:tcBorders>
              <w:top w:val="nil"/>
              <w:left w:val="single" w:sz="4" w:space="0" w:color="auto"/>
              <w:bottom w:val="nil"/>
            </w:tcBorders>
            <w:shd w:val="clear" w:color="auto" w:fill="auto"/>
            <w:noWrap/>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NSA</w:t>
            </w:r>
          </w:p>
        </w:tc>
        <w:tc>
          <w:tcPr>
            <w:tcW w:w="4394" w:type="dxa"/>
            <w:tcBorders>
              <w:top w:val="nil"/>
              <w:bottom w:val="nil"/>
              <w:right w:val="single" w:sz="4" w:space="0" w:color="auto"/>
            </w:tcBorders>
            <w:shd w:val="clear" w:color="auto" w:fill="auto"/>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Bolivia, Colombia, Ecuador, Paraguay, Peru, Venezuela, Rest of South America</w:t>
            </w:r>
          </w:p>
        </w:tc>
      </w:tr>
      <w:tr w:rsidR="0037683B" w:rsidRPr="0037683B" w:rsidTr="00C532A9">
        <w:trPr>
          <w:trHeight w:val="300"/>
        </w:trPr>
        <w:tc>
          <w:tcPr>
            <w:tcW w:w="704" w:type="dxa"/>
            <w:tcBorders>
              <w:top w:val="nil"/>
              <w:left w:val="single" w:sz="4" w:space="0" w:color="auto"/>
              <w:bottom w:val="single" w:sz="4" w:space="0" w:color="auto"/>
            </w:tcBorders>
            <w:shd w:val="clear" w:color="auto" w:fill="D9D9D9" w:themeFill="background1" w:themeFillShade="D9"/>
            <w:noWrap/>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SSA</w:t>
            </w:r>
          </w:p>
        </w:tc>
        <w:tc>
          <w:tcPr>
            <w:tcW w:w="4394" w:type="dxa"/>
            <w:tcBorders>
              <w:top w:val="nil"/>
              <w:bottom w:val="single" w:sz="4" w:space="0" w:color="auto"/>
              <w:right w:val="single" w:sz="4" w:space="0" w:color="auto"/>
            </w:tcBorders>
            <w:shd w:val="clear" w:color="auto" w:fill="D9D9D9" w:themeFill="background1" w:themeFillShade="D9"/>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Argentina, Chile, Uruguay</w:t>
            </w:r>
          </w:p>
        </w:tc>
      </w:tr>
      <w:tr w:rsidR="0037683B" w:rsidRPr="0037683B" w:rsidTr="00C532A9">
        <w:trPr>
          <w:trHeight w:val="182"/>
        </w:trPr>
        <w:tc>
          <w:tcPr>
            <w:tcW w:w="5098"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noWrap/>
          </w:tcPr>
          <w:p w:rsidR="0037683B" w:rsidRPr="0037683B" w:rsidRDefault="0037683B" w:rsidP="0037683B">
            <w:pPr>
              <w:spacing w:after="0" w:line="240" w:lineRule="auto"/>
              <w:rPr>
                <w:rFonts w:asciiTheme="majorHAnsi" w:eastAsia="Times New Roman" w:hAnsiTheme="majorHAnsi" w:cs="Times New Roman"/>
                <w:b/>
                <w:color w:val="000000"/>
                <w:sz w:val="18"/>
                <w:szCs w:val="18"/>
                <w:lang w:val="en-US" w:eastAsia="en-AU"/>
              </w:rPr>
            </w:pPr>
            <w:r w:rsidRPr="0037683B">
              <w:rPr>
                <w:rFonts w:asciiTheme="majorHAnsi" w:eastAsia="Times New Roman" w:hAnsiTheme="majorHAnsi" w:cs="Times New Roman"/>
                <w:b/>
                <w:color w:val="000000"/>
                <w:sz w:val="18"/>
                <w:szCs w:val="18"/>
                <w:lang w:val="en-US" w:eastAsia="en-AU"/>
              </w:rPr>
              <w:t>Europe</w:t>
            </w:r>
          </w:p>
        </w:tc>
      </w:tr>
      <w:tr w:rsidR="0037683B" w:rsidRPr="0037683B" w:rsidTr="00C532A9">
        <w:trPr>
          <w:trHeight w:val="600"/>
        </w:trPr>
        <w:tc>
          <w:tcPr>
            <w:tcW w:w="704" w:type="dxa"/>
            <w:tcBorders>
              <w:top w:val="single" w:sz="4" w:space="0" w:color="auto"/>
              <w:left w:val="single" w:sz="4" w:space="0" w:color="auto"/>
              <w:bottom w:val="nil"/>
            </w:tcBorders>
            <w:shd w:val="clear" w:color="auto" w:fill="auto"/>
            <w:noWrap/>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CEU</w:t>
            </w:r>
          </w:p>
        </w:tc>
        <w:tc>
          <w:tcPr>
            <w:tcW w:w="4394" w:type="dxa"/>
            <w:tcBorders>
              <w:top w:val="single" w:sz="4" w:space="0" w:color="auto"/>
              <w:bottom w:val="nil"/>
              <w:right w:val="single" w:sz="4" w:space="0" w:color="auto"/>
            </w:tcBorders>
            <w:shd w:val="clear" w:color="auto" w:fill="auto"/>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Bulgaria, Croatia, Cyprus, Czech Republic, Estonia, Hungary, Latvia, Lithuania, Malta, Poland, Romania, Slovakia, Slovenia, Turkey</w:t>
            </w:r>
          </w:p>
        </w:tc>
      </w:tr>
      <w:tr w:rsidR="0037683B" w:rsidRPr="0037683B" w:rsidTr="00C532A9">
        <w:trPr>
          <w:trHeight w:val="66"/>
        </w:trPr>
        <w:tc>
          <w:tcPr>
            <w:tcW w:w="704" w:type="dxa"/>
            <w:tcBorders>
              <w:top w:val="nil"/>
              <w:left w:val="single" w:sz="4" w:space="0" w:color="auto"/>
              <w:bottom w:val="nil"/>
            </w:tcBorders>
            <w:shd w:val="clear" w:color="000000" w:fill="D9D9D9"/>
            <w:noWrap/>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FRA</w:t>
            </w:r>
          </w:p>
        </w:tc>
        <w:tc>
          <w:tcPr>
            <w:tcW w:w="4394" w:type="dxa"/>
            <w:tcBorders>
              <w:top w:val="nil"/>
              <w:bottom w:val="nil"/>
              <w:right w:val="single" w:sz="4" w:space="0" w:color="auto"/>
            </w:tcBorders>
            <w:shd w:val="clear" w:color="000000" w:fill="D9D9D9"/>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France</w:t>
            </w:r>
          </w:p>
        </w:tc>
      </w:tr>
      <w:tr w:rsidR="0037683B" w:rsidRPr="0037683B" w:rsidTr="00C532A9">
        <w:trPr>
          <w:trHeight w:val="210"/>
        </w:trPr>
        <w:tc>
          <w:tcPr>
            <w:tcW w:w="704" w:type="dxa"/>
            <w:tcBorders>
              <w:top w:val="nil"/>
              <w:left w:val="single" w:sz="4" w:space="0" w:color="auto"/>
              <w:bottom w:val="nil"/>
            </w:tcBorders>
            <w:shd w:val="clear" w:color="auto" w:fill="auto"/>
            <w:noWrap/>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DEU</w:t>
            </w:r>
          </w:p>
        </w:tc>
        <w:tc>
          <w:tcPr>
            <w:tcW w:w="4394" w:type="dxa"/>
            <w:tcBorders>
              <w:top w:val="nil"/>
              <w:bottom w:val="nil"/>
              <w:right w:val="single" w:sz="4" w:space="0" w:color="auto"/>
            </w:tcBorders>
            <w:shd w:val="clear" w:color="auto" w:fill="auto"/>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Germany</w:t>
            </w:r>
          </w:p>
        </w:tc>
      </w:tr>
      <w:tr w:rsidR="0037683B" w:rsidRPr="0037683B" w:rsidTr="00C532A9">
        <w:trPr>
          <w:trHeight w:val="129"/>
        </w:trPr>
        <w:tc>
          <w:tcPr>
            <w:tcW w:w="704" w:type="dxa"/>
            <w:tcBorders>
              <w:top w:val="nil"/>
              <w:left w:val="single" w:sz="4" w:space="0" w:color="auto"/>
              <w:bottom w:val="nil"/>
            </w:tcBorders>
            <w:shd w:val="clear" w:color="000000" w:fill="D9D9D9"/>
            <w:noWrap/>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ITA</w:t>
            </w:r>
          </w:p>
        </w:tc>
        <w:tc>
          <w:tcPr>
            <w:tcW w:w="4394" w:type="dxa"/>
            <w:tcBorders>
              <w:top w:val="nil"/>
              <w:bottom w:val="nil"/>
              <w:right w:val="single" w:sz="4" w:space="0" w:color="auto"/>
            </w:tcBorders>
            <w:shd w:val="clear" w:color="000000" w:fill="D9D9D9"/>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Italy</w:t>
            </w:r>
          </w:p>
        </w:tc>
      </w:tr>
      <w:tr w:rsidR="0037683B" w:rsidRPr="0037683B" w:rsidTr="00C532A9">
        <w:trPr>
          <w:trHeight w:val="66"/>
        </w:trPr>
        <w:tc>
          <w:tcPr>
            <w:tcW w:w="704" w:type="dxa"/>
            <w:tcBorders>
              <w:top w:val="nil"/>
              <w:left w:val="single" w:sz="4" w:space="0" w:color="auto"/>
              <w:bottom w:val="nil"/>
            </w:tcBorders>
            <w:shd w:val="clear" w:color="auto" w:fill="auto"/>
            <w:noWrap/>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GBR</w:t>
            </w:r>
          </w:p>
        </w:tc>
        <w:tc>
          <w:tcPr>
            <w:tcW w:w="4394" w:type="dxa"/>
            <w:tcBorders>
              <w:top w:val="nil"/>
              <w:bottom w:val="nil"/>
              <w:right w:val="single" w:sz="4" w:space="0" w:color="auto"/>
            </w:tcBorders>
            <w:shd w:val="clear" w:color="auto" w:fill="auto"/>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United Kingdom</w:t>
            </w:r>
          </w:p>
        </w:tc>
      </w:tr>
      <w:tr w:rsidR="0037683B" w:rsidRPr="005149BE" w:rsidTr="00C532A9">
        <w:trPr>
          <w:trHeight w:val="600"/>
        </w:trPr>
        <w:tc>
          <w:tcPr>
            <w:tcW w:w="704" w:type="dxa"/>
            <w:tcBorders>
              <w:top w:val="nil"/>
              <w:left w:val="single" w:sz="4" w:space="0" w:color="auto"/>
              <w:bottom w:val="single" w:sz="4" w:space="0" w:color="auto"/>
            </w:tcBorders>
            <w:shd w:val="clear" w:color="000000" w:fill="D9D9D9"/>
            <w:noWrap/>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WEU</w:t>
            </w:r>
          </w:p>
        </w:tc>
        <w:tc>
          <w:tcPr>
            <w:tcW w:w="4394" w:type="dxa"/>
            <w:tcBorders>
              <w:top w:val="nil"/>
              <w:bottom w:val="single" w:sz="4" w:space="0" w:color="auto"/>
              <w:right w:val="single" w:sz="4" w:space="0" w:color="auto"/>
            </w:tcBorders>
            <w:shd w:val="clear" w:color="000000" w:fill="D9D9D9"/>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de-AT" w:eastAsia="en-AU"/>
              </w:rPr>
            </w:pPr>
            <w:r w:rsidRPr="0037683B">
              <w:rPr>
                <w:rFonts w:asciiTheme="majorHAnsi" w:eastAsia="Times New Roman" w:hAnsiTheme="majorHAnsi" w:cs="Times New Roman"/>
                <w:color w:val="000000"/>
                <w:sz w:val="18"/>
                <w:szCs w:val="18"/>
                <w:lang w:val="de-AT" w:eastAsia="en-AU"/>
              </w:rPr>
              <w:t>Austria, Belgium, Denmark, Finland, Greece, Iceland, Ireland, Liechtenstein, Luxembourg, Netherlands, Norway, Portugal, Spain, Sweden, Switzerland</w:t>
            </w:r>
          </w:p>
        </w:tc>
      </w:tr>
      <w:tr w:rsidR="0037683B" w:rsidRPr="0037683B" w:rsidTr="00C532A9">
        <w:trPr>
          <w:trHeight w:val="98"/>
        </w:trPr>
        <w:tc>
          <w:tcPr>
            <w:tcW w:w="5098"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noWrap/>
          </w:tcPr>
          <w:p w:rsidR="0037683B" w:rsidRPr="0037683B" w:rsidRDefault="0037683B" w:rsidP="0037683B">
            <w:pPr>
              <w:spacing w:after="0" w:line="240" w:lineRule="auto"/>
              <w:rPr>
                <w:rFonts w:asciiTheme="majorHAnsi" w:eastAsia="Times New Roman" w:hAnsiTheme="majorHAnsi" w:cs="Times New Roman"/>
                <w:b/>
                <w:color w:val="000000"/>
                <w:sz w:val="18"/>
                <w:szCs w:val="18"/>
                <w:lang w:val="en-US" w:eastAsia="en-AU"/>
              </w:rPr>
            </w:pPr>
            <w:r w:rsidRPr="0037683B">
              <w:rPr>
                <w:rFonts w:asciiTheme="majorHAnsi" w:eastAsia="Times New Roman" w:hAnsiTheme="majorHAnsi" w:cs="Times New Roman"/>
                <w:b/>
                <w:color w:val="000000"/>
                <w:sz w:val="18"/>
                <w:szCs w:val="18"/>
                <w:lang w:val="en-US" w:eastAsia="en-AU"/>
              </w:rPr>
              <w:t>West Asia</w:t>
            </w:r>
          </w:p>
        </w:tc>
      </w:tr>
      <w:tr w:rsidR="0037683B" w:rsidRPr="0037683B" w:rsidTr="00C532A9">
        <w:trPr>
          <w:trHeight w:val="900"/>
        </w:trPr>
        <w:tc>
          <w:tcPr>
            <w:tcW w:w="704" w:type="dxa"/>
            <w:tcBorders>
              <w:top w:val="nil"/>
              <w:left w:val="single" w:sz="4" w:space="0" w:color="auto"/>
              <w:bottom w:val="nil"/>
            </w:tcBorders>
            <w:shd w:val="clear" w:color="auto" w:fill="auto"/>
            <w:noWrap/>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EEW</w:t>
            </w:r>
          </w:p>
        </w:tc>
        <w:tc>
          <w:tcPr>
            <w:tcW w:w="4394" w:type="dxa"/>
            <w:tcBorders>
              <w:top w:val="nil"/>
              <w:bottom w:val="nil"/>
              <w:right w:val="single" w:sz="4" w:space="0" w:color="auto"/>
            </w:tcBorders>
            <w:shd w:val="clear" w:color="auto" w:fill="auto"/>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 xml:space="preserve">Albania, Armenia, Azerbaijan, Bahrain, Belarus, Georgia, Iran, Iraq, Israel, Jordan, Kazakhstan, Kyrgyzstan, Lebanon, Moldova, Oman, Palestinian Qatar, Syria, Saudi Arabia, UAE, Ukraine, Yemen, Rest of FSU, Rest of W. Asia </w:t>
            </w:r>
          </w:p>
        </w:tc>
      </w:tr>
      <w:tr w:rsidR="0037683B" w:rsidRPr="0037683B" w:rsidTr="00C532A9">
        <w:trPr>
          <w:trHeight w:val="66"/>
        </w:trPr>
        <w:tc>
          <w:tcPr>
            <w:tcW w:w="704" w:type="dxa"/>
            <w:tcBorders>
              <w:top w:val="nil"/>
              <w:left w:val="single" w:sz="4" w:space="0" w:color="auto"/>
              <w:bottom w:val="single" w:sz="4" w:space="0" w:color="auto"/>
            </w:tcBorders>
            <w:shd w:val="clear" w:color="auto" w:fill="D9D9D9" w:themeFill="background1" w:themeFillShade="D9"/>
            <w:noWrap/>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RUS</w:t>
            </w:r>
          </w:p>
        </w:tc>
        <w:tc>
          <w:tcPr>
            <w:tcW w:w="4394" w:type="dxa"/>
            <w:tcBorders>
              <w:top w:val="nil"/>
              <w:bottom w:val="single" w:sz="4" w:space="0" w:color="auto"/>
              <w:right w:val="single" w:sz="4" w:space="0" w:color="auto"/>
            </w:tcBorders>
            <w:shd w:val="clear" w:color="auto" w:fill="D9D9D9" w:themeFill="background1" w:themeFillShade="D9"/>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Russian Federation</w:t>
            </w:r>
          </w:p>
        </w:tc>
      </w:tr>
      <w:tr w:rsidR="0037683B" w:rsidRPr="0037683B" w:rsidTr="00C532A9">
        <w:trPr>
          <w:trHeight w:val="56"/>
        </w:trPr>
        <w:tc>
          <w:tcPr>
            <w:tcW w:w="5098"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noWrap/>
          </w:tcPr>
          <w:p w:rsidR="0037683B" w:rsidRPr="0037683B" w:rsidRDefault="0037683B" w:rsidP="0037683B">
            <w:pPr>
              <w:spacing w:after="0" w:line="240" w:lineRule="auto"/>
              <w:rPr>
                <w:rFonts w:asciiTheme="majorHAnsi" w:eastAsia="Times New Roman" w:hAnsiTheme="majorHAnsi" w:cs="Times New Roman"/>
                <w:b/>
                <w:color w:val="000000"/>
                <w:sz w:val="18"/>
                <w:szCs w:val="18"/>
                <w:lang w:val="en-US" w:eastAsia="en-AU"/>
              </w:rPr>
            </w:pPr>
            <w:r w:rsidRPr="0037683B">
              <w:rPr>
                <w:rFonts w:asciiTheme="majorHAnsi" w:eastAsia="Times New Roman" w:hAnsiTheme="majorHAnsi" w:cs="Times New Roman"/>
                <w:b/>
                <w:color w:val="000000"/>
                <w:sz w:val="18"/>
                <w:szCs w:val="18"/>
                <w:lang w:val="en-US" w:eastAsia="en-AU"/>
              </w:rPr>
              <w:t>Africa</w:t>
            </w:r>
          </w:p>
        </w:tc>
      </w:tr>
      <w:tr w:rsidR="0037683B" w:rsidRPr="0037683B" w:rsidTr="00C532A9">
        <w:trPr>
          <w:trHeight w:val="170"/>
        </w:trPr>
        <w:tc>
          <w:tcPr>
            <w:tcW w:w="704" w:type="dxa"/>
            <w:tcBorders>
              <w:top w:val="single" w:sz="4" w:space="0" w:color="auto"/>
              <w:left w:val="single" w:sz="4" w:space="0" w:color="auto"/>
              <w:bottom w:val="nil"/>
            </w:tcBorders>
            <w:shd w:val="clear" w:color="auto" w:fill="auto"/>
            <w:noWrap/>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CAF</w:t>
            </w:r>
          </w:p>
        </w:tc>
        <w:tc>
          <w:tcPr>
            <w:tcW w:w="4394" w:type="dxa"/>
            <w:tcBorders>
              <w:top w:val="single" w:sz="4" w:space="0" w:color="auto"/>
              <w:bottom w:val="nil"/>
              <w:right w:val="single" w:sz="4" w:space="0" w:color="auto"/>
            </w:tcBorders>
            <w:shd w:val="clear" w:color="auto" w:fill="auto"/>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Cameroon, Kenya, Nigeria, Tanzania, Uganda, Rest of Eastern Africa, Other Central Africa</w:t>
            </w:r>
          </w:p>
        </w:tc>
      </w:tr>
      <w:tr w:rsidR="0037683B" w:rsidRPr="0037683B" w:rsidTr="00C532A9">
        <w:trPr>
          <w:trHeight w:val="600"/>
        </w:trPr>
        <w:tc>
          <w:tcPr>
            <w:tcW w:w="704" w:type="dxa"/>
            <w:tcBorders>
              <w:top w:val="nil"/>
              <w:left w:val="single" w:sz="4" w:space="0" w:color="auto"/>
              <w:bottom w:val="nil"/>
            </w:tcBorders>
            <w:shd w:val="clear" w:color="000000" w:fill="D9D9D9"/>
            <w:noWrap/>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NWA</w:t>
            </w:r>
          </w:p>
        </w:tc>
        <w:tc>
          <w:tcPr>
            <w:tcW w:w="4394" w:type="dxa"/>
            <w:tcBorders>
              <w:top w:val="nil"/>
              <w:bottom w:val="nil"/>
              <w:right w:val="single" w:sz="4" w:space="0" w:color="auto"/>
            </w:tcBorders>
            <w:shd w:val="clear" w:color="000000" w:fill="D9D9D9"/>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Algeria, Cote D'Ivoire, Egypt, Ethiopia, Ghana, Kuwait, Libya, Morocco, Tunisia, Rest of North Africa, Rest of Western Africa</w:t>
            </w:r>
          </w:p>
        </w:tc>
      </w:tr>
      <w:tr w:rsidR="0037683B" w:rsidRPr="0037683B" w:rsidTr="00C532A9">
        <w:trPr>
          <w:trHeight w:val="600"/>
        </w:trPr>
        <w:tc>
          <w:tcPr>
            <w:tcW w:w="704" w:type="dxa"/>
            <w:tcBorders>
              <w:top w:val="nil"/>
              <w:left w:val="single" w:sz="4" w:space="0" w:color="auto"/>
              <w:bottom w:val="nil"/>
            </w:tcBorders>
            <w:shd w:val="clear" w:color="auto" w:fill="auto"/>
            <w:noWrap/>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OAF</w:t>
            </w:r>
          </w:p>
        </w:tc>
        <w:tc>
          <w:tcPr>
            <w:tcW w:w="4394" w:type="dxa"/>
            <w:tcBorders>
              <w:top w:val="nil"/>
              <w:bottom w:val="nil"/>
              <w:right w:val="single" w:sz="4" w:space="0" w:color="auto"/>
            </w:tcBorders>
            <w:shd w:val="clear" w:color="auto" w:fill="auto"/>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Botswana, Lesotho/Swaziland, Madagascar, Malawi, Mauritius, Mozambique, Namibia, Senegal, Zambia, Zimbabwe</w:t>
            </w:r>
          </w:p>
        </w:tc>
      </w:tr>
      <w:tr w:rsidR="0037683B" w:rsidRPr="0037683B" w:rsidTr="00C532A9">
        <w:trPr>
          <w:trHeight w:val="70"/>
        </w:trPr>
        <w:tc>
          <w:tcPr>
            <w:tcW w:w="704" w:type="dxa"/>
            <w:tcBorders>
              <w:top w:val="nil"/>
              <w:left w:val="single" w:sz="4" w:space="0" w:color="auto"/>
              <w:bottom w:val="single" w:sz="4" w:space="0" w:color="auto"/>
            </w:tcBorders>
            <w:shd w:val="clear" w:color="000000" w:fill="D9D9D9"/>
            <w:noWrap/>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SAF</w:t>
            </w:r>
          </w:p>
        </w:tc>
        <w:tc>
          <w:tcPr>
            <w:tcW w:w="4394" w:type="dxa"/>
            <w:tcBorders>
              <w:top w:val="nil"/>
              <w:bottom w:val="single" w:sz="4" w:space="0" w:color="auto"/>
              <w:right w:val="single" w:sz="4" w:space="0" w:color="auto"/>
            </w:tcBorders>
            <w:shd w:val="clear" w:color="000000" w:fill="D9D9D9"/>
            <w:hideMark/>
          </w:tcPr>
          <w:p w:rsidR="0037683B" w:rsidRPr="0037683B" w:rsidRDefault="0037683B" w:rsidP="0037683B">
            <w:pPr>
              <w:spacing w:after="0" w:line="240" w:lineRule="auto"/>
              <w:rPr>
                <w:rFonts w:asciiTheme="majorHAnsi" w:eastAsia="Times New Roman" w:hAnsiTheme="majorHAnsi" w:cs="Times New Roman"/>
                <w:color w:val="000000"/>
                <w:sz w:val="18"/>
                <w:szCs w:val="18"/>
                <w:lang w:val="en-US" w:eastAsia="en-AU"/>
              </w:rPr>
            </w:pPr>
            <w:r w:rsidRPr="0037683B">
              <w:rPr>
                <w:rFonts w:asciiTheme="majorHAnsi" w:eastAsia="Times New Roman" w:hAnsiTheme="majorHAnsi" w:cs="Times New Roman"/>
                <w:color w:val="000000"/>
                <w:sz w:val="18"/>
                <w:szCs w:val="18"/>
                <w:lang w:val="en-US" w:eastAsia="en-AU"/>
              </w:rPr>
              <w:t>South Africa</w:t>
            </w:r>
          </w:p>
        </w:tc>
      </w:tr>
    </w:tbl>
    <w:p w:rsidR="0037683B" w:rsidRPr="0037683B" w:rsidRDefault="0037683B" w:rsidP="0037683B">
      <w:pPr>
        <w:rPr>
          <w:lang w:val="en-US"/>
        </w:rPr>
      </w:pPr>
    </w:p>
    <w:p w:rsidR="0037683B" w:rsidRPr="0037683B" w:rsidRDefault="0037683B" w:rsidP="0037683B">
      <w:pPr>
        <w:rPr>
          <w:lang w:val="en-US"/>
        </w:rPr>
      </w:pPr>
    </w:p>
    <w:p w:rsidR="0037683B" w:rsidRPr="0037683B" w:rsidRDefault="0037683B" w:rsidP="0037683B">
      <w:pPr>
        <w:keepNext/>
        <w:keepLines/>
        <w:spacing w:before="120" w:after="120" w:line="264" w:lineRule="auto"/>
        <w:ind w:left="567" w:hanging="567"/>
        <w:outlineLvl w:val="3"/>
        <w:rPr>
          <w:rFonts w:eastAsiaTheme="majorEastAsia" w:cstheme="majorBidi"/>
          <w:i/>
          <w:iCs/>
          <w:color w:val="0070C0"/>
          <w:sz w:val="24"/>
          <w:lang w:val="en-US"/>
        </w:rPr>
      </w:pPr>
      <w:r w:rsidRPr="0037683B">
        <w:rPr>
          <w:rFonts w:eastAsiaTheme="majorEastAsia" w:cstheme="majorBidi"/>
          <w:i/>
          <w:iCs/>
          <w:color w:val="0070C0"/>
          <w:sz w:val="24"/>
          <w:lang w:val="en-US"/>
        </w:rPr>
        <w:lastRenderedPageBreak/>
        <w:t>Global results and group of 7 economies</w:t>
      </w:r>
    </w:p>
    <w:p w:rsidR="0037683B" w:rsidRPr="0037683B" w:rsidRDefault="0037683B" w:rsidP="0037683B">
      <w:pPr>
        <w:rPr>
          <w:lang w:val="en-US"/>
        </w:rPr>
      </w:pPr>
      <w:r w:rsidRPr="0037683B">
        <w:rPr>
          <w:lang w:val="en-US"/>
        </w:rPr>
        <w:t>Three scenarios are shown for the global and the group of 7 (G7) economies natural resource use, GHG emissions and economic activity.</w:t>
      </w:r>
    </w:p>
    <w:p w:rsidR="0037683B" w:rsidRPr="0037683B" w:rsidRDefault="0037683B" w:rsidP="0037683B">
      <w:pPr>
        <w:spacing w:after="120" w:line="264" w:lineRule="auto"/>
        <w:rPr>
          <w:rFonts w:cs="Times New Roman"/>
          <w:color w:val="0070C0"/>
          <w:szCs w:val="24"/>
        </w:rPr>
      </w:pPr>
      <w:r w:rsidRPr="0037683B">
        <w:rPr>
          <w:rFonts w:cs="Times New Roman"/>
          <w:color w:val="0070C0"/>
          <w:szCs w:val="24"/>
        </w:rPr>
        <w:t xml:space="preserve">Figure SI-3:  Global and G7 projected resource use, economic activity, and greenhouse gas emissions under existing trends, resource efficiency policies, and resource efficiency plus a 2°C climate pathway, 2010-2050.  </w:t>
      </w:r>
    </w:p>
    <w:p w:rsidR="0037683B" w:rsidRPr="0037683B" w:rsidRDefault="0037683B" w:rsidP="0037683B">
      <w:r w:rsidRPr="0037683B">
        <w:rPr>
          <w:noProof/>
          <w:lang w:eastAsia="en-AU"/>
        </w:rPr>
        <w:drawing>
          <wp:inline distT="0" distB="0" distL="0" distR="0" wp14:anchorId="0CEFF23E" wp14:editId="6C2CE3A7">
            <wp:extent cx="5759450" cy="3003233"/>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9450" cy="3003233"/>
                    </a:xfrm>
                    <a:prstGeom prst="rect">
                      <a:avLst/>
                    </a:prstGeom>
                    <a:noFill/>
                    <a:ln>
                      <a:noFill/>
                    </a:ln>
                  </pic:spPr>
                </pic:pic>
              </a:graphicData>
            </a:graphic>
          </wp:inline>
        </w:drawing>
      </w:r>
    </w:p>
    <w:p w:rsidR="00BD45B2" w:rsidRDefault="00BD45B2" w:rsidP="0037683B"/>
    <w:sectPr w:rsidR="00BD45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EC9" w:rsidRDefault="00670421">
      <w:pPr>
        <w:spacing w:after="0" w:line="240" w:lineRule="auto"/>
      </w:pPr>
      <w:r>
        <w:separator/>
      </w:r>
    </w:p>
  </w:endnote>
  <w:endnote w:type="continuationSeparator" w:id="0">
    <w:p w:rsidR="005E6EC9" w:rsidRDefault="00670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EC9" w:rsidRDefault="00670421">
      <w:pPr>
        <w:spacing w:after="0" w:line="240" w:lineRule="auto"/>
      </w:pPr>
      <w:r>
        <w:separator/>
      </w:r>
    </w:p>
  </w:footnote>
  <w:footnote w:type="continuationSeparator" w:id="0">
    <w:p w:rsidR="005E6EC9" w:rsidRDefault="006704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83B"/>
    <w:rsid w:val="0037683B"/>
    <w:rsid w:val="005149BE"/>
    <w:rsid w:val="005E6EC9"/>
    <w:rsid w:val="00670421"/>
    <w:rsid w:val="007B74EC"/>
    <w:rsid w:val="00B1745F"/>
    <w:rsid w:val="00BD45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23368-4AC0-417B-A3D3-DF550828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83B"/>
  </w:style>
  <w:style w:type="paragraph" w:styleId="Footer">
    <w:name w:val="footer"/>
    <w:basedOn w:val="Normal"/>
    <w:link w:val="FooterChar"/>
    <w:uiPriority w:val="99"/>
    <w:unhideWhenUsed/>
    <w:rsid w:val="00376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Schandl</dc:creator>
  <cp:keywords/>
  <dc:description/>
  <cp:lastModifiedBy>Schandl, Heinz (L&amp;W, Black Mountain)</cp:lastModifiedBy>
  <cp:revision>4</cp:revision>
  <dcterms:created xsi:type="dcterms:W3CDTF">2016-11-11T02:40:00Z</dcterms:created>
  <dcterms:modified xsi:type="dcterms:W3CDTF">2016-11-11T05:29:00Z</dcterms:modified>
</cp:coreProperties>
</file>