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4177" w14:textId="77777777" w:rsidR="000755FE" w:rsidRPr="000755FE" w:rsidRDefault="000755FE" w:rsidP="000755FE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2E74B5"/>
          <w:sz w:val="48"/>
          <w:szCs w:val="48"/>
        </w:rPr>
      </w:pPr>
      <w:r w:rsidRPr="000755FE">
        <w:rPr>
          <w:rFonts w:ascii="Times New Roman" w:eastAsia="Times New Roman" w:hAnsi="Times New Roman" w:cs="Times New Roman"/>
          <w:color w:val="2E74B5"/>
          <w:sz w:val="48"/>
          <w:szCs w:val="48"/>
        </w:rPr>
        <w:t>Supplementary Information</w:t>
      </w:r>
    </w:p>
    <w:p w14:paraId="31D74028" w14:textId="77777777" w:rsidR="000755FE" w:rsidRPr="000755FE" w:rsidRDefault="000755FE" w:rsidP="000755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C514C7" w14:textId="6C46968C" w:rsidR="000755FE" w:rsidRPr="000755FE" w:rsidRDefault="00EF3B4B" w:rsidP="000755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Sectoral assessment of green</w:t>
      </w:r>
      <w:r w:rsidRPr="000755FE">
        <w:rPr>
          <w:rFonts w:ascii="Times New Roman" w:eastAsia="Times New Roman" w:hAnsi="Times New Roman" w:cs="Times New Roman"/>
          <w:b/>
          <w:sz w:val="28"/>
          <w:szCs w:val="28"/>
        </w:rPr>
        <w:t>house</w:t>
      </w:r>
      <w:r w:rsidR="000755FE" w:rsidRPr="000755FE">
        <w:rPr>
          <w:rFonts w:ascii="Times New Roman" w:eastAsia="Times New Roman" w:hAnsi="Times New Roman" w:cs="Times New Roman"/>
          <w:b/>
          <w:sz w:val="28"/>
          <w:szCs w:val="28"/>
        </w:rPr>
        <w:t xml:space="preserve"> gas emission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0755FE" w:rsidRPr="000755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 </w:t>
      </w:r>
      <w:r w:rsidR="006B2EEB">
        <w:rPr>
          <w:rFonts w:ascii="Times New Roman" w:eastAsia="Times New Roman" w:hAnsi="Times New Roman" w:cs="Times New Roman"/>
          <w:b/>
          <w:sz w:val="28"/>
          <w:szCs w:val="28"/>
        </w:rPr>
        <w:t>Pakistan</w:t>
      </w:r>
      <w:bookmarkStart w:id="0" w:name="_GoBack"/>
      <w:bookmarkEnd w:id="0"/>
    </w:p>
    <w:p w14:paraId="08BACC65" w14:textId="77777777" w:rsidR="000755FE" w:rsidRPr="000755FE" w:rsidRDefault="000755FE" w:rsidP="000755FE">
      <w:pPr>
        <w:spacing w:after="0"/>
        <w:rPr>
          <w:rFonts w:ascii="Times New Roman" w:eastAsia="Times New Roman" w:hAnsi="Times New Roman" w:cs="Times New Roman"/>
        </w:rPr>
      </w:pPr>
    </w:p>
    <w:p w14:paraId="013FF7B7" w14:textId="77777777" w:rsidR="000755FE" w:rsidRPr="000755FE" w:rsidRDefault="000755FE" w:rsidP="000755FE">
      <w:pPr>
        <w:spacing w:after="0"/>
        <w:rPr>
          <w:rFonts w:ascii="Times New Roman" w:eastAsia="Times New Roman" w:hAnsi="Times New Roman" w:cs="Times New Roman"/>
          <w:vertAlign w:val="superscript"/>
        </w:rPr>
      </w:pPr>
      <w:r w:rsidRPr="000755FE">
        <w:rPr>
          <w:rFonts w:ascii="Times New Roman" w:eastAsia="Times New Roman" w:hAnsi="Times New Roman" w:cs="Times New Roman"/>
        </w:rPr>
        <w:t>Kaleem Anwar Mir</w:t>
      </w:r>
      <w:r w:rsidRPr="000755FE">
        <w:rPr>
          <w:rFonts w:ascii="Times New Roman" w:eastAsia="Times New Roman" w:hAnsi="Times New Roman" w:cs="Times New Roman"/>
          <w:vertAlign w:val="superscript"/>
        </w:rPr>
        <w:t>1</w:t>
      </w:r>
      <w:r w:rsidRPr="000755FE">
        <w:rPr>
          <w:rFonts w:ascii="Times New Roman" w:eastAsia="Times New Roman" w:hAnsi="Times New Roman" w:cs="Times New Roman"/>
        </w:rPr>
        <w:t>, Pallav Purohit</w:t>
      </w:r>
      <w:r w:rsidRPr="000755FE">
        <w:rPr>
          <w:rFonts w:ascii="Times New Roman" w:eastAsia="Times New Roman" w:hAnsi="Times New Roman" w:cs="Times New Roman"/>
          <w:vertAlign w:val="superscript"/>
        </w:rPr>
        <w:t>2</w:t>
      </w:r>
      <w:r w:rsidRPr="000755FE">
        <w:rPr>
          <w:rFonts w:ascii="Times New Roman" w:eastAsia="Times New Roman" w:hAnsi="Times New Roman" w:cs="Times New Roman"/>
        </w:rPr>
        <w:t>, Shahbaz Mehmood</w:t>
      </w:r>
      <w:r w:rsidRPr="000755FE">
        <w:rPr>
          <w:rFonts w:ascii="Times New Roman" w:eastAsia="Times New Roman" w:hAnsi="Times New Roman" w:cs="Times New Roman"/>
          <w:vertAlign w:val="superscript"/>
        </w:rPr>
        <w:t>1</w:t>
      </w:r>
    </w:p>
    <w:p w14:paraId="0E0EE3BA" w14:textId="77777777" w:rsidR="000755FE" w:rsidRPr="000755FE" w:rsidRDefault="000755FE" w:rsidP="000755F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430B8B" w14:textId="77777777" w:rsidR="000755FE" w:rsidRPr="000755FE" w:rsidRDefault="000755FE" w:rsidP="000755FE">
      <w:pPr>
        <w:spacing w:after="0"/>
        <w:rPr>
          <w:rFonts w:ascii="Times New Roman" w:eastAsia="Times New Roman" w:hAnsi="Times New Roman" w:cs="Times New Roman"/>
        </w:rPr>
      </w:pPr>
      <w:r w:rsidRPr="000755FE">
        <w:rPr>
          <w:rFonts w:ascii="Times New Roman" w:eastAsia="Times New Roman" w:hAnsi="Times New Roman" w:cs="Times New Roman"/>
          <w:vertAlign w:val="superscript"/>
        </w:rPr>
        <w:t>1</w:t>
      </w:r>
      <w:r w:rsidRPr="000755FE">
        <w:rPr>
          <w:rFonts w:ascii="Times New Roman" w:eastAsia="Times New Roman" w:hAnsi="Times New Roman" w:cs="Times New Roman"/>
        </w:rPr>
        <w:t xml:space="preserve"> Global Change Impact Studies Centre (GCISC), Ministry of Climate Change, Islamabad, Pakistan.</w:t>
      </w:r>
    </w:p>
    <w:p w14:paraId="631EC8F2" w14:textId="77777777" w:rsidR="000755FE" w:rsidRPr="000755FE" w:rsidRDefault="000755FE" w:rsidP="000755FE">
      <w:pPr>
        <w:spacing w:after="0"/>
        <w:rPr>
          <w:rFonts w:ascii="Times New Roman" w:eastAsia="Times New Roman" w:hAnsi="Times New Roman" w:cs="Times New Roman"/>
        </w:rPr>
      </w:pPr>
      <w:r w:rsidRPr="000755FE">
        <w:rPr>
          <w:rFonts w:ascii="Times New Roman" w:eastAsia="Times New Roman" w:hAnsi="Times New Roman" w:cs="Times New Roman"/>
          <w:vertAlign w:val="superscript"/>
        </w:rPr>
        <w:t>2</w:t>
      </w:r>
      <w:r w:rsidRPr="000755FE">
        <w:rPr>
          <w:rFonts w:ascii="Times New Roman" w:eastAsia="Times New Roman" w:hAnsi="Times New Roman" w:cs="Times New Roman"/>
        </w:rPr>
        <w:t xml:space="preserve"> International Institute for Applied Systems Analysis (IIASA), Luxemburg, Austria.</w:t>
      </w:r>
    </w:p>
    <w:p w14:paraId="2F0FCE4C" w14:textId="77777777" w:rsidR="000755FE" w:rsidRPr="000755FE" w:rsidRDefault="000755FE" w:rsidP="000755FE">
      <w:pPr>
        <w:spacing w:after="0"/>
        <w:rPr>
          <w:rFonts w:ascii="Times New Roman" w:eastAsia="Times New Roman" w:hAnsi="Times New Roman" w:cs="Times New Roman"/>
        </w:rPr>
      </w:pPr>
    </w:p>
    <w:p w14:paraId="0C6A000C" w14:textId="26310B45" w:rsidR="000755FE" w:rsidRPr="000755FE" w:rsidRDefault="000755FE" w:rsidP="000755FE">
      <w:pPr>
        <w:keepNext/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5B9BD5"/>
        </w:rPr>
      </w:pPr>
      <w:r w:rsidRPr="000755FE">
        <w:rPr>
          <w:rFonts w:ascii="Times New Roman" w:eastAsia="Times New Roman" w:hAnsi="Times New Roman" w:cs="Times New Roman"/>
          <w:b/>
          <w:bCs/>
          <w:color w:val="5B9BD5"/>
        </w:rPr>
        <w:t>Table S1: Net calorific value</w:t>
      </w:r>
      <w:r w:rsidR="006636BD">
        <w:rPr>
          <w:rFonts w:ascii="Times New Roman" w:eastAsia="Times New Roman" w:hAnsi="Times New Roman" w:cs="Times New Roman"/>
          <w:b/>
          <w:bCs/>
          <w:color w:val="5B9BD5"/>
        </w:rPr>
        <w:t>s</w:t>
      </w:r>
      <w:r w:rsidRPr="000755FE">
        <w:rPr>
          <w:rFonts w:ascii="Times New Roman" w:eastAsia="Times New Roman" w:hAnsi="Times New Roman" w:cs="Times New Roman"/>
          <w:b/>
          <w:bCs/>
          <w:color w:val="5B9BD5"/>
        </w:rPr>
        <w:t xml:space="preserve"> and CO</w:t>
      </w:r>
      <w:r w:rsidRPr="000755FE">
        <w:rPr>
          <w:rFonts w:ascii="Times New Roman" w:eastAsia="Times New Roman" w:hAnsi="Times New Roman" w:cs="Times New Roman"/>
          <w:b/>
          <w:bCs/>
          <w:color w:val="5B9BD5"/>
          <w:vertAlign w:val="subscript"/>
        </w:rPr>
        <w:t>2</w:t>
      </w:r>
      <w:r w:rsidRPr="000755FE">
        <w:rPr>
          <w:rFonts w:ascii="Times New Roman" w:eastAsia="Times New Roman" w:hAnsi="Times New Roman" w:cs="Times New Roman"/>
          <w:b/>
          <w:bCs/>
          <w:color w:val="5B9BD5"/>
        </w:rPr>
        <w:t xml:space="preserve"> emission factors </w:t>
      </w:r>
      <w:r w:rsidR="00DB2F77">
        <w:rPr>
          <w:rFonts w:ascii="Times New Roman" w:eastAsia="Times New Roman" w:hAnsi="Times New Roman" w:cs="Times New Roman"/>
          <w:b/>
          <w:bCs/>
          <w:color w:val="5B9BD5"/>
        </w:rPr>
        <w:t xml:space="preserve">by fuel types </w:t>
      </w:r>
      <w:r w:rsidRPr="000755FE">
        <w:rPr>
          <w:rFonts w:ascii="Times New Roman" w:eastAsia="Times New Roman" w:hAnsi="Times New Roman" w:cs="Times New Roman"/>
          <w:b/>
          <w:bCs/>
          <w:color w:val="5B9BD5"/>
        </w:rPr>
        <w:t>used for estimation</w:t>
      </w:r>
    </w:p>
    <w:tbl>
      <w:tblPr>
        <w:tblStyle w:val="ListTable6Colorful1"/>
        <w:tblW w:w="9198" w:type="dxa"/>
        <w:tblLook w:val="0620" w:firstRow="1" w:lastRow="0" w:firstColumn="0" w:lastColumn="0" w:noHBand="1" w:noVBand="1"/>
      </w:tblPr>
      <w:tblGrid>
        <w:gridCol w:w="2160"/>
        <w:gridCol w:w="3677"/>
        <w:gridCol w:w="3361"/>
      </w:tblGrid>
      <w:tr w:rsidR="000755FE" w:rsidRPr="000755FE" w14:paraId="4ABCF679" w14:textId="77777777" w:rsidTr="009C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160" w:type="dxa"/>
            <w:tcBorders>
              <w:top w:val="single" w:sz="4" w:space="0" w:color="000000" w:themeColor="text1"/>
            </w:tcBorders>
          </w:tcPr>
          <w:p w14:paraId="599075F1" w14:textId="77777777" w:rsidR="000755FE" w:rsidRPr="000755FE" w:rsidRDefault="000755FE" w:rsidP="000755FE">
            <w:pPr>
              <w:spacing w:before="120" w:after="120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Fuel</w:t>
            </w:r>
          </w:p>
        </w:tc>
        <w:tc>
          <w:tcPr>
            <w:tcW w:w="3677" w:type="dxa"/>
            <w:tcBorders>
              <w:top w:val="single" w:sz="4" w:space="0" w:color="000000" w:themeColor="text1"/>
            </w:tcBorders>
          </w:tcPr>
          <w:p w14:paraId="1609977D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 xml:space="preserve">Net Calorific Value </w:t>
            </w:r>
          </w:p>
          <w:p w14:paraId="09055055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(TJ/kt)</w:t>
            </w:r>
          </w:p>
        </w:tc>
        <w:tc>
          <w:tcPr>
            <w:tcW w:w="3361" w:type="dxa"/>
            <w:tcBorders>
              <w:top w:val="single" w:sz="4" w:space="0" w:color="000000" w:themeColor="text1"/>
            </w:tcBorders>
          </w:tcPr>
          <w:p w14:paraId="2BE79004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CO</w:t>
            </w:r>
            <w:r w:rsidRPr="000755FE">
              <w:rPr>
                <w:rFonts w:ascii="Times New Roman" w:hAnsi="Times New Roman"/>
                <w:vertAlign w:val="subscript"/>
              </w:rPr>
              <w:t>2</w:t>
            </w:r>
            <w:r w:rsidRPr="000755FE">
              <w:rPr>
                <w:rFonts w:ascii="Times New Roman" w:hAnsi="Times New Roman"/>
              </w:rPr>
              <w:t xml:space="preserve"> Emission Factor </w:t>
            </w:r>
          </w:p>
          <w:p w14:paraId="6D8CB9B3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(t CO</w:t>
            </w:r>
            <w:r w:rsidRPr="000755FE">
              <w:rPr>
                <w:rFonts w:ascii="Times New Roman" w:hAnsi="Times New Roman"/>
                <w:vertAlign w:val="subscript"/>
              </w:rPr>
              <w:t>2</w:t>
            </w:r>
            <w:r w:rsidRPr="000755FE">
              <w:rPr>
                <w:rFonts w:ascii="Times New Roman" w:hAnsi="Times New Roman"/>
              </w:rPr>
              <w:t>/TJ)</w:t>
            </w:r>
          </w:p>
        </w:tc>
      </w:tr>
      <w:tr w:rsidR="000755FE" w:rsidRPr="000755FE" w14:paraId="438901D2" w14:textId="77777777" w:rsidTr="009C6152">
        <w:trPr>
          <w:trHeight w:val="397"/>
        </w:trPr>
        <w:tc>
          <w:tcPr>
            <w:tcW w:w="2160" w:type="dxa"/>
          </w:tcPr>
          <w:p w14:paraId="4E484FE8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Crude oil</w:t>
            </w:r>
          </w:p>
        </w:tc>
        <w:tc>
          <w:tcPr>
            <w:tcW w:w="3677" w:type="dxa"/>
          </w:tcPr>
          <w:p w14:paraId="472E49DA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41.99</w:t>
            </w:r>
          </w:p>
        </w:tc>
        <w:tc>
          <w:tcPr>
            <w:tcW w:w="3361" w:type="dxa"/>
          </w:tcPr>
          <w:p w14:paraId="55D4107A" w14:textId="09FE3531" w:rsidR="000755FE" w:rsidRPr="000755FE" w:rsidRDefault="000755FE" w:rsidP="0054131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7</w:t>
            </w:r>
            <w:r w:rsidR="00541317">
              <w:rPr>
                <w:rFonts w:ascii="Times New Roman" w:hAnsi="Times New Roman"/>
              </w:rPr>
              <w:t>2.60</w:t>
            </w:r>
          </w:p>
        </w:tc>
      </w:tr>
      <w:tr w:rsidR="000755FE" w:rsidRPr="000755FE" w14:paraId="7786151B" w14:textId="77777777" w:rsidTr="009C6152">
        <w:trPr>
          <w:trHeight w:val="397"/>
        </w:trPr>
        <w:tc>
          <w:tcPr>
            <w:tcW w:w="2160" w:type="dxa"/>
          </w:tcPr>
          <w:p w14:paraId="7A17A589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Motor gasoline</w:t>
            </w:r>
          </w:p>
        </w:tc>
        <w:tc>
          <w:tcPr>
            <w:tcW w:w="3677" w:type="dxa"/>
          </w:tcPr>
          <w:p w14:paraId="78366736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44.84</w:t>
            </w:r>
          </w:p>
        </w:tc>
        <w:tc>
          <w:tcPr>
            <w:tcW w:w="3361" w:type="dxa"/>
          </w:tcPr>
          <w:p w14:paraId="5A2278ED" w14:textId="30C11CF9" w:rsidR="000755FE" w:rsidRPr="000755FE" w:rsidRDefault="00541317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68.61</w:t>
            </w:r>
          </w:p>
        </w:tc>
      </w:tr>
      <w:tr w:rsidR="000755FE" w:rsidRPr="000755FE" w14:paraId="729354DD" w14:textId="77777777" w:rsidTr="009C6152">
        <w:trPr>
          <w:trHeight w:val="397"/>
        </w:trPr>
        <w:tc>
          <w:tcPr>
            <w:tcW w:w="2160" w:type="dxa"/>
          </w:tcPr>
          <w:p w14:paraId="6DE4940F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Jet Kerosene</w:t>
            </w:r>
          </w:p>
        </w:tc>
        <w:tc>
          <w:tcPr>
            <w:tcW w:w="3677" w:type="dxa"/>
          </w:tcPr>
          <w:p w14:paraId="7510E8F9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43.32</w:t>
            </w:r>
          </w:p>
        </w:tc>
        <w:tc>
          <w:tcPr>
            <w:tcW w:w="3361" w:type="dxa"/>
          </w:tcPr>
          <w:p w14:paraId="24C69D75" w14:textId="135F8E16" w:rsidR="000755FE" w:rsidRPr="000755FE" w:rsidRDefault="00541317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70.79</w:t>
            </w:r>
          </w:p>
        </w:tc>
      </w:tr>
      <w:tr w:rsidR="000755FE" w:rsidRPr="000755FE" w14:paraId="69EFCA9F" w14:textId="77777777" w:rsidTr="009C6152">
        <w:trPr>
          <w:trHeight w:val="397"/>
        </w:trPr>
        <w:tc>
          <w:tcPr>
            <w:tcW w:w="2160" w:type="dxa"/>
          </w:tcPr>
          <w:p w14:paraId="192B8771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Gas/Diesel oil</w:t>
            </w:r>
          </w:p>
        </w:tc>
        <w:tc>
          <w:tcPr>
            <w:tcW w:w="3677" w:type="dxa"/>
          </w:tcPr>
          <w:p w14:paraId="35F7B5EB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44.18</w:t>
            </w:r>
          </w:p>
        </w:tc>
        <w:tc>
          <w:tcPr>
            <w:tcW w:w="3361" w:type="dxa"/>
          </w:tcPr>
          <w:p w14:paraId="7B0AD73A" w14:textId="29B91198" w:rsidR="000755FE" w:rsidRPr="000755FE" w:rsidRDefault="000755FE" w:rsidP="0054131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7</w:t>
            </w:r>
            <w:r w:rsidR="00541317">
              <w:rPr>
                <w:rFonts w:ascii="Times New Roman" w:hAnsi="Times New Roman"/>
              </w:rPr>
              <w:t>3.33</w:t>
            </w:r>
          </w:p>
        </w:tc>
      </w:tr>
      <w:tr w:rsidR="000755FE" w:rsidRPr="000755FE" w14:paraId="45840BEE" w14:textId="77777777" w:rsidTr="009C6152">
        <w:trPr>
          <w:trHeight w:val="397"/>
        </w:trPr>
        <w:tc>
          <w:tcPr>
            <w:tcW w:w="2160" w:type="dxa"/>
          </w:tcPr>
          <w:p w14:paraId="2F3D2E06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Residual fuel oil</w:t>
            </w:r>
          </w:p>
        </w:tc>
        <w:tc>
          <w:tcPr>
            <w:tcW w:w="3677" w:type="dxa"/>
          </w:tcPr>
          <w:p w14:paraId="591B641C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40.85</w:t>
            </w:r>
          </w:p>
        </w:tc>
        <w:tc>
          <w:tcPr>
            <w:tcW w:w="3361" w:type="dxa"/>
          </w:tcPr>
          <w:p w14:paraId="0ADC6E67" w14:textId="2D144791" w:rsidR="000755FE" w:rsidRPr="000755FE" w:rsidRDefault="00541317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76.59</w:t>
            </w:r>
          </w:p>
        </w:tc>
      </w:tr>
      <w:tr w:rsidR="000755FE" w:rsidRPr="000755FE" w14:paraId="139F39E6" w14:textId="77777777" w:rsidTr="009C6152">
        <w:trPr>
          <w:trHeight w:val="397"/>
        </w:trPr>
        <w:tc>
          <w:tcPr>
            <w:tcW w:w="2160" w:type="dxa"/>
          </w:tcPr>
          <w:p w14:paraId="75CA913C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LPG</w:t>
            </w:r>
          </w:p>
        </w:tc>
        <w:tc>
          <w:tcPr>
            <w:tcW w:w="3677" w:type="dxa"/>
          </w:tcPr>
          <w:p w14:paraId="77329A96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45.41</w:t>
            </w:r>
          </w:p>
        </w:tc>
        <w:tc>
          <w:tcPr>
            <w:tcW w:w="3361" w:type="dxa"/>
          </w:tcPr>
          <w:p w14:paraId="6B616CFE" w14:textId="0A498790" w:rsidR="000755FE" w:rsidRPr="000755FE" w:rsidRDefault="00541317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62.44</w:t>
            </w:r>
          </w:p>
        </w:tc>
      </w:tr>
      <w:tr w:rsidR="000755FE" w:rsidRPr="000755FE" w14:paraId="10E28112" w14:textId="77777777" w:rsidTr="009C6152">
        <w:trPr>
          <w:trHeight w:val="397"/>
        </w:trPr>
        <w:tc>
          <w:tcPr>
            <w:tcW w:w="2160" w:type="dxa"/>
          </w:tcPr>
          <w:p w14:paraId="5E7CD623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Naphta</w:t>
            </w:r>
          </w:p>
        </w:tc>
        <w:tc>
          <w:tcPr>
            <w:tcW w:w="3677" w:type="dxa"/>
          </w:tcPr>
          <w:p w14:paraId="762FF5A5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44.84</w:t>
            </w:r>
          </w:p>
        </w:tc>
        <w:tc>
          <w:tcPr>
            <w:tcW w:w="3361" w:type="dxa"/>
          </w:tcPr>
          <w:p w14:paraId="28EFC197" w14:textId="68D39BFA" w:rsidR="000755FE" w:rsidRPr="000755FE" w:rsidRDefault="00541317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72.60</w:t>
            </w:r>
          </w:p>
        </w:tc>
      </w:tr>
      <w:tr w:rsidR="000755FE" w:rsidRPr="000755FE" w14:paraId="41DCB3BB" w14:textId="77777777" w:rsidTr="009C6152">
        <w:trPr>
          <w:trHeight w:val="397"/>
        </w:trPr>
        <w:tc>
          <w:tcPr>
            <w:tcW w:w="2160" w:type="dxa"/>
          </w:tcPr>
          <w:p w14:paraId="5C7E4064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Coking coal</w:t>
            </w:r>
          </w:p>
        </w:tc>
        <w:tc>
          <w:tcPr>
            <w:tcW w:w="3677" w:type="dxa"/>
          </w:tcPr>
          <w:p w14:paraId="727926A6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27.65</w:t>
            </w:r>
          </w:p>
        </w:tc>
        <w:tc>
          <w:tcPr>
            <w:tcW w:w="3361" w:type="dxa"/>
          </w:tcPr>
          <w:p w14:paraId="2CCCA4D8" w14:textId="15B385F7" w:rsidR="000755FE" w:rsidRPr="000755FE" w:rsidRDefault="00541317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92.71</w:t>
            </w:r>
          </w:p>
        </w:tc>
      </w:tr>
      <w:tr w:rsidR="000755FE" w:rsidRPr="000755FE" w14:paraId="5716F32A" w14:textId="77777777" w:rsidTr="009C6152">
        <w:trPr>
          <w:trHeight w:val="397"/>
        </w:trPr>
        <w:tc>
          <w:tcPr>
            <w:tcW w:w="2160" w:type="dxa"/>
          </w:tcPr>
          <w:p w14:paraId="4AE7EECA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Sub bit. Coal</w:t>
            </w:r>
          </w:p>
        </w:tc>
        <w:tc>
          <w:tcPr>
            <w:tcW w:w="3677" w:type="dxa"/>
          </w:tcPr>
          <w:p w14:paraId="3EC09DC4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18.81</w:t>
            </w:r>
          </w:p>
        </w:tc>
        <w:tc>
          <w:tcPr>
            <w:tcW w:w="3361" w:type="dxa"/>
          </w:tcPr>
          <w:p w14:paraId="7E712EA2" w14:textId="297C5D80" w:rsidR="000755FE" w:rsidRPr="000755FE" w:rsidRDefault="00541317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94.15</w:t>
            </w:r>
          </w:p>
        </w:tc>
      </w:tr>
      <w:tr w:rsidR="000755FE" w:rsidRPr="000755FE" w14:paraId="0B06CCA0" w14:textId="77777777" w:rsidTr="009C6152">
        <w:trPr>
          <w:trHeight w:val="397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14:paraId="267B64E8" w14:textId="77777777" w:rsidR="000755FE" w:rsidRPr="000755FE" w:rsidRDefault="000755FE" w:rsidP="000755FE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Natural gas</w:t>
            </w:r>
          </w:p>
        </w:tc>
        <w:tc>
          <w:tcPr>
            <w:tcW w:w="3677" w:type="dxa"/>
            <w:tcBorders>
              <w:bottom w:val="single" w:sz="4" w:space="0" w:color="000000" w:themeColor="text1"/>
            </w:tcBorders>
          </w:tcPr>
          <w:p w14:paraId="66DAD92B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0755FE">
              <w:rPr>
                <w:rFonts w:ascii="Times New Roman" w:hAnsi="Times New Roman"/>
              </w:rPr>
              <w:t>39.77</w:t>
            </w:r>
          </w:p>
        </w:tc>
        <w:tc>
          <w:tcPr>
            <w:tcW w:w="3361" w:type="dxa"/>
            <w:tcBorders>
              <w:bottom w:val="single" w:sz="4" w:space="0" w:color="000000" w:themeColor="text1"/>
            </w:tcBorders>
          </w:tcPr>
          <w:p w14:paraId="74CA2BFF" w14:textId="4ACF79CD" w:rsidR="000755FE" w:rsidRPr="000755FE" w:rsidRDefault="00541317" w:rsidP="000755F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55.82</w:t>
            </w:r>
          </w:p>
        </w:tc>
      </w:tr>
    </w:tbl>
    <w:p w14:paraId="1EE4DAB0" w14:textId="77777777" w:rsidR="000755FE" w:rsidRPr="000755FE" w:rsidRDefault="000755FE" w:rsidP="000755FE">
      <w:pPr>
        <w:spacing w:before="120" w:after="120"/>
        <w:ind w:left="-90"/>
        <w:rPr>
          <w:rFonts w:ascii="Times New Roman" w:eastAsia="Times New Roman" w:hAnsi="Times New Roman" w:cs="Times New Roman"/>
          <w:lang w:eastAsia="ja-JP"/>
        </w:rPr>
      </w:pPr>
      <w:r w:rsidRPr="000755FE">
        <w:rPr>
          <w:rFonts w:ascii="Times New Roman" w:eastAsia="Times New Roman" w:hAnsi="Times New Roman" w:cs="Times New Roman"/>
          <w:i/>
          <w:iCs/>
          <w:lang w:eastAsia="ja-JP"/>
        </w:rPr>
        <w:t xml:space="preserve"> </w:t>
      </w:r>
      <w:r w:rsidRPr="000755FE">
        <w:rPr>
          <w:rFonts w:ascii="Times New Roman" w:eastAsia="Times New Roman" w:hAnsi="Times New Roman" w:cs="Times New Roman"/>
          <w:iCs/>
          <w:lang w:eastAsia="ja-JP"/>
        </w:rPr>
        <w:t>Source:</w:t>
      </w:r>
      <w:r w:rsidRPr="000755FE">
        <w:rPr>
          <w:rFonts w:ascii="Times New Roman" w:eastAsia="Times New Roman" w:hAnsi="Times New Roman" w:cs="Times New Roman"/>
          <w:lang w:eastAsia="ja-JP"/>
        </w:rPr>
        <w:t xml:space="preserve"> (HDIP, 2013; IPCC, 1997)</w:t>
      </w:r>
    </w:p>
    <w:p w14:paraId="4CA64D21" w14:textId="77777777" w:rsidR="000755FE" w:rsidRPr="000755FE" w:rsidRDefault="000755FE" w:rsidP="000755FE">
      <w:pPr>
        <w:spacing w:before="120" w:after="120"/>
        <w:ind w:left="-90"/>
        <w:rPr>
          <w:rFonts w:ascii="Times New Roman" w:eastAsia="Times New Roman" w:hAnsi="Times New Roman" w:cs="Times New Roman"/>
          <w:lang w:eastAsia="ja-JP"/>
        </w:rPr>
      </w:pPr>
    </w:p>
    <w:p w14:paraId="22E9D7DC" w14:textId="77777777" w:rsidR="000755FE" w:rsidRPr="000755FE" w:rsidRDefault="000755FE" w:rsidP="000755FE">
      <w:pPr>
        <w:spacing w:after="160" w:line="360" w:lineRule="auto"/>
        <w:rPr>
          <w:rFonts w:ascii="Times New Roman" w:eastAsia="Times New Roman" w:hAnsi="Times New Roman" w:cs="Times New Roman"/>
          <w:b/>
          <w:bCs/>
          <w:color w:val="5B9BD5"/>
        </w:rPr>
      </w:pPr>
      <w:r w:rsidRPr="000755FE">
        <w:rPr>
          <w:rFonts w:ascii="Calibri" w:eastAsia="Times New Roman" w:hAnsi="Calibri" w:cs="Times New Roman"/>
        </w:rPr>
        <w:br w:type="page"/>
      </w:r>
    </w:p>
    <w:p w14:paraId="000AE9D8" w14:textId="77777777" w:rsidR="000755FE" w:rsidRPr="000755FE" w:rsidRDefault="000755FE" w:rsidP="000755FE">
      <w:pPr>
        <w:keepNext/>
        <w:spacing w:before="120" w:after="240"/>
        <w:rPr>
          <w:rFonts w:ascii="Times New Roman" w:eastAsia="Times New Roman" w:hAnsi="Times New Roman" w:cs="Times New Roman"/>
          <w:b/>
          <w:bCs/>
          <w:color w:val="5B9BD5"/>
        </w:rPr>
      </w:pPr>
      <w:r w:rsidRPr="000755FE">
        <w:rPr>
          <w:rFonts w:ascii="Times New Roman" w:eastAsia="Times New Roman" w:hAnsi="Times New Roman" w:cs="Times New Roman"/>
          <w:b/>
          <w:bCs/>
          <w:color w:val="5B9BD5"/>
        </w:rPr>
        <w:lastRenderedPageBreak/>
        <w:t xml:space="preserve">Table S2: GHG inventory comparison between 1994 and 2012 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4352"/>
        <w:gridCol w:w="2049"/>
        <w:gridCol w:w="1919"/>
        <w:gridCol w:w="1256"/>
      </w:tblGrid>
      <w:tr w:rsidR="000755FE" w:rsidRPr="000755FE" w14:paraId="3B5D7048" w14:textId="77777777" w:rsidTr="009C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tcBorders>
              <w:top w:val="single" w:sz="4" w:space="0" w:color="7F7F7F" w:themeColor="text1" w:themeTint="80"/>
            </w:tcBorders>
          </w:tcPr>
          <w:p w14:paraId="3DB9AB8E" w14:textId="77777777" w:rsidR="000755FE" w:rsidRPr="000755FE" w:rsidRDefault="000755FE" w:rsidP="000755FE">
            <w:pPr>
              <w:spacing w:before="120" w:after="12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GHG emissions</w:t>
            </w:r>
          </w:p>
        </w:tc>
        <w:tc>
          <w:tcPr>
            <w:tcW w:w="1070" w:type="pct"/>
            <w:tcBorders>
              <w:top w:val="single" w:sz="4" w:space="0" w:color="7F7F7F" w:themeColor="text1" w:themeTint="80"/>
            </w:tcBorders>
          </w:tcPr>
          <w:p w14:paraId="16F7473F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1994</w:t>
            </w:r>
          </w:p>
        </w:tc>
        <w:tc>
          <w:tcPr>
            <w:tcW w:w="1002" w:type="pct"/>
            <w:tcBorders>
              <w:top w:val="single" w:sz="4" w:space="0" w:color="7F7F7F" w:themeColor="text1" w:themeTint="80"/>
            </w:tcBorders>
          </w:tcPr>
          <w:p w14:paraId="27750924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2012</w:t>
            </w:r>
          </w:p>
        </w:tc>
        <w:tc>
          <w:tcPr>
            <w:tcW w:w="656" w:type="pct"/>
            <w:tcBorders>
              <w:top w:val="single" w:sz="4" w:space="0" w:color="7F7F7F" w:themeColor="text1" w:themeTint="80"/>
            </w:tcBorders>
          </w:tcPr>
          <w:p w14:paraId="4FEC67F8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CAGR (%)</w:t>
            </w:r>
          </w:p>
        </w:tc>
      </w:tr>
      <w:tr w:rsidR="000755FE" w:rsidRPr="000755FE" w14:paraId="1CF5E096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</w:tcPr>
          <w:p w14:paraId="0AA9562C" w14:textId="1609A10B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Carbon dioxide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1070" w:type="pct"/>
          </w:tcPr>
          <w:p w14:paraId="1D5B8B90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94.97</w:t>
            </w:r>
          </w:p>
        </w:tc>
        <w:tc>
          <w:tcPr>
            <w:tcW w:w="1002" w:type="pct"/>
          </w:tcPr>
          <w:p w14:paraId="5C05C1EB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178.80</w:t>
            </w:r>
          </w:p>
        </w:tc>
        <w:tc>
          <w:tcPr>
            <w:tcW w:w="656" w:type="pct"/>
          </w:tcPr>
          <w:p w14:paraId="63ED2D75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3.6</w:t>
            </w:r>
          </w:p>
        </w:tc>
      </w:tr>
      <w:tr w:rsidR="000755FE" w:rsidRPr="000755FE" w14:paraId="5EC6E9F9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</w:tcPr>
          <w:p w14:paraId="1FB5905E" w14:textId="0A73CE59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Methane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1070" w:type="pct"/>
          </w:tcPr>
          <w:p w14:paraId="137030A1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72.27</w:t>
            </w:r>
          </w:p>
        </w:tc>
        <w:tc>
          <w:tcPr>
            <w:tcW w:w="1002" w:type="pct"/>
          </w:tcPr>
          <w:p w14:paraId="52065918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107.27</w:t>
            </w:r>
          </w:p>
        </w:tc>
        <w:tc>
          <w:tcPr>
            <w:tcW w:w="656" w:type="pct"/>
          </w:tcPr>
          <w:p w14:paraId="5894C7EE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2.2</w:t>
            </w:r>
          </w:p>
        </w:tc>
      </w:tr>
      <w:tr w:rsidR="000755FE" w:rsidRPr="000755FE" w14:paraId="3D3175FC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</w:tcPr>
          <w:p w14:paraId="100AE09C" w14:textId="17BFCFAA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Nitrous Oxide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1070" w:type="pct"/>
          </w:tcPr>
          <w:p w14:paraId="0C576A69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11.00</w:t>
            </w:r>
          </w:p>
        </w:tc>
        <w:tc>
          <w:tcPr>
            <w:tcW w:w="1002" w:type="pct"/>
          </w:tcPr>
          <w:p w14:paraId="1099F84B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80.60</w:t>
            </w:r>
          </w:p>
        </w:tc>
        <w:tc>
          <w:tcPr>
            <w:tcW w:w="656" w:type="pct"/>
          </w:tcPr>
          <w:p w14:paraId="7DD706EC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11.7</w:t>
            </w:r>
          </w:p>
        </w:tc>
      </w:tr>
      <w:tr w:rsidR="000755FE" w:rsidRPr="000755FE" w14:paraId="2455DD58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tcBorders>
              <w:bottom w:val="single" w:sz="4" w:space="0" w:color="7F7F7F" w:themeColor="text1" w:themeTint="80"/>
            </w:tcBorders>
          </w:tcPr>
          <w:p w14:paraId="2D880DE7" w14:textId="348E65BE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TOTAL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1070" w:type="pct"/>
            <w:tcBorders>
              <w:bottom w:val="single" w:sz="4" w:space="0" w:color="7F7F7F" w:themeColor="text1" w:themeTint="80"/>
            </w:tcBorders>
          </w:tcPr>
          <w:p w14:paraId="578A2A16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178.24</w:t>
            </w:r>
          </w:p>
        </w:tc>
        <w:tc>
          <w:tcPr>
            <w:tcW w:w="1002" w:type="pct"/>
            <w:tcBorders>
              <w:bottom w:val="single" w:sz="4" w:space="0" w:color="7F7F7F" w:themeColor="text1" w:themeTint="80"/>
            </w:tcBorders>
          </w:tcPr>
          <w:p w14:paraId="6A7D7FA8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366.67</w:t>
            </w:r>
          </w:p>
        </w:tc>
        <w:tc>
          <w:tcPr>
            <w:tcW w:w="656" w:type="pct"/>
            <w:tcBorders>
              <w:bottom w:val="single" w:sz="4" w:space="0" w:color="7F7F7F" w:themeColor="text1" w:themeTint="80"/>
            </w:tcBorders>
          </w:tcPr>
          <w:p w14:paraId="6B973EEC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4.1</w:t>
            </w:r>
          </w:p>
        </w:tc>
      </w:tr>
    </w:tbl>
    <w:p w14:paraId="0D194B52" w14:textId="77777777" w:rsidR="000755FE" w:rsidRPr="000755FE" w:rsidRDefault="000755FE" w:rsidP="000755FE">
      <w:pPr>
        <w:spacing w:before="120" w:after="120"/>
        <w:ind w:left="-90"/>
        <w:rPr>
          <w:rFonts w:ascii="Times New Roman" w:eastAsia="Times New Roman" w:hAnsi="Times New Roman" w:cs="Times New Roman"/>
          <w:lang w:eastAsia="ja-JP"/>
        </w:rPr>
      </w:pPr>
    </w:p>
    <w:p w14:paraId="1E6B2DCE" w14:textId="77777777" w:rsidR="000755FE" w:rsidRPr="000755FE" w:rsidRDefault="000755FE" w:rsidP="000755FE">
      <w:pPr>
        <w:keepNext/>
        <w:spacing w:before="120" w:after="240"/>
        <w:jc w:val="both"/>
        <w:rPr>
          <w:rFonts w:ascii="Times New Roman" w:eastAsia="Times New Roman" w:hAnsi="Times New Roman" w:cs="Times New Roman"/>
          <w:b/>
          <w:bCs/>
          <w:color w:val="5B9BD5"/>
        </w:rPr>
      </w:pPr>
      <w:r w:rsidRPr="000755FE">
        <w:rPr>
          <w:rFonts w:ascii="Times New Roman" w:eastAsia="Times New Roman" w:hAnsi="Times New Roman" w:cs="Times New Roman"/>
          <w:b/>
          <w:bCs/>
          <w:color w:val="5B9BD5"/>
        </w:rPr>
        <w:t xml:space="preserve">Table S3: A comparison of emissions by sector between 1994 and 2012 </w:t>
      </w:r>
    </w:p>
    <w:tbl>
      <w:tblPr>
        <w:tblStyle w:val="PlainTable21"/>
        <w:tblW w:w="9221" w:type="dxa"/>
        <w:tblLook w:val="04A0" w:firstRow="1" w:lastRow="0" w:firstColumn="1" w:lastColumn="0" w:noHBand="0" w:noVBand="1"/>
      </w:tblPr>
      <w:tblGrid>
        <w:gridCol w:w="3621"/>
        <w:gridCol w:w="2113"/>
        <w:gridCol w:w="2063"/>
        <w:gridCol w:w="1424"/>
      </w:tblGrid>
      <w:tr w:rsidR="000755FE" w:rsidRPr="000755FE" w14:paraId="6C043F03" w14:textId="77777777" w:rsidTr="009C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top w:val="single" w:sz="4" w:space="0" w:color="7F7F7F" w:themeColor="text1" w:themeTint="80"/>
            </w:tcBorders>
          </w:tcPr>
          <w:p w14:paraId="10C90757" w14:textId="77777777" w:rsidR="000755FE" w:rsidRPr="000755FE" w:rsidRDefault="000755FE" w:rsidP="000755FE">
            <w:pPr>
              <w:spacing w:before="120" w:after="120"/>
              <w:ind w:left="-9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Sectors</w:t>
            </w:r>
          </w:p>
        </w:tc>
        <w:tc>
          <w:tcPr>
            <w:tcW w:w="2113" w:type="dxa"/>
            <w:tcBorders>
              <w:top w:val="single" w:sz="4" w:space="0" w:color="7F7F7F" w:themeColor="text1" w:themeTint="80"/>
            </w:tcBorders>
          </w:tcPr>
          <w:p w14:paraId="0B2B3D5F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1994</w:t>
            </w:r>
          </w:p>
        </w:tc>
        <w:tc>
          <w:tcPr>
            <w:tcW w:w="2063" w:type="dxa"/>
            <w:tcBorders>
              <w:top w:val="single" w:sz="4" w:space="0" w:color="7F7F7F" w:themeColor="text1" w:themeTint="80"/>
            </w:tcBorders>
          </w:tcPr>
          <w:p w14:paraId="14DE11CC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2012</w:t>
            </w:r>
          </w:p>
        </w:tc>
        <w:tc>
          <w:tcPr>
            <w:tcW w:w="1424" w:type="dxa"/>
            <w:tcBorders>
              <w:top w:val="single" w:sz="4" w:space="0" w:color="7F7F7F" w:themeColor="text1" w:themeTint="80"/>
            </w:tcBorders>
          </w:tcPr>
          <w:p w14:paraId="265D8000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CAGR (%)</w:t>
            </w:r>
          </w:p>
        </w:tc>
      </w:tr>
      <w:tr w:rsidR="000755FE" w:rsidRPr="000755FE" w14:paraId="65C3DE6E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</w:tcPr>
          <w:p w14:paraId="79F24D13" w14:textId="55E1F5F6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Energy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2113" w:type="dxa"/>
          </w:tcPr>
          <w:p w14:paraId="5F83BCD3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84.31</w:t>
            </w:r>
          </w:p>
        </w:tc>
        <w:tc>
          <w:tcPr>
            <w:tcW w:w="2063" w:type="dxa"/>
          </w:tcPr>
          <w:p w14:paraId="5BEFCC48" w14:textId="6B038A40" w:rsidR="000755FE" w:rsidRPr="000755FE" w:rsidRDefault="00C1453A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165.13</w:t>
            </w:r>
          </w:p>
        </w:tc>
        <w:tc>
          <w:tcPr>
            <w:tcW w:w="1424" w:type="dxa"/>
          </w:tcPr>
          <w:p w14:paraId="197CDA00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3.8</w:t>
            </w:r>
          </w:p>
        </w:tc>
      </w:tr>
      <w:tr w:rsidR="000755FE" w:rsidRPr="000755FE" w14:paraId="4DA22D7C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</w:tcPr>
          <w:p w14:paraId="26391727" w14:textId="58A5CEF2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Industrial Processes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2113" w:type="dxa"/>
          </w:tcPr>
          <w:p w14:paraId="7739E9F0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11.30</w:t>
            </w:r>
          </w:p>
        </w:tc>
        <w:tc>
          <w:tcPr>
            <w:tcW w:w="2063" w:type="dxa"/>
          </w:tcPr>
          <w:p w14:paraId="03D093ED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19.41</w:t>
            </w:r>
          </w:p>
        </w:tc>
        <w:tc>
          <w:tcPr>
            <w:tcW w:w="1424" w:type="dxa"/>
          </w:tcPr>
          <w:p w14:paraId="73C7A8C3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3.1</w:t>
            </w:r>
          </w:p>
        </w:tc>
      </w:tr>
      <w:tr w:rsidR="000755FE" w:rsidRPr="000755FE" w14:paraId="21CFB859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</w:tcPr>
          <w:p w14:paraId="61B7D692" w14:textId="6C0103B6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Agriculture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2113" w:type="dxa"/>
          </w:tcPr>
          <w:p w14:paraId="64AF87C9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71.61</w:t>
            </w:r>
          </w:p>
        </w:tc>
        <w:tc>
          <w:tcPr>
            <w:tcW w:w="2063" w:type="dxa"/>
          </w:tcPr>
          <w:p w14:paraId="3CF927AD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161.91</w:t>
            </w:r>
          </w:p>
        </w:tc>
        <w:tc>
          <w:tcPr>
            <w:tcW w:w="1424" w:type="dxa"/>
          </w:tcPr>
          <w:p w14:paraId="3D73E2C7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4.6</w:t>
            </w:r>
          </w:p>
        </w:tc>
      </w:tr>
      <w:tr w:rsidR="000755FE" w:rsidRPr="000755FE" w14:paraId="03D35AB4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</w:tcPr>
          <w:p w14:paraId="38DFEFD2" w14:textId="7DF8493C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Land Use Change and Forestry (LUCF)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2113" w:type="dxa"/>
          </w:tcPr>
          <w:p w14:paraId="02001BB1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6.57</w:t>
            </w:r>
          </w:p>
        </w:tc>
        <w:tc>
          <w:tcPr>
            <w:tcW w:w="2063" w:type="dxa"/>
          </w:tcPr>
          <w:p w14:paraId="593304F4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9.67</w:t>
            </w:r>
          </w:p>
        </w:tc>
        <w:tc>
          <w:tcPr>
            <w:tcW w:w="1424" w:type="dxa"/>
          </w:tcPr>
          <w:p w14:paraId="1551F291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2.2</w:t>
            </w:r>
          </w:p>
        </w:tc>
      </w:tr>
      <w:tr w:rsidR="000755FE" w:rsidRPr="000755FE" w14:paraId="0BD81802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</w:tcPr>
          <w:p w14:paraId="5E4B5D71" w14:textId="391E8732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Wastes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2113" w:type="dxa"/>
          </w:tcPr>
          <w:p w14:paraId="0C4C9EC8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4.45</w:t>
            </w:r>
          </w:p>
        </w:tc>
        <w:tc>
          <w:tcPr>
            <w:tcW w:w="2063" w:type="dxa"/>
          </w:tcPr>
          <w:p w14:paraId="72741341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10.55</w:t>
            </w:r>
          </w:p>
        </w:tc>
        <w:tc>
          <w:tcPr>
            <w:tcW w:w="1424" w:type="dxa"/>
          </w:tcPr>
          <w:p w14:paraId="6A139215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4.9</w:t>
            </w:r>
          </w:p>
        </w:tc>
      </w:tr>
      <w:tr w:rsidR="000755FE" w:rsidRPr="000755FE" w14:paraId="2EA5F6D7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tcBorders>
              <w:bottom w:val="single" w:sz="4" w:space="0" w:color="7F7F7F" w:themeColor="text1" w:themeTint="80"/>
            </w:tcBorders>
          </w:tcPr>
          <w:p w14:paraId="7C1DB92C" w14:textId="63356181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Total (</w:t>
            </w:r>
            <w:r w:rsidR="00B17AA7">
              <w:rPr>
                <w:rFonts w:ascii="Times New Roman" w:hAnsi="Times New Roman"/>
                <w:lang w:eastAsia="ja-JP"/>
              </w:rPr>
              <w:t>Tg</w:t>
            </w:r>
            <w:r w:rsidRPr="000755FE">
              <w:rPr>
                <w:rFonts w:ascii="Times New Roman" w:hAnsi="Times New Roman"/>
                <w:lang w:eastAsia="ja-JP"/>
              </w:rPr>
              <w:t xml:space="preserve">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2113" w:type="dxa"/>
            <w:tcBorders>
              <w:bottom w:val="single" w:sz="4" w:space="0" w:color="7F7F7F" w:themeColor="text1" w:themeTint="80"/>
            </w:tcBorders>
          </w:tcPr>
          <w:p w14:paraId="1B55D2E2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178.24</w:t>
            </w:r>
          </w:p>
        </w:tc>
        <w:tc>
          <w:tcPr>
            <w:tcW w:w="2063" w:type="dxa"/>
            <w:tcBorders>
              <w:bottom w:val="single" w:sz="4" w:space="0" w:color="7F7F7F" w:themeColor="text1" w:themeTint="80"/>
            </w:tcBorders>
          </w:tcPr>
          <w:p w14:paraId="4687F25B" w14:textId="3010CEFB" w:rsidR="000755FE" w:rsidRPr="000755FE" w:rsidRDefault="00C1453A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366.67</w:t>
            </w:r>
          </w:p>
        </w:tc>
        <w:tc>
          <w:tcPr>
            <w:tcW w:w="1424" w:type="dxa"/>
            <w:tcBorders>
              <w:bottom w:val="single" w:sz="4" w:space="0" w:color="7F7F7F" w:themeColor="text1" w:themeTint="80"/>
            </w:tcBorders>
          </w:tcPr>
          <w:p w14:paraId="6869671F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4.1</w:t>
            </w:r>
          </w:p>
        </w:tc>
      </w:tr>
    </w:tbl>
    <w:p w14:paraId="2FFB6322" w14:textId="77777777" w:rsidR="000755FE" w:rsidRPr="000755FE" w:rsidRDefault="000755FE" w:rsidP="000755FE">
      <w:pPr>
        <w:spacing w:before="120" w:after="120"/>
        <w:ind w:left="-90"/>
        <w:rPr>
          <w:rFonts w:ascii="Times New Roman" w:eastAsia="Times New Roman" w:hAnsi="Times New Roman" w:cs="Times New Roman"/>
          <w:lang w:eastAsia="ja-JP"/>
        </w:rPr>
      </w:pPr>
    </w:p>
    <w:p w14:paraId="5A16DEB3" w14:textId="77777777" w:rsidR="000755FE" w:rsidRPr="000755FE" w:rsidRDefault="000755FE" w:rsidP="000755FE">
      <w:pPr>
        <w:keepNext/>
        <w:spacing w:before="120" w:after="240"/>
        <w:rPr>
          <w:rFonts w:ascii="Times New Roman" w:eastAsia="Times New Roman" w:hAnsi="Times New Roman" w:cs="Times New Roman"/>
          <w:b/>
          <w:bCs/>
          <w:color w:val="5B9BD5"/>
        </w:rPr>
      </w:pPr>
      <w:r w:rsidRPr="000755FE">
        <w:rPr>
          <w:rFonts w:ascii="Times New Roman" w:eastAsia="Times New Roman" w:hAnsi="Times New Roman" w:cs="Times New Roman"/>
          <w:b/>
          <w:bCs/>
          <w:color w:val="5B9BD5"/>
        </w:rPr>
        <w:t>Table S4: Comparison of per capita emissions and emission intensity</w:t>
      </w:r>
    </w:p>
    <w:tbl>
      <w:tblPr>
        <w:tblStyle w:val="PlainTable21"/>
        <w:tblW w:w="5063" w:type="pct"/>
        <w:tblLook w:val="04A0" w:firstRow="1" w:lastRow="0" w:firstColumn="1" w:lastColumn="0" w:noHBand="0" w:noVBand="1"/>
      </w:tblPr>
      <w:tblGrid>
        <w:gridCol w:w="5881"/>
        <w:gridCol w:w="1272"/>
        <w:gridCol w:w="1272"/>
        <w:gridCol w:w="1272"/>
      </w:tblGrid>
      <w:tr w:rsidR="000755FE" w:rsidRPr="000755FE" w14:paraId="70333C77" w14:textId="77777777" w:rsidTr="009C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  <w:tcBorders>
              <w:top w:val="single" w:sz="4" w:space="0" w:color="7F7F7F" w:themeColor="text1" w:themeTint="80"/>
            </w:tcBorders>
          </w:tcPr>
          <w:p w14:paraId="3A6A6094" w14:textId="77777777" w:rsidR="000755FE" w:rsidRPr="000755FE" w:rsidRDefault="000755FE" w:rsidP="000755FE">
            <w:pPr>
              <w:spacing w:before="120" w:after="120"/>
              <w:jc w:val="center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656" w:type="pct"/>
            <w:tcBorders>
              <w:top w:val="single" w:sz="4" w:space="0" w:color="7F7F7F" w:themeColor="text1" w:themeTint="80"/>
            </w:tcBorders>
          </w:tcPr>
          <w:p w14:paraId="1E07E8A8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1994</w:t>
            </w:r>
          </w:p>
        </w:tc>
        <w:tc>
          <w:tcPr>
            <w:tcW w:w="656" w:type="pct"/>
            <w:tcBorders>
              <w:top w:val="single" w:sz="4" w:space="0" w:color="7F7F7F" w:themeColor="text1" w:themeTint="80"/>
            </w:tcBorders>
          </w:tcPr>
          <w:p w14:paraId="3075352C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2012</w:t>
            </w:r>
          </w:p>
        </w:tc>
        <w:tc>
          <w:tcPr>
            <w:tcW w:w="656" w:type="pct"/>
            <w:tcBorders>
              <w:top w:val="single" w:sz="4" w:space="0" w:color="7F7F7F" w:themeColor="text1" w:themeTint="80"/>
            </w:tcBorders>
          </w:tcPr>
          <w:p w14:paraId="1B859F0B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CAGR (%)</w:t>
            </w:r>
          </w:p>
        </w:tc>
      </w:tr>
      <w:tr w:rsidR="000755FE" w:rsidRPr="000755FE" w14:paraId="0CF8802C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</w:tcPr>
          <w:p w14:paraId="78A38867" w14:textId="5F6DAE90" w:rsidR="000755FE" w:rsidRPr="000755FE" w:rsidRDefault="000755FE" w:rsidP="00B17AA7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Total GHG emissions (</w:t>
            </w:r>
            <w:r w:rsidR="00B17AA7">
              <w:rPr>
                <w:rFonts w:ascii="Times New Roman" w:hAnsi="Times New Roman"/>
                <w:lang w:eastAsia="ja-JP"/>
              </w:rPr>
              <w:t xml:space="preserve">Tg </w:t>
            </w:r>
            <w:r w:rsidRPr="000755FE">
              <w:rPr>
                <w:rFonts w:ascii="Times New Roman" w:hAnsi="Times New Roman"/>
                <w:lang w:eastAsia="ja-JP"/>
              </w:rPr>
              <w:t>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>eq)</w:t>
            </w:r>
          </w:p>
        </w:tc>
        <w:tc>
          <w:tcPr>
            <w:tcW w:w="656" w:type="pct"/>
          </w:tcPr>
          <w:p w14:paraId="34B4DC44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178.24</w:t>
            </w:r>
          </w:p>
        </w:tc>
        <w:tc>
          <w:tcPr>
            <w:tcW w:w="656" w:type="pct"/>
          </w:tcPr>
          <w:p w14:paraId="1972F87E" w14:textId="3E9D0DE7" w:rsidR="000755FE" w:rsidRPr="000755FE" w:rsidRDefault="00D4575A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366.</w:t>
            </w:r>
            <w:r w:rsidR="00DA618F">
              <w:rPr>
                <w:rFonts w:ascii="Times New Roman" w:hAnsi="Times New Roman"/>
                <w:lang w:eastAsia="ja-JP"/>
              </w:rPr>
              <w:t>67</w:t>
            </w:r>
          </w:p>
        </w:tc>
        <w:tc>
          <w:tcPr>
            <w:tcW w:w="656" w:type="pct"/>
          </w:tcPr>
          <w:p w14:paraId="6AB3C0CE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4.1</w:t>
            </w:r>
          </w:p>
        </w:tc>
      </w:tr>
      <w:tr w:rsidR="000755FE" w:rsidRPr="000755FE" w14:paraId="128ADBD0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</w:tcPr>
          <w:p w14:paraId="3459C997" w14:textId="77777777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Population (million)</w:t>
            </w:r>
          </w:p>
        </w:tc>
        <w:tc>
          <w:tcPr>
            <w:tcW w:w="656" w:type="pct"/>
          </w:tcPr>
          <w:p w14:paraId="739762C5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117.93</w:t>
            </w:r>
          </w:p>
        </w:tc>
        <w:tc>
          <w:tcPr>
            <w:tcW w:w="656" w:type="pct"/>
          </w:tcPr>
          <w:p w14:paraId="11B51342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179.20</w:t>
            </w:r>
          </w:p>
        </w:tc>
        <w:tc>
          <w:tcPr>
            <w:tcW w:w="656" w:type="pct"/>
          </w:tcPr>
          <w:p w14:paraId="6AB08FD5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2.4</w:t>
            </w:r>
          </w:p>
        </w:tc>
      </w:tr>
      <w:tr w:rsidR="000755FE" w:rsidRPr="000755FE" w14:paraId="2AE2A548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</w:tcPr>
          <w:p w14:paraId="741F7095" w14:textId="77777777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Total GHG emissions (tonnes of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 xml:space="preserve"> equivalent per capita)</w:t>
            </w:r>
          </w:p>
        </w:tc>
        <w:tc>
          <w:tcPr>
            <w:tcW w:w="656" w:type="pct"/>
          </w:tcPr>
          <w:p w14:paraId="752F02E8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1.51</w:t>
            </w:r>
          </w:p>
        </w:tc>
        <w:tc>
          <w:tcPr>
            <w:tcW w:w="656" w:type="pct"/>
          </w:tcPr>
          <w:p w14:paraId="278F6502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2.05</w:t>
            </w:r>
          </w:p>
        </w:tc>
        <w:tc>
          <w:tcPr>
            <w:tcW w:w="656" w:type="pct"/>
          </w:tcPr>
          <w:p w14:paraId="4322D8C4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1.7</w:t>
            </w:r>
          </w:p>
        </w:tc>
      </w:tr>
      <w:tr w:rsidR="000755FE" w:rsidRPr="000755FE" w14:paraId="4500E7E1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</w:tcPr>
          <w:p w14:paraId="53EB78F9" w14:textId="77777777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GDP at constant factor cost in billion US$ of 2000</w:t>
            </w:r>
          </w:p>
        </w:tc>
        <w:tc>
          <w:tcPr>
            <w:tcW w:w="656" w:type="pct"/>
          </w:tcPr>
          <w:p w14:paraId="0B8CBCAE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60.02</w:t>
            </w:r>
          </w:p>
        </w:tc>
        <w:tc>
          <w:tcPr>
            <w:tcW w:w="656" w:type="pct"/>
          </w:tcPr>
          <w:p w14:paraId="312F18FB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122.34</w:t>
            </w:r>
          </w:p>
        </w:tc>
        <w:tc>
          <w:tcPr>
            <w:tcW w:w="656" w:type="pct"/>
          </w:tcPr>
          <w:p w14:paraId="76DE30BE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4.0</w:t>
            </w:r>
          </w:p>
        </w:tc>
      </w:tr>
      <w:tr w:rsidR="000755FE" w:rsidRPr="000755FE" w14:paraId="19569AC1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  <w:tcBorders>
              <w:bottom w:val="single" w:sz="4" w:space="0" w:color="7F7F7F" w:themeColor="text1" w:themeTint="80"/>
            </w:tcBorders>
          </w:tcPr>
          <w:p w14:paraId="4ECC6A25" w14:textId="77777777" w:rsidR="000755FE" w:rsidRPr="000755FE" w:rsidRDefault="000755FE" w:rsidP="000755FE">
            <w:pPr>
              <w:spacing w:before="120" w:after="120"/>
              <w:ind w:left="-90"/>
              <w:jc w:val="both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Total GHG emissions (kilogram of CO</w:t>
            </w:r>
            <w:r w:rsidRPr="000755FE">
              <w:rPr>
                <w:rFonts w:ascii="Times New Roman" w:hAnsi="Times New Roman"/>
                <w:vertAlign w:val="subscript"/>
                <w:lang w:eastAsia="ja-JP"/>
              </w:rPr>
              <w:t>2</w:t>
            </w:r>
            <w:r w:rsidRPr="000755FE">
              <w:rPr>
                <w:rFonts w:ascii="Times New Roman" w:hAnsi="Times New Roman"/>
                <w:lang w:eastAsia="ja-JP"/>
              </w:rPr>
              <w:t xml:space="preserve"> equivalent) per $ GDP in US$ of 2000</w:t>
            </w:r>
          </w:p>
        </w:tc>
        <w:tc>
          <w:tcPr>
            <w:tcW w:w="656" w:type="pct"/>
            <w:tcBorders>
              <w:bottom w:val="single" w:sz="4" w:space="0" w:color="7F7F7F" w:themeColor="text1" w:themeTint="80"/>
            </w:tcBorders>
          </w:tcPr>
          <w:p w14:paraId="1310EB41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2.97</w:t>
            </w:r>
          </w:p>
        </w:tc>
        <w:tc>
          <w:tcPr>
            <w:tcW w:w="656" w:type="pct"/>
            <w:tcBorders>
              <w:bottom w:val="single" w:sz="4" w:space="0" w:color="7F7F7F" w:themeColor="text1" w:themeTint="80"/>
            </w:tcBorders>
          </w:tcPr>
          <w:p w14:paraId="0B1DDFFA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3.00</w:t>
            </w:r>
          </w:p>
        </w:tc>
        <w:tc>
          <w:tcPr>
            <w:tcW w:w="656" w:type="pct"/>
            <w:tcBorders>
              <w:bottom w:val="single" w:sz="4" w:space="0" w:color="7F7F7F" w:themeColor="text1" w:themeTint="80"/>
            </w:tcBorders>
          </w:tcPr>
          <w:p w14:paraId="1426389D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0.1</w:t>
            </w:r>
          </w:p>
        </w:tc>
      </w:tr>
    </w:tbl>
    <w:p w14:paraId="2A7BAF0A" w14:textId="77777777" w:rsidR="000755FE" w:rsidRPr="000755FE" w:rsidRDefault="000755FE" w:rsidP="000755FE">
      <w:pPr>
        <w:spacing w:before="120" w:after="120"/>
        <w:ind w:left="-90"/>
        <w:rPr>
          <w:rFonts w:ascii="Times New Roman" w:eastAsia="Times New Roman" w:hAnsi="Times New Roman" w:cs="Times New Roman"/>
          <w:lang w:eastAsia="ja-JP"/>
        </w:rPr>
      </w:pPr>
      <w:r w:rsidRPr="000755FE">
        <w:rPr>
          <w:rFonts w:ascii="Times New Roman" w:eastAsia="Times New Roman" w:hAnsi="Times New Roman" w:cs="Times New Roman"/>
          <w:lang w:eastAsia="ja-JP"/>
        </w:rPr>
        <w:t>Source: (UNFCCC, 2003; MoF, 2011, 2012a-b, 2013, 2014; World Bank, 2012)</w:t>
      </w:r>
    </w:p>
    <w:p w14:paraId="65F6CCB3" w14:textId="77777777" w:rsidR="000755FE" w:rsidRPr="000755FE" w:rsidRDefault="000755FE" w:rsidP="000755FE">
      <w:pPr>
        <w:keepNext/>
        <w:spacing w:before="120" w:after="240"/>
        <w:rPr>
          <w:rFonts w:ascii="Times New Roman" w:eastAsia="Times New Roman" w:hAnsi="Times New Roman" w:cs="Times New Roman"/>
          <w:b/>
          <w:bCs/>
          <w:color w:val="5B9BD5"/>
        </w:rPr>
      </w:pPr>
      <w:r w:rsidRPr="000755FE">
        <w:rPr>
          <w:rFonts w:ascii="Times New Roman" w:eastAsia="Times New Roman" w:hAnsi="Times New Roman" w:cs="Times New Roman"/>
          <w:b/>
          <w:bCs/>
          <w:color w:val="5B9BD5"/>
        </w:rPr>
        <w:lastRenderedPageBreak/>
        <w:t>Table S5. Main contributors to Pakistan's CO</w:t>
      </w:r>
      <w:r w:rsidRPr="000755FE">
        <w:rPr>
          <w:rFonts w:ascii="Times New Roman" w:eastAsia="Times New Roman" w:hAnsi="Times New Roman" w:cs="Times New Roman"/>
          <w:b/>
          <w:bCs/>
          <w:color w:val="5B9BD5"/>
          <w:vertAlign w:val="subscript"/>
        </w:rPr>
        <w:t>2</w:t>
      </w:r>
      <w:r w:rsidRPr="000755FE">
        <w:rPr>
          <w:rFonts w:ascii="Times New Roman" w:eastAsia="Times New Roman" w:hAnsi="Times New Roman" w:cs="Times New Roman"/>
          <w:b/>
          <w:bCs/>
          <w:color w:val="5B9BD5"/>
        </w:rPr>
        <w:t xml:space="preserve"> equivalent GHG emissions, 2012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0755FE" w:rsidRPr="000755FE" w14:paraId="614B5807" w14:textId="77777777" w:rsidTr="009C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  <w:hideMark/>
          </w:tcPr>
          <w:p w14:paraId="4817E676" w14:textId="6735CB48" w:rsidR="000755FE" w:rsidRPr="000755FE" w:rsidRDefault="00E603A6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Source categories</w:t>
            </w:r>
          </w:p>
        </w:tc>
        <w:tc>
          <w:tcPr>
            <w:tcW w:w="2998" w:type="dxa"/>
            <w:vAlign w:val="center"/>
            <w:hideMark/>
          </w:tcPr>
          <w:p w14:paraId="57F12B3C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Percentage share</w:t>
            </w:r>
          </w:p>
        </w:tc>
        <w:tc>
          <w:tcPr>
            <w:tcW w:w="2999" w:type="dxa"/>
            <w:vAlign w:val="center"/>
            <w:hideMark/>
          </w:tcPr>
          <w:p w14:paraId="5A148BFD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Main emission sources</w:t>
            </w:r>
          </w:p>
        </w:tc>
      </w:tr>
      <w:tr w:rsidR="000755FE" w:rsidRPr="000755FE" w14:paraId="690FFA3E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  <w:hideMark/>
          </w:tcPr>
          <w:p w14:paraId="227CECB2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Power generation</w:t>
            </w:r>
          </w:p>
        </w:tc>
        <w:tc>
          <w:tcPr>
            <w:tcW w:w="2998" w:type="dxa"/>
            <w:vAlign w:val="center"/>
          </w:tcPr>
          <w:p w14:paraId="2D912E93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13</w:t>
            </w:r>
          </w:p>
        </w:tc>
        <w:tc>
          <w:tcPr>
            <w:tcW w:w="2999" w:type="dxa"/>
            <w:vAlign w:val="center"/>
            <w:hideMark/>
          </w:tcPr>
          <w:p w14:paraId="35B482F0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Power (oil); Power (gas)</w:t>
            </w:r>
          </w:p>
        </w:tc>
      </w:tr>
      <w:tr w:rsidR="000755FE" w:rsidRPr="000755FE" w14:paraId="1A80ADC3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  <w:hideMark/>
          </w:tcPr>
          <w:p w14:paraId="24FFFA30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Manufacturing industries</w:t>
            </w:r>
          </w:p>
        </w:tc>
        <w:tc>
          <w:tcPr>
            <w:tcW w:w="2998" w:type="dxa"/>
            <w:vAlign w:val="center"/>
          </w:tcPr>
          <w:p w14:paraId="0B2DB8DD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10</w:t>
            </w:r>
          </w:p>
        </w:tc>
        <w:tc>
          <w:tcPr>
            <w:tcW w:w="2999" w:type="dxa"/>
            <w:vAlign w:val="center"/>
            <w:hideMark/>
          </w:tcPr>
          <w:p w14:paraId="7419BD50" w14:textId="77777777" w:rsidR="000755FE" w:rsidRPr="000755FE" w:rsidRDefault="00345E7B" w:rsidP="00235D4A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 xml:space="preserve">Fertilizer; </w:t>
            </w:r>
            <w:r w:rsidR="00235D4A">
              <w:rPr>
                <w:rFonts w:ascii="Times New Roman" w:hAnsi="Times New Roman"/>
                <w:lang w:eastAsia="ja-JP"/>
              </w:rPr>
              <w:t>Cement; Brick Kiln; Iron and Steel; General industry</w:t>
            </w:r>
          </w:p>
        </w:tc>
      </w:tr>
      <w:tr w:rsidR="000755FE" w:rsidRPr="000755FE" w14:paraId="6AE1D950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</w:tcPr>
          <w:p w14:paraId="5596C384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Transport</w:t>
            </w:r>
          </w:p>
        </w:tc>
        <w:tc>
          <w:tcPr>
            <w:tcW w:w="2998" w:type="dxa"/>
            <w:vAlign w:val="center"/>
          </w:tcPr>
          <w:p w14:paraId="13D78934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10</w:t>
            </w:r>
          </w:p>
        </w:tc>
        <w:tc>
          <w:tcPr>
            <w:tcW w:w="2999" w:type="dxa"/>
            <w:vAlign w:val="center"/>
          </w:tcPr>
          <w:p w14:paraId="4EB75918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Highly dispersed and mobile</w:t>
            </w:r>
          </w:p>
        </w:tc>
      </w:tr>
      <w:tr w:rsidR="000755FE" w:rsidRPr="000755FE" w14:paraId="6C836FA8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  <w:hideMark/>
          </w:tcPr>
          <w:p w14:paraId="755ACBF8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Mineral products</w:t>
            </w:r>
          </w:p>
        </w:tc>
        <w:tc>
          <w:tcPr>
            <w:tcW w:w="2998" w:type="dxa"/>
            <w:vAlign w:val="center"/>
          </w:tcPr>
          <w:p w14:paraId="374FD750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4</w:t>
            </w:r>
          </w:p>
        </w:tc>
        <w:tc>
          <w:tcPr>
            <w:tcW w:w="2999" w:type="dxa"/>
            <w:vAlign w:val="center"/>
            <w:hideMark/>
          </w:tcPr>
          <w:p w14:paraId="0D03F966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Cement production</w:t>
            </w:r>
          </w:p>
        </w:tc>
      </w:tr>
      <w:tr w:rsidR="000755FE" w:rsidRPr="000755FE" w14:paraId="17E31866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  <w:hideMark/>
          </w:tcPr>
          <w:p w14:paraId="095F6351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Livestock</w:t>
            </w:r>
          </w:p>
        </w:tc>
        <w:tc>
          <w:tcPr>
            <w:tcW w:w="2998" w:type="dxa"/>
            <w:vAlign w:val="center"/>
          </w:tcPr>
          <w:p w14:paraId="2B71C177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23</w:t>
            </w:r>
          </w:p>
        </w:tc>
        <w:tc>
          <w:tcPr>
            <w:tcW w:w="2999" w:type="dxa"/>
            <w:vAlign w:val="center"/>
            <w:hideMark/>
          </w:tcPr>
          <w:p w14:paraId="4617BE0F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Highly dispersed</w:t>
            </w:r>
          </w:p>
        </w:tc>
      </w:tr>
      <w:tr w:rsidR="000755FE" w:rsidRPr="000755FE" w14:paraId="1ECD1A1D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  <w:hideMark/>
          </w:tcPr>
          <w:p w14:paraId="7E2BB773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Synthetic fertilizer use</w:t>
            </w:r>
          </w:p>
        </w:tc>
        <w:tc>
          <w:tcPr>
            <w:tcW w:w="2998" w:type="dxa"/>
            <w:vAlign w:val="center"/>
          </w:tcPr>
          <w:p w14:paraId="6E29B208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20</w:t>
            </w:r>
          </w:p>
        </w:tc>
        <w:tc>
          <w:tcPr>
            <w:tcW w:w="2999" w:type="dxa"/>
            <w:vAlign w:val="center"/>
            <w:hideMark/>
          </w:tcPr>
          <w:p w14:paraId="509FD577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Highly dispersed</w:t>
            </w:r>
          </w:p>
        </w:tc>
      </w:tr>
      <w:tr w:rsidR="000755FE" w:rsidRPr="000755FE" w14:paraId="7AA666FC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  <w:hideMark/>
          </w:tcPr>
          <w:p w14:paraId="3D6F82E2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Solid waste disposal</w:t>
            </w:r>
          </w:p>
        </w:tc>
        <w:tc>
          <w:tcPr>
            <w:tcW w:w="2998" w:type="dxa"/>
            <w:vAlign w:val="center"/>
          </w:tcPr>
          <w:p w14:paraId="79FCE25A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2</w:t>
            </w:r>
          </w:p>
        </w:tc>
        <w:tc>
          <w:tcPr>
            <w:tcW w:w="2999" w:type="dxa"/>
            <w:vAlign w:val="center"/>
            <w:hideMark/>
          </w:tcPr>
          <w:p w14:paraId="7584971F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Highly dispersed</w:t>
            </w:r>
          </w:p>
        </w:tc>
      </w:tr>
      <w:tr w:rsidR="000755FE" w:rsidRPr="000755FE" w14:paraId="5647C17C" w14:textId="77777777" w:rsidTr="009C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</w:tcPr>
          <w:p w14:paraId="5CC9D2F2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Other sources</w:t>
            </w:r>
          </w:p>
        </w:tc>
        <w:tc>
          <w:tcPr>
            <w:tcW w:w="2998" w:type="dxa"/>
            <w:vAlign w:val="center"/>
          </w:tcPr>
          <w:p w14:paraId="45AE826D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18</w:t>
            </w:r>
          </w:p>
        </w:tc>
        <w:tc>
          <w:tcPr>
            <w:tcW w:w="2999" w:type="dxa"/>
            <w:vAlign w:val="center"/>
          </w:tcPr>
          <w:p w14:paraId="52CE7ABF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Varied and dispersed</w:t>
            </w:r>
          </w:p>
        </w:tc>
      </w:tr>
      <w:tr w:rsidR="000755FE" w:rsidRPr="000755FE" w14:paraId="0A483115" w14:textId="77777777" w:rsidTr="009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vAlign w:val="center"/>
            <w:hideMark/>
          </w:tcPr>
          <w:p w14:paraId="19D6928F" w14:textId="77777777" w:rsidR="000755FE" w:rsidRPr="000755FE" w:rsidRDefault="000755FE" w:rsidP="000755FE">
            <w:pPr>
              <w:spacing w:before="120" w:after="120"/>
              <w:ind w:left="-90"/>
              <w:jc w:val="center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Total</w:t>
            </w:r>
          </w:p>
        </w:tc>
        <w:tc>
          <w:tcPr>
            <w:tcW w:w="2998" w:type="dxa"/>
            <w:vAlign w:val="center"/>
          </w:tcPr>
          <w:p w14:paraId="57C129A0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100</w:t>
            </w:r>
          </w:p>
        </w:tc>
        <w:tc>
          <w:tcPr>
            <w:tcW w:w="2999" w:type="dxa"/>
            <w:vAlign w:val="center"/>
            <w:hideMark/>
          </w:tcPr>
          <w:p w14:paraId="2866C960" w14:textId="77777777" w:rsidR="000755FE" w:rsidRPr="000755FE" w:rsidRDefault="000755FE" w:rsidP="000755FE">
            <w:pPr>
              <w:spacing w:before="120" w:after="120"/>
              <w:ind w:lef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ja-JP"/>
              </w:rPr>
            </w:pPr>
            <w:r w:rsidRPr="000755FE">
              <w:rPr>
                <w:rFonts w:ascii="Times New Roman" w:hAnsi="Times New Roman"/>
                <w:lang w:eastAsia="ja-JP"/>
              </w:rPr>
              <w:t>As above</w:t>
            </w:r>
          </w:p>
        </w:tc>
      </w:tr>
    </w:tbl>
    <w:p w14:paraId="0E8FB7DE" w14:textId="77777777" w:rsidR="000755FE" w:rsidRPr="000755FE" w:rsidRDefault="000755FE" w:rsidP="000755FE">
      <w:pPr>
        <w:spacing w:before="120" w:after="120"/>
        <w:ind w:left="-90"/>
        <w:rPr>
          <w:rFonts w:ascii="Times New Roman" w:eastAsia="Times New Roman" w:hAnsi="Times New Roman" w:cs="Times New Roman"/>
          <w:lang w:eastAsia="ja-JP"/>
        </w:rPr>
      </w:pPr>
    </w:p>
    <w:p w14:paraId="3A8D6CD5" w14:textId="129B8488" w:rsidR="000755FE" w:rsidRPr="000755FE" w:rsidRDefault="001F3460" w:rsidP="000755FE">
      <w:pPr>
        <w:spacing w:after="160" w:line="360" w:lineRule="auto"/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43251907" wp14:editId="6D2914CC">
            <wp:extent cx="4572000" cy="74959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7496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4EF29" w14:textId="77777777" w:rsidR="000755FE" w:rsidRPr="000755FE" w:rsidRDefault="000755FE" w:rsidP="000755FE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5B9BD5"/>
          <w:lang w:eastAsia="ja-JP"/>
        </w:rPr>
      </w:pPr>
      <w:r w:rsidRPr="000755FE">
        <w:rPr>
          <w:rFonts w:ascii="Times New Roman" w:eastAsia="Times New Roman" w:hAnsi="Times New Roman" w:cs="Times New Roman"/>
          <w:b/>
          <w:bCs/>
          <w:color w:val="5B9BD5"/>
        </w:rPr>
        <w:t>Figure S1: GHG emissions from (a) industrial processes, (b) agriculture, and (c) waste sector</w:t>
      </w:r>
    </w:p>
    <w:p w14:paraId="12A7D230" w14:textId="77777777" w:rsidR="000755FE" w:rsidRPr="000755FE" w:rsidRDefault="000755FE" w:rsidP="000755FE">
      <w:pPr>
        <w:spacing w:after="160" w:line="360" w:lineRule="auto"/>
        <w:rPr>
          <w:rFonts w:ascii="Times New Roman" w:eastAsia="Times New Roman" w:hAnsi="Times New Roman" w:cs="Times New Roman"/>
          <w:lang w:eastAsia="ja-JP"/>
        </w:rPr>
      </w:pPr>
      <w:r w:rsidRPr="000755FE">
        <w:rPr>
          <w:rFonts w:ascii="Times New Roman" w:eastAsia="Times New Roman" w:hAnsi="Times New Roman" w:cs="Times New Roman"/>
          <w:lang w:eastAsia="ja-JP"/>
        </w:rPr>
        <w:br w:type="page"/>
      </w:r>
    </w:p>
    <w:p w14:paraId="4B372A31" w14:textId="77777777" w:rsidR="000755FE" w:rsidRPr="000755FE" w:rsidRDefault="000755FE" w:rsidP="000755FE">
      <w:pPr>
        <w:keepNext/>
        <w:spacing w:after="360"/>
        <w:jc w:val="center"/>
        <w:rPr>
          <w:rFonts w:ascii="Times New Roman" w:eastAsia="Calibri" w:hAnsi="Times New Roman" w:cs="Times New Roman"/>
          <w:b/>
          <w:bCs/>
          <w:color w:val="5B9BD5"/>
        </w:rPr>
      </w:pPr>
      <w:r w:rsidRPr="000755FE">
        <w:rPr>
          <w:rFonts w:ascii="Times New Roman" w:eastAsia="Calibri" w:hAnsi="Times New Roman" w:cs="Times New Roman"/>
          <w:b/>
          <w:bCs/>
          <w:color w:val="5B9BD5"/>
        </w:rPr>
        <w:lastRenderedPageBreak/>
        <w:t>References</w:t>
      </w:r>
    </w:p>
    <w:p w14:paraId="1E5A80D4" w14:textId="77777777" w:rsidR="000755FE" w:rsidRPr="000755FE" w:rsidRDefault="000755FE" w:rsidP="000755FE">
      <w:pPr>
        <w:tabs>
          <w:tab w:val="left" w:pos="360"/>
        </w:tabs>
        <w:spacing w:before="120" w:after="120" w:line="264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0755FE">
        <w:rPr>
          <w:rFonts w:ascii="Times New Roman" w:eastAsia="Calibri" w:hAnsi="Times New Roman" w:cs="Times New Roman"/>
        </w:rPr>
        <w:t>HDIP, (2013): Pakistan Energy Yearbook 2012, Hydrocarbon Development Institute of Pakistan, Ministry of Petroleum and Natural Resources, Government of Pakistan, Islamabad.</w:t>
      </w:r>
    </w:p>
    <w:p w14:paraId="110D157E" w14:textId="77777777" w:rsidR="000755FE" w:rsidRPr="000755FE" w:rsidRDefault="000755FE" w:rsidP="000755FE">
      <w:pPr>
        <w:tabs>
          <w:tab w:val="left" w:pos="360"/>
        </w:tabs>
        <w:spacing w:before="120" w:after="120" w:line="264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0755FE">
        <w:rPr>
          <w:rFonts w:ascii="Times New Roman" w:eastAsia="Calibri" w:hAnsi="Times New Roman" w:cs="Times New Roman"/>
        </w:rPr>
        <w:t>IPCC, (1997): Revised 1996 IPCC Guidelines for National Greenhouse Gas Inventories [J.T. Houghton, L.G. Meira Filho, B. Lim, K. Treanton, I. Mamaty, Y. Bonduki, D.J. Griggs, and B.A. Callander (eds.)]. Intergovernmental Panel on Climate Change, Meteorological Office, Bracknell, United Kingdom.</w:t>
      </w:r>
    </w:p>
    <w:p w14:paraId="3DFE3966" w14:textId="5A34D18A" w:rsidR="000755FE" w:rsidRPr="000755FE" w:rsidRDefault="000755FE" w:rsidP="000755FE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Cs/>
          <w:color w:val="0563C1"/>
          <w:u w:val="single"/>
        </w:rPr>
      </w:pPr>
      <w:r w:rsidRPr="000755FE">
        <w:rPr>
          <w:rFonts w:ascii="Times New Roman" w:eastAsia="Calibri" w:hAnsi="Times New Roman" w:cs="Times New Roman"/>
          <w:bCs/>
        </w:rPr>
        <w:t xml:space="preserve">MoF, (2011). </w:t>
      </w:r>
      <w:r w:rsidRPr="000755FE">
        <w:rPr>
          <w:rFonts w:ascii="Times New Roman" w:eastAsia="Calibri" w:hAnsi="Times New Roman" w:cs="Times New Roman"/>
        </w:rPr>
        <w:t>Annual Report 2010-11 (State of the Economy).</w:t>
      </w:r>
      <w:r w:rsidRPr="000755FE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0755FE">
        <w:rPr>
          <w:rFonts w:ascii="Times New Roman" w:eastAsia="Calibri" w:hAnsi="Times New Roman" w:cs="Times New Roman"/>
          <w:bCs/>
        </w:rPr>
        <w:t>Government of Pakistan</w:t>
      </w:r>
      <w:r w:rsidRPr="000755FE">
        <w:rPr>
          <w:rFonts w:ascii="Times New Roman" w:eastAsia="Calibri" w:hAnsi="Times New Roman" w:cs="Times New Roman"/>
        </w:rPr>
        <w:t>, Islamabad</w:t>
      </w:r>
      <w:r w:rsidRPr="000755FE">
        <w:rPr>
          <w:rFonts w:ascii="Times New Roman" w:eastAsia="Calibri" w:hAnsi="Times New Roman" w:cs="Times New Roman"/>
          <w:bCs/>
        </w:rPr>
        <w:t xml:space="preserve"> (Available at: </w:t>
      </w:r>
      <w:hyperlink r:id="rId6" w:history="1">
        <w:r w:rsidRPr="000755FE">
          <w:rPr>
            <w:rFonts w:ascii="Times New Roman" w:eastAsia="Calibri" w:hAnsi="Times New Roman" w:cs="Times New Roman"/>
            <w:bCs/>
            <w:color w:val="0563C1"/>
            <w:u w:val="single"/>
          </w:rPr>
          <w:t>www.sbp.org.pk/reports/annual/</w:t>
        </w:r>
      </w:hyperlink>
      <w:r w:rsidRPr="000755FE">
        <w:rPr>
          <w:rFonts w:ascii="Times New Roman" w:eastAsia="Calibri" w:hAnsi="Times New Roman" w:cs="Times New Roman"/>
          <w:bCs/>
          <w:color w:val="0563C1"/>
          <w:u w:val="single"/>
        </w:rPr>
        <w:t>)</w:t>
      </w:r>
      <w:r w:rsidR="000973C0">
        <w:rPr>
          <w:rFonts w:ascii="Times New Roman" w:eastAsia="Calibri" w:hAnsi="Times New Roman" w:cs="Times New Roman"/>
          <w:bCs/>
          <w:color w:val="0563C1"/>
          <w:u w:val="single"/>
        </w:rPr>
        <w:t>.</w:t>
      </w:r>
    </w:p>
    <w:p w14:paraId="5CECC17D" w14:textId="7107FAFE" w:rsidR="000755FE" w:rsidRPr="000755FE" w:rsidRDefault="000755FE" w:rsidP="000755FE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Cs/>
        </w:rPr>
      </w:pPr>
      <w:r w:rsidRPr="000755FE">
        <w:rPr>
          <w:rFonts w:ascii="Times New Roman" w:eastAsia="Calibri" w:hAnsi="Times New Roman" w:cs="Times New Roman"/>
          <w:bCs/>
        </w:rPr>
        <w:t xml:space="preserve">MoF, (2012a). </w:t>
      </w:r>
      <w:r w:rsidRPr="000755FE">
        <w:rPr>
          <w:rFonts w:ascii="Times New Roman" w:eastAsia="Calibri" w:hAnsi="Times New Roman" w:cs="Times New Roman"/>
        </w:rPr>
        <w:t>Annual Report 2011-12 (State of the Economy).</w:t>
      </w:r>
      <w:r w:rsidRPr="000755FE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0755FE">
        <w:rPr>
          <w:rFonts w:ascii="Times New Roman" w:eastAsia="Calibri" w:hAnsi="Times New Roman" w:cs="Times New Roman"/>
          <w:bCs/>
        </w:rPr>
        <w:t>Government of Pakistan</w:t>
      </w:r>
      <w:r w:rsidRPr="000755FE">
        <w:rPr>
          <w:rFonts w:ascii="Times New Roman" w:eastAsia="Calibri" w:hAnsi="Times New Roman" w:cs="Times New Roman"/>
        </w:rPr>
        <w:t>, Islamabad</w:t>
      </w:r>
      <w:r w:rsidRPr="000755FE">
        <w:rPr>
          <w:rFonts w:ascii="Times New Roman" w:eastAsia="Calibri" w:hAnsi="Times New Roman" w:cs="Times New Roman"/>
          <w:bCs/>
        </w:rPr>
        <w:t xml:space="preserve"> (Available at: </w:t>
      </w:r>
      <w:hyperlink r:id="rId7" w:history="1">
        <w:r w:rsidRPr="000755FE">
          <w:rPr>
            <w:rFonts w:ascii="Times New Roman" w:eastAsia="Calibri" w:hAnsi="Times New Roman" w:cs="Times New Roman"/>
            <w:bCs/>
            <w:color w:val="0563C1"/>
            <w:u w:val="single"/>
          </w:rPr>
          <w:t>www.sbp.org.pk/reports/annual/</w:t>
        </w:r>
      </w:hyperlink>
      <w:r w:rsidRPr="000755FE">
        <w:rPr>
          <w:rFonts w:ascii="Times New Roman" w:eastAsia="Calibri" w:hAnsi="Times New Roman" w:cs="Times New Roman"/>
          <w:bCs/>
          <w:color w:val="0563C1"/>
          <w:u w:val="single"/>
        </w:rPr>
        <w:t>)</w:t>
      </w:r>
      <w:r w:rsidR="000973C0">
        <w:rPr>
          <w:rFonts w:ascii="Times New Roman" w:eastAsia="Calibri" w:hAnsi="Times New Roman" w:cs="Times New Roman"/>
          <w:bCs/>
          <w:color w:val="0563C1"/>
          <w:u w:val="single"/>
        </w:rPr>
        <w:t>.</w:t>
      </w:r>
    </w:p>
    <w:p w14:paraId="01C7C489" w14:textId="77777777" w:rsidR="000755FE" w:rsidRPr="000755FE" w:rsidRDefault="000755FE" w:rsidP="000755FE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Cs/>
        </w:rPr>
      </w:pPr>
      <w:r w:rsidRPr="000755FE">
        <w:rPr>
          <w:rFonts w:ascii="Times New Roman" w:eastAsia="Calibri" w:hAnsi="Times New Roman" w:cs="Times New Roman"/>
          <w:bCs/>
        </w:rPr>
        <w:t>MoF, (2012b). Pakistan Statistical Year Book 2012, Pakistan Bureau of Statistics, Government of Pakistan</w:t>
      </w:r>
      <w:r w:rsidRPr="000755FE">
        <w:rPr>
          <w:rFonts w:ascii="Times New Roman" w:eastAsia="Calibri" w:hAnsi="Times New Roman" w:cs="Times New Roman"/>
        </w:rPr>
        <w:t>, Islamabad</w:t>
      </w:r>
      <w:r w:rsidRPr="000755FE">
        <w:rPr>
          <w:rFonts w:ascii="Times New Roman" w:eastAsia="Calibri" w:hAnsi="Times New Roman" w:cs="Times New Roman"/>
          <w:bCs/>
        </w:rPr>
        <w:t xml:space="preserve"> (Available at: </w:t>
      </w:r>
      <w:hyperlink r:id="rId8" w:history="1">
        <w:r w:rsidRPr="000755FE">
          <w:rPr>
            <w:rFonts w:ascii="Times New Roman" w:eastAsia="Calibri" w:hAnsi="Times New Roman" w:cs="Times New Roman"/>
            <w:bCs/>
            <w:color w:val="0563C1"/>
            <w:u w:val="single"/>
          </w:rPr>
          <w:t>www.pbs.gov.pk/content/pakistan-statistical-year-book-2012</w:t>
        </w:r>
      </w:hyperlink>
      <w:r w:rsidRPr="000755FE">
        <w:rPr>
          <w:rFonts w:ascii="Times New Roman" w:eastAsia="Calibri" w:hAnsi="Times New Roman" w:cs="Times New Roman"/>
          <w:bCs/>
          <w:color w:val="0563C1"/>
          <w:u w:val="single"/>
        </w:rPr>
        <w:t xml:space="preserve">) </w:t>
      </w:r>
    </w:p>
    <w:p w14:paraId="67CB735D" w14:textId="1EF32610" w:rsidR="000755FE" w:rsidRPr="000755FE" w:rsidRDefault="000755FE" w:rsidP="000755FE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Cs/>
        </w:rPr>
      </w:pPr>
      <w:r w:rsidRPr="000755FE">
        <w:rPr>
          <w:rFonts w:ascii="Times New Roman" w:eastAsia="Calibri" w:hAnsi="Times New Roman" w:cs="Times New Roman"/>
          <w:bCs/>
        </w:rPr>
        <w:t xml:space="preserve">MoF, (2013). </w:t>
      </w:r>
      <w:r w:rsidRPr="000755FE">
        <w:rPr>
          <w:rFonts w:ascii="Times New Roman" w:eastAsia="Calibri" w:hAnsi="Times New Roman" w:cs="Times New Roman"/>
        </w:rPr>
        <w:t>Annual Report 2012-13 (State of the Economy).</w:t>
      </w:r>
      <w:r w:rsidRPr="000755FE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0755FE">
        <w:rPr>
          <w:rFonts w:ascii="Times New Roman" w:eastAsia="Calibri" w:hAnsi="Times New Roman" w:cs="Times New Roman"/>
          <w:bCs/>
        </w:rPr>
        <w:t>Government of Pakistan</w:t>
      </w:r>
      <w:r w:rsidRPr="000755FE">
        <w:rPr>
          <w:rFonts w:ascii="Times New Roman" w:eastAsia="Calibri" w:hAnsi="Times New Roman" w:cs="Times New Roman"/>
        </w:rPr>
        <w:t>, Islamabad</w:t>
      </w:r>
      <w:r w:rsidRPr="000755FE">
        <w:rPr>
          <w:rFonts w:ascii="Times New Roman" w:eastAsia="Calibri" w:hAnsi="Times New Roman" w:cs="Times New Roman"/>
          <w:bCs/>
        </w:rPr>
        <w:t xml:space="preserve"> (Available at: </w:t>
      </w:r>
      <w:hyperlink r:id="rId9" w:history="1">
        <w:r w:rsidRPr="000755FE">
          <w:rPr>
            <w:rFonts w:ascii="Times New Roman" w:eastAsia="Calibri" w:hAnsi="Times New Roman" w:cs="Times New Roman"/>
            <w:bCs/>
            <w:color w:val="0563C1"/>
            <w:u w:val="single"/>
          </w:rPr>
          <w:t>www.sbp.org.pk/reports/annual/</w:t>
        </w:r>
      </w:hyperlink>
      <w:r w:rsidRPr="000755FE">
        <w:rPr>
          <w:rFonts w:ascii="Times New Roman" w:eastAsia="Calibri" w:hAnsi="Times New Roman" w:cs="Times New Roman"/>
          <w:bCs/>
          <w:color w:val="0563C1"/>
          <w:u w:val="single"/>
        </w:rPr>
        <w:t>)</w:t>
      </w:r>
      <w:r w:rsidR="000973C0">
        <w:rPr>
          <w:rFonts w:ascii="Times New Roman" w:eastAsia="Calibri" w:hAnsi="Times New Roman" w:cs="Times New Roman"/>
          <w:bCs/>
          <w:color w:val="0563C1"/>
          <w:u w:val="single"/>
        </w:rPr>
        <w:t>.</w:t>
      </w:r>
    </w:p>
    <w:p w14:paraId="0315AE74" w14:textId="77777777" w:rsidR="000755FE" w:rsidRPr="000755FE" w:rsidRDefault="000755FE" w:rsidP="000755FE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bCs/>
        </w:rPr>
      </w:pPr>
      <w:r w:rsidRPr="000755FE">
        <w:rPr>
          <w:rFonts w:ascii="Times New Roman" w:eastAsia="Calibri" w:hAnsi="Times New Roman" w:cs="Times New Roman"/>
          <w:bCs/>
        </w:rPr>
        <w:t>MoF, (2014). Pakistan Economic Survey (2013-14), Ministry of Finance (MoF), Government of Pakistan</w:t>
      </w:r>
      <w:r w:rsidRPr="000755FE">
        <w:rPr>
          <w:rFonts w:ascii="Times New Roman" w:eastAsia="Calibri" w:hAnsi="Times New Roman" w:cs="Times New Roman"/>
        </w:rPr>
        <w:t>, Islamabad</w:t>
      </w:r>
      <w:r w:rsidRPr="000755FE">
        <w:rPr>
          <w:rFonts w:ascii="Times New Roman" w:eastAsia="Calibri" w:hAnsi="Times New Roman" w:cs="Times New Roman"/>
          <w:bCs/>
        </w:rPr>
        <w:t xml:space="preserve"> (Available at: </w:t>
      </w:r>
      <w:hyperlink r:id="rId10" w:history="1">
        <w:r w:rsidRPr="000755FE">
          <w:rPr>
            <w:rFonts w:ascii="Times New Roman" w:eastAsia="Calibri" w:hAnsi="Times New Roman" w:cs="Times New Roman"/>
            <w:bCs/>
            <w:color w:val="0563C1"/>
            <w:u w:val="single"/>
          </w:rPr>
          <w:t>www.finance.gov.pk/survey_1415.html</w:t>
        </w:r>
      </w:hyperlink>
      <w:r w:rsidRPr="000755FE">
        <w:rPr>
          <w:rFonts w:ascii="Times New Roman" w:eastAsia="Calibri" w:hAnsi="Times New Roman" w:cs="Times New Roman"/>
          <w:bCs/>
          <w:color w:val="0563C1"/>
          <w:u w:val="single"/>
        </w:rPr>
        <w:t>)</w:t>
      </w:r>
      <w:r w:rsidRPr="000755FE">
        <w:rPr>
          <w:rFonts w:ascii="Times New Roman" w:eastAsia="Calibri" w:hAnsi="Times New Roman" w:cs="Times New Roman"/>
          <w:bCs/>
        </w:rPr>
        <w:t>.</w:t>
      </w:r>
    </w:p>
    <w:p w14:paraId="71D23F53" w14:textId="77777777" w:rsidR="000755FE" w:rsidRPr="000755FE" w:rsidRDefault="000755FE" w:rsidP="000755FE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0755FE">
        <w:rPr>
          <w:rFonts w:ascii="Times New Roman" w:eastAsia="Calibri" w:hAnsi="Times New Roman" w:cs="Times New Roman"/>
        </w:rPr>
        <w:t xml:space="preserve">UNFCCC. 2003. Pakistan’s Initial National Communication on Climate Change. United Nations Framework Convention on Climate Change (UNFCCC), Bonn (Available at: </w:t>
      </w:r>
      <w:r w:rsidRPr="000973C0">
        <w:rPr>
          <w:rFonts w:ascii="Times New Roman" w:eastAsia="Calibri" w:hAnsi="Times New Roman" w:cs="Times New Roman"/>
          <w:bCs/>
          <w:color w:val="0563C1"/>
          <w:u w:val="single"/>
        </w:rPr>
        <w:t>unfccc.int/resource/docs/natc/paknc1.pdf).</w:t>
      </w:r>
      <w:r w:rsidRPr="000755FE">
        <w:rPr>
          <w:rFonts w:ascii="Times New Roman" w:eastAsia="Calibri" w:hAnsi="Times New Roman" w:cs="Times New Roman"/>
        </w:rPr>
        <w:t xml:space="preserve">  </w:t>
      </w:r>
    </w:p>
    <w:p w14:paraId="29D45349" w14:textId="77777777" w:rsidR="000755FE" w:rsidRPr="000755FE" w:rsidRDefault="000755FE" w:rsidP="000755FE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eastAsia="Calibri" w:hAnsi="Times New Roman" w:cs="Times New Roman"/>
          <w:color w:val="0563C1"/>
          <w:u w:val="single"/>
        </w:rPr>
      </w:pPr>
      <w:r w:rsidRPr="000755FE">
        <w:rPr>
          <w:rFonts w:ascii="Times New Roman" w:eastAsia="Calibri" w:hAnsi="Times New Roman" w:cs="Times New Roman"/>
        </w:rPr>
        <w:t xml:space="preserve">World Bank, (2012). World Bank National Accounts Data 2012. The World Bank Group, Washington, D.C. (Available at: </w:t>
      </w:r>
      <w:hyperlink r:id="rId11" w:history="1">
        <w:r w:rsidRPr="000755FE">
          <w:rPr>
            <w:rFonts w:ascii="Times New Roman" w:eastAsia="Calibri" w:hAnsi="Times New Roman" w:cs="Times New Roman"/>
            <w:color w:val="0563C1"/>
            <w:u w:val="single"/>
          </w:rPr>
          <w:t>http://databank.worldbank.org/data/databases.aspx</w:t>
        </w:r>
      </w:hyperlink>
      <w:r w:rsidRPr="000755FE">
        <w:rPr>
          <w:rFonts w:ascii="Times New Roman" w:eastAsia="Calibri" w:hAnsi="Times New Roman" w:cs="Times New Roman"/>
          <w:color w:val="0563C1"/>
          <w:u w:val="single"/>
        </w:rPr>
        <w:t>).</w:t>
      </w:r>
    </w:p>
    <w:p w14:paraId="518BD2F0" w14:textId="77777777" w:rsidR="001678A0" w:rsidRDefault="001678A0"/>
    <w:sectPr w:rsidR="0016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ADD6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UROHIT Pallav">
    <w15:presenceInfo w15:providerId="AD" w15:userId="S-1-5-21-2867065932-3971483559-2346384291-1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FE"/>
    <w:rsid w:val="000755FE"/>
    <w:rsid w:val="000973C0"/>
    <w:rsid w:val="000C31D5"/>
    <w:rsid w:val="00132D30"/>
    <w:rsid w:val="001678A0"/>
    <w:rsid w:val="001F3460"/>
    <w:rsid w:val="00235D4A"/>
    <w:rsid w:val="00345E7B"/>
    <w:rsid w:val="00364147"/>
    <w:rsid w:val="00541317"/>
    <w:rsid w:val="005B205F"/>
    <w:rsid w:val="006238E0"/>
    <w:rsid w:val="006636BD"/>
    <w:rsid w:val="006813DA"/>
    <w:rsid w:val="006B2EEB"/>
    <w:rsid w:val="007D3A39"/>
    <w:rsid w:val="007E0A67"/>
    <w:rsid w:val="008A21DE"/>
    <w:rsid w:val="00B17AA7"/>
    <w:rsid w:val="00BA72FB"/>
    <w:rsid w:val="00C1453A"/>
    <w:rsid w:val="00C203CF"/>
    <w:rsid w:val="00C378FC"/>
    <w:rsid w:val="00CC0399"/>
    <w:rsid w:val="00D4575A"/>
    <w:rsid w:val="00D707B2"/>
    <w:rsid w:val="00DA618F"/>
    <w:rsid w:val="00DB2F77"/>
    <w:rsid w:val="00E1602C"/>
    <w:rsid w:val="00E603A6"/>
    <w:rsid w:val="00EC6E21"/>
    <w:rsid w:val="00ED5657"/>
    <w:rsid w:val="00E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0755FE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PlainTable21">
    <w:name w:val="Plain Table 21"/>
    <w:basedOn w:val="TableNormal"/>
    <w:uiPriority w:val="42"/>
    <w:rsid w:val="000755F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7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A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0755FE"/>
    <w:pPr>
      <w:spacing w:after="0" w:line="240" w:lineRule="auto"/>
    </w:pPr>
    <w:rPr>
      <w:rFonts w:eastAsia="Times New Roman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PlainTable21">
    <w:name w:val="Plain Table 21"/>
    <w:basedOn w:val="TableNormal"/>
    <w:uiPriority w:val="42"/>
    <w:rsid w:val="000755F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7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A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pk/content/pakistan-statistical-year-book-2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annual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p.org.pk/reports/annual/" TargetMode="External"/><Relationship Id="rId11" Type="http://schemas.openxmlformats.org/officeDocument/2006/relationships/hyperlink" Target="http://databank.worldbank.org/data/databases.aspx" TargetMode="External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hyperlink" Target="http://www.finance.gov.pk/survey_14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p.org.pk/reports/annual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Kaleem Anwar Mir</dc:creator>
  <cp:lastModifiedBy>Kaleem Anwar Mir</cp:lastModifiedBy>
  <cp:revision>49</cp:revision>
  <dcterms:created xsi:type="dcterms:W3CDTF">2017-05-04T07:58:00Z</dcterms:created>
  <dcterms:modified xsi:type="dcterms:W3CDTF">2017-09-20T09:58:00Z</dcterms:modified>
</cp:coreProperties>
</file>