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6D0" w:rsidRPr="004A16D0" w:rsidRDefault="004A16D0" w:rsidP="00432D67">
      <w:pPr>
        <w:spacing w:line="360" w:lineRule="auto"/>
        <w:jc w:val="both"/>
        <w:rPr>
          <w:rFonts w:cs="Arial"/>
          <w:b/>
          <w:color w:val="333333"/>
          <w:sz w:val="32"/>
          <w:szCs w:val="32"/>
          <w:shd w:val="clear" w:color="auto" w:fill="FFFFFF"/>
        </w:rPr>
      </w:pPr>
      <w:r w:rsidRPr="004A16D0">
        <w:rPr>
          <w:rFonts w:cs="Arial"/>
          <w:b/>
          <w:color w:val="333333"/>
          <w:sz w:val="32"/>
          <w:szCs w:val="32"/>
          <w:shd w:val="clear" w:color="auto" w:fill="FFFFFF"/>
        </w:rPr>
        <w:t>Technical note on the numerical cal</w:t>
      </w:r>
      <w:r w:rsidR="00E16EBD">
        <w:rPr>
          <w:rFonts w:cs="Arial"/>
          <w:b/>
          <w:color w:val="333333"/>
          <w:sz w:val="32"/>
          <w:szCs w:val="32"/>
          <w:shd w:val="clear" w:color="auto" w:fill="FFFFFF"/>
        </w:rPr>
        <w:t>culations of expenditure shares</w:t>
      </w:r>
      <w:r w:rsidRPr="004A16D0">
        <w:rPr>
          <w:rFonts w:cs="Arial"/>
          <w:b/>
          <w:color w:val="333333"/>
          <w:sz w:val="32"/>
          <w:szCs w:val="32"/>
          <w:shd w:val="clear" w:color="auto" w:fill="FFFFFF"/>
        </w:rPr>
        <w:t xml:space="preserve"> </w:t>
      </w:r>
    </w:p>
    <w:p w:rsidR="004A16D0" w:rsidRDefault="004A16D0" w:rsidP="00432D67">
      <w:pPr>
        <w:autoSpaceDE w:val="0"/>
        <w:autoSpaceDN w:val="0"/>
        <w:adjustRightInd w:val="0"/>
        <w:spacing w:line="360" w:lineRule="auto"/>
      </w:pPr>
    </w:p>
    <w:p w:rsidR="00F64DB9" w:rsidRDefault="00DC778C" w:rsidP="00432D67">
      <w:pPr>
        <w:pStyle w:val="ListParagraph"/>
        <w:numPr>
          <w:ilvl w:val="0"/>
          <w:numId w:val="4"/>
        </w:numPr>
        <w:autoSpaceDE w:val="0"/>
        <w:autoSpaceDN w:val="0"/>
        <w:adjustRightInd w:val="0"/>
        <w:spacing w:line="360" w:lineRule="auto"/>
        <w:rPr>
          <w:b/>
        </w:rPr>
      </w:pPr>
      <w:r w:rsidRPr="00F64DB9">
        <w:rPr>
          <w:b/>
        </w:rPr>
        <w:t>Data</w:t>
      </w:r>
    </w:p>
    <w:p w:rsidR="00F64DB9" w:rsidRDefault="00DC778C" w:rsidP="00432D67">
      <w:pPr>
        <w:pStyle w:val="ListParagraph"/>
        <w:autoSpaceDE w:val="0"/>
        <w:autoSpaceDN w:val="0"/>
        <w:adjustRightInd w:val="0"/>
        <w:spacing w:line="360" w:lineRule="auto"/>
        <w:rPr>
          <w:iCs/>
        </w:rPr>
      </w:pPr>
      <w:r>
        <w:t xml:space="preserve">The scenarios for </w:t>
      </w:r>
      <w:r w:rsidR="00DB2985">
        <w:t>our</w:t>
      </w:r>
      <w:r w:rsidR="001915CC">
        <w:t xml:space="preserve"> analysis w</w:t>
      </w:r>
      <w:r>
        <w:t xml:space="preserve">ere downloaded from the </w:t>
      </w:r>
      <w:r w:rsidRPr="00F64DB9">
        <w:rPr>
          <w:iCs/>
        </w:rPr>
        <w:t>AR5</w:t>
      </w:r>
      <w:r w:rsidR="0047720C">
        <w:rPr>
          <w:iCs/>
        </w:rPr>
        <w:t xml:space="preserve">, SSP </w:t>
      </w:r>
      <w:r w:rsidR="001F7C92" w:rsidRPr="00F64DB9">
        <w:rPr>
          <w:iCs/>
        </w:rPr>
        <w:t>and CD-LINKS</w:t>
      </w:r>
      <w:r w:rsidR="0047720C">
        <w:rPr>
          <w:iCs/>
        </w:rPr>
        <w:t xml:space="preserve"> </w:t>
      </w:r>
      <w:r w:rsidR="0047720C" w:rsidRPr="00F64DB9">
        <w:rPr>
          <w:iCs/>
        </w:rPr>
        <w:t xml:space="preserve">databases (publicly available at </w:t>
      </w:r>
      <w:hyperlink r:id="rId8" w:history="1">
        <w:r w:rsidR="0047720C" w:rsidRPr="00F64DB9">
          <w:rPr>
            <w:rStyle w:val="Hyperlink"/>
            <w:iCs/>
          </w:rPr>
          <w:t>https://tntcat.iiasa.ac.at/AR5DB/</w:t>
        </w:r>
      </w:hyperlink>
      <w:r w:rsidR="0047720C">
        <w:rPr>
          <w:rStyle w:val="Hyperlink"/>
          <w:iCs/>
          <w:color w:val="auto"/>
          <w:u w:val="none"/>
        </w:rPr>
        <w:t xml:space="preserve">, </w:t>
      </w:r>
      <w:hyperlink r:id="rId9" w:history="1">
        <w:r w:rsidR="0047720C" w:rsidRPr="00F64DB9">
          <w:rPr>
            <w:rStyle w:val="Hyperlink"/>
            <w:iCs/>
          </w:rPr>
          <w:t>https://tntcat.iiasa.ac.at/SspDb/</w:t>
        </w:r>
      </w:hyperlink>
      <w:r w:rsidRPr="00F64DB9">
        <w:rPr>
          <w:iCs/>
        </w:rPr>
        <w:t>.</w:t>
      </w:r>
      <w:r w:rsidR="0047720C">
        <w:rPr>
          <w:iCs/>
        </w:rPr>
        <w:t xml:space="preserve">and </w:t>
      </w:r>
      <w:hyperlink r:id="rId10" w:history="1">
        <w:r w:rsidR="0047720C" w:rsidRPr="00F64DB9">
          <w:rPr>
            <w:rStyle w:val="Hyperlink"/>
            <w:iCs/>
          </w:rPr>
          <w:t>https://db1.ene.iiasa.ac.at/CDLINKSDB/</w:t>
        </w:r>
      </w:hyperlink>
      <w:r w:rsidR="0047720C">
        <w:rPr>
          <w:iCs/>
        </w:rPr>
        <w:t xml:space="preserve">) </w:t>
      </w:r>
      <w:r w:rsidR="001F7C92" w:rsidRPr="00F64DB9">
        <w:rPr>
          <w:iCs/>
        </w:rPr>
        <w:t>From the AR5 database w</w:t>
      </w:r>
      <w:r w:rsidR="00DB2985" w:rsidRPr="00F64DB9">
        <w:rPr>
          <w:iCs/>
        </w:rPr>
        <w:t>e incorporate</w:t>
      </w:r>
      <w:r w:rsidR="001915CC" w:rsidRPr="00F64DB9">
        <w:rPr>
          <w:iCs/>
        </w:rPr>
        <w:t>d</w:t>
      </w:r>
      <w:r w:rsidR="00DB2985" w:rsidRPr="00F64DB9">
        <w:rPr>
          <w:iCs/>
        </w:rPr>
        <w:t xml:space="preserve"> all </w:t>
      </w:r>
      <w:r w:rsidRPr="00F64DB9">
        <w:rPr>
          <w:iCs/>
        </w:rPr>
        <w:t xml:space="preserve">scenarios that achieve the </w:t>
      </w:r>
      <w:r w:rsidR="00B64EC7" w:rsidRPr="00F64DB9">
        <w:rPr>
          <w:iCs/>
        </w:rPr>
        <w:t xml:space="preserve">2 degree </w:t>
      </w:r>
      <w:r w:rsidRPr="00F64DB9">
        <w:rPr>
          <w:iCs/>
        </w:rPr>
        <w:t>Paris temperature target</w:t>
      </w:r>
      <w:r w:rsidR="00DB2985" w:rsidRPr="00F64DB9">
        <w:rPr>
          <w:iCs/>
        </w:rPr>
        <w:t xml:space="preserve"> in 2100</w:t>
      </w:r>
      <w:r w:rsidRPr="00F64DB9">
        <w:rPr>
          <w:iCs/>
        </w:rPr>
        <w:t xml:space="preserve"> </w:t>
      </w:r>
      <w:r w:rsidR="001F7C92" w:rsidRPr="00F64DB9">
        <w:rPr>
          <w:iCs/>
        </w:rPr>
        <w:t xml:space="preserve">(global mean surface temperature median value calculated </w:t>
      </w:r>
      <w:r w:rsidR="0047720C">
        <w:rPr>
          <w:iCs/>
        </w:rPr>
        <w:t>using</w:t>
      </w:r>
      <w:r w:rsidR="001F7C92" w:rsidRPr="00F64DB9">
        <w:rPr>
          <w:iCs/>
        </w:rPr>
        <w:t xml:space="preserve"> MAGIC6) </w:t>
      </w:r>
      <w:r w:rsidR="00DB2985" w:rsidRPr="00F64DB9">
        <w:rPr>
          <w:iCs/>
        </w:rPr>
        <w:t xml:space="preserve">or a </w:t>
      </w:r>
      <w:r w:rsidR="001915CC" w:rsidRPr="00F64DB9">
        <w:rPr>
          <w:iCs/>
        </w:rPr>
        <w:t>total</w:t>
      </w:r>
      <w:r w:rsidR="001F7C92" w:rsidRPr="00F64DB9">
        <w:rPr>
          <w:iCs/>
        </w:rPr>
        <w:t xml:space="preserve"> </w:t>
      </w:r>
      <w:r w:rsidR="00DB2985" w:rsidRPr="00F64DB9">
        <w:rPr>
          <w:iCs/>
        </w:rPr>
        <w:t>radiative forcing of 2.6 W/m</w:t>
      </w:r>
      <w:r w:rsidR="00DB2985" w:rsidRPr="00F64DB9">
        <w:rPr>
          <w:iCs/>
          <w:vertAlign w:val="superscript"/>
        </w:rPr>
        <w:t>2</w:t>
      </w:r>
      <w:r w:rsidR="00DB2985" w:rsidRPr="00F64DB9">
        <w:rPr>
          <w:iCs/>
        </w:rPr>
        <w:t xml:space="preserve"> where temperatures </w:t>
      </w:r>
      <w:r w:rsidR="00B64EC7" w:rsidRPr="00F64DB9">
        <w:rPr>
          <w:iCs/>
        </w:rPr>
        <w:t>are not available</w:t>
      </w:r>
      <w:r w:rsidR="001F7C92" w:rsidRPr="00F64DB9">
        <w:rPr>
          <w:iCs/>
        </w:rPr>
        <w:t>. Scenarios without</w:t>
      </w:r>
      <w:r w:rsidRPr="00F64DB9">
        <w:rPr>
          <w:iCs/>
        </w:rPr>
        <w:t xml:space="preserve"> carbon prices and</w:t>
      </w:r>
      <w:r w:rsidR="001F7C92" w:rsidRPr="00F64DB9">
        <w:rPr>
          <w:iCs/>
        </w:rPr>
        <w:t>/or</w:t>
      </w:r>
      <w:r w:rsidRPr="00F64DB9">
        <w:rPr>
          <w:iCs/>
        </w:rPr>
        <w:t xml:space="preserve"> GDP</w:t>
      </w:r>
      <w:r w:rsidR="00DB2985" w:rsidRPr="00F64DB9">
        <w:rPr>
          <w:iCs/>
        </w:rPr>
        <w:t xml:space="preserve"> </w:t>
      </w:r>
      <w:r w:rsidR="001915CC" w:rsidRPr="00F64DB9">
        <w:rPr>
          <w:iCs/>
        </w:rPr>
        <w:t xml:space="preserve">were </w:t>
      </w:r>
      <w:r w:rsidR="001F7C92" w:rsidRPr="00F64DB9">
        <w:rPr>
          <w:iCs/>
        </w:rPr>
        <w:t>discarded</w:t>
      </w:r>
      <w:r w:rsidRPr="00F64DB9">
        <w:rPr>
          <w:iCs/>
        </w:rPr>
        <w:t>, resulting in 1</w:t>
      </w:r>
      <w:r w:rsidR="00DB2985" w:rsidRPr="00F64DB9">
        <w:rPr>
          <w:iCs/>
        </w:rPr>
        <w:t>8</w:t>
      </w:r>
      <w:r w:rsidRPr="00F64DB9">
        <w:rPr>
          <w:iCs/>
        </w:rPr>
        <w:t>6 scenarios</w:t>
      </w:r>
      <w:r w:rsidR="00E60683" w:rsidRPr="00F64DB9">
        <w:rPr>
          <w:iCs/>
        </w:rPr>
        <w:t xml:space="preserve"> from the Integrated Assessment Models</w:t>
      </w:r>
      <w:r w:rsidR="00B64EC7" w:rsidRPr="00F64DB9">
        <w:rPr>
          <w:iCs/>
        </w:rPr>
        <w:t xml:space="preserve"> </w:t>
      </w:r>
      <w:r w:rsidR="00E60683" w:rsidRPr="00B64EC7">
        <w:t>GCAM 2.0, 3.0 and 3.1, IMAGE 2.4, MERGE-ETL_2011, MERGE_EMF27, MESSAGE V.3 and V.4, as well as REMIND 1.4 and 1.5</w:t>
      </w:r>
      <w:r w:rsidRPr="00F64DB9">
        <w:rPr>
          <w:iCs/>
        </w:rPr>
        <w:t xml:space="preserve">. </w:t>
      </w:r>
      <w:r w:rsidR="001915CC" w:rsidRPr="00F64DB9">
        <w:rPr>
          <w:iCs/>
        </w:rPr>
        <w:t>From the SSP database we used all 18 RCP2.6 scenarios from the models AIM/CGE, GCAM4, IMAGE, MESSAGE-GLOBIOM, REMIND-MAGPIE and WITCH-GLOBIOM. From the CD-LINKS database we incorporated 12 scenarios based on carbon budgets of 400 Gt CO</w:t>
      </w:r>
      <w:r w:rsidR="001915CC" w:rsidRPr="00F64DB9">
        <w:rPr>
          <w:iCs/>
          <w:vertAlign w:val="subscript"/>
        </w:rPr>
        <w:t xml:space="preserve">2 </w:t>
      </w:r>
      <w:r w:rsidR="001915CC" w:rsidRPr="00F64DB9">
        <w:rPr>
          <w:iCs/>
        </w:rPr>
        <w:t>(&gt;66% chance for staying below 1.5</w:t>
      </w:r>
      <w:r w:rsidR="001915CC" w:rsidRPr="00F64DB9">
        <w:rPr>
          <w:iCs/>
          <w:vertAlign w:val="superscript"/>
        </w:rPr>
        <w:t>o</w:t>
      </w:r>
      <w:r w:rsidR="001915CC" w:rsidRPr="00F64DB9">
        <w:rPr>
          <w:iCs/>
        </w:rPr>
        <w:t>C) and 1000 Gt CO</w:t>
      </w:r>
      <w:r w:rsidR="001915CC" w:rsidRPr="00F64DB9">
        <w:rPr>
          <w:iCs/>
          <w:vertAlign w:val="subscript"/>
        </w:rPr>
        <w:t xml:space="preserve">2 </w:t>
      </w:r>
      <w:r w:rsidR="001915CC" w:rsidRPr="00F64DB9">
        <w:rPr>
          <w:iCs/>
        </w:rPr>
        <w:t>(&gt;66% chance for staying below 2</w:t>
      </w:r>
      <w:r w:rsidR="001915CC" w:rsidRPr="00F64DB9">
        <w:rPr>
          <w:iCs/>
          <w:vertAlign w:val="superscript"/>
        </w:rPr>
        <w:t>o</w:t>
      </w:r>
      <w:r w:rsidR="001915CC" w:rsidRPr="00F64DB9">
        <w:rPr>
          <w:iCs/>
        </w:rPr>
        <w:t xml:space="preserve">C) from the models AIM/CGE 2.1, IMAGE 3.0.1, MESSAGEix-GLOBIOM 1.0, POLES CD-LINKS, REMIND-MAgPIE 1.7-3.0 and WITCH-GLOBIOM 4.4. </w:t>
      </w:r>
    </w:p>
    <w:p w:rsidR="00E16EBD" w:rsidRPr="00F64DB9" w:rsidRDefault="00DC778C" w:rsidP="00432D67">
      <w:pPr>
        <w:pStyle w:val="ListParagraph"/>
        <w:autoSpaceDE w:val="0"/>
        <w:autoSpaceDN w:val="0"/>
        <w:adjustRightInd w:val="0"/>
        <w:spacing w:line="360" w:lineRule="auto"/>
        <w:rPr>
          <w:b/>
        </w:rPr>
      </w:pPr>
      <w:r>
        <w:rPr>
          <w:iCs/>
        </w:rPr>
        <w:t xml:space="preserve">GDP expenditure </w:t>
      </w:r>
      <w:r w:rsidR="00DB2985">
        <w:rPr>
          <w:iCs/>
        </w:rPr>
        <w:t>and</w:t>
      </w:r>
      <w:r>
        <w:rPr>
          <w:iCs/>
        </w:rPr>
        <w:t xml:space="preserve"> income shares are calculated</w:t>
      </w:r>
      <w:r w:rsidR="00840C54">
        <w:rPr>
          <w:iCs/>
        </w:rPr>
        <w:t xml:space="preserve"> for each set of scenarios</w:t>
      </w:r>
      <w:r>
        <w:rPr>
          <w:iCs/>
        </w:rPr>
        <w:t xml:space="preserve"> by multiplying carbon price and net CO2 emissions and </w:t>
      </w:r>
      <w:r w:rsidR="00DB2985">
        <w:rPr>
          <w:iCs/>
        </w:rPr>
        <w:t>by dividing</w:t>
      </w:r>
      <w:r w:rsidR="00E60683">
        <w:rPr>
          <w:iCs/>
        </w:rPr>
        <w:t xml:space="preserve"> by GDP. Global GDP is reported on market exchange rate</w:t>
      </w:r>
      <w:r w:rsidR="00840C54">
        <w:rPr>
          <w:iCs/>
        </w:rPr>
        <w:t xml:space="preserve"> (MER)</w:t>
      </w:r>
      <w:r w:rsidR="00E60683">
        <w:rPr>
          <w:iCs/>
        </w:rPr>
        <w:t xml:space="preserve"> basis.</w:t>
      </w:r>
    </w:p>
    <w:p w:rsidR="00DC778C" w:rsidRDefault="00DC778C" w:rsidP="00432D67">
      <w:pPr>
        <w:autoSpaceDE w:val="0"/>
        <w:autoSpaceDN w:val="0"/>
        <w:adjustRightInd w:val="0"/>
        <w:spacing w:line="360" w:lineRule="auto"/>
      </w:pPr>
    </w:p>
    <w:p w:rsidR="00F64DB9" w:rsidRPr="0035535C" w:rsidRDefault="00DC778C" w:rsidP="00432D67">
      <w:pPr>
        <w:pStyle w:val="ListParagraph"/>
        <w:numPr>
          <w:ilvl w:val="0"/>
          <w:numId w:val="4"/>
        </w:numPr>
        <w:autoSpaceDE w:val="0"/>
        <w:autoSpaceDN w:val="0"/>
        <w:adjustRightInd w:val="0"/>
        <w:spacing w:line="360" w:lineRule="auto"/>
        <w:rPr>
          <w:b/>
        </w:rPr>
      </w:pPr>
      <w:r w:rsidRPr="0035535C">
        <w:rPr>
          <w:b/>
        </w:rPr>
        <w:t>Historical burden sharing</w:t>
      </w:r>
    </w:p>
    <w:p w:rsidR="00F64DB9" w:rsidRDefault="00FB704A" w:rsidP="00432D67">
      <w:pPr>
        <w:pStyle w:val="ListParagraph"/>
        <w:autoSpaceDE w:val="0"/>
        <w:autoSpaceDN w:val="0"/>
        <w:adjustRightInd w:val="0"/>
        <w:spacing w:line="360" w:lineRule="auto"/>
      </w:pPr>
      <w:r>
        <w:t>Determining contributions to global mitigation efforts based on historical responsibilities for climate change is a far reaching and controversial topic</w:t>
      </w:r>
      <w:r w:rsidR="005677E4">
        <w:t xml:space="preserve"> that we address </w:t>
      </w:r>
      <w:r w:rsidR="0047720C">
        <w:t xml:space="preserve">in a </w:t>
      </w:r>
      <w:r w:rsidR="005677E4">
        <w:t>strongly simplified</w:t>
      </w:r>
      <w:r w:rsidR="0047720C">
        <w:t xml:space="preserve"> manner</w:t>
      </w:r>
      <w:r>
        <w:t xml:space="preserve">. The choice of an appropriate indicator </w:t>
      </w:r>
      <w:r w:rsidR="00E60683">
        <w:t xml:space="preserve">to measure these contributions </w:t>
      </w:r>
      <w:r>
        <w:t>is a</w:t>
      </w:r>
      <w:r w:rsidR="004079F6">
        <w:t xml:space="preserve"> key issue and marks a</w:t>
      </w:r>
      <w:r>
        <w:t xml:space="preserve"> trade-off between </w:t>
      </w:r>
      <w:r w:rsidR="00CF71E7">
        <w:t>the indicator’s</w:t>
      </w:r>
      <w:r>
        <w:t xml:space="preserve"> </w:t>
      </w:r>
      <w:r w:rsidR="00CF71E7">
        <w:t>potential to act</w:t>
      </w:r>
      <w:r>
        <w:t xml:space="preserve"> as a proxy for climate damages and its degree of certainty. </w:t>
      </w:r>
      <w:r w:rsidR="00E24DEC">
        <w:t xml:space="preserve">While </w:t>
      </w:r>
      <w:r>
        <w:t>climate response</w:t>
      </w:r>
      <w:r w:rsidR="004079F6">
        <w:t xml:space="preserve"> indicators</w:t>
      </w:r>
      <w:r w:rsidR="0047720C">
        <w:t xml:space="preserve"> </w:t>
      </w:r>
      <w:r w:rsidR="00CF71E7">
        <w:t>(</w:t>
      </w:r>
      <w:r w:rsidR="005677E4">
        <w:t>e.g.</w:t>
      </w:r>
      <w:r w:rsidR="00CF71E7">
        <w:t xml:space="preserve"> </w:t>
      </w:r>
      <w:r w:rsidR="004A16D0">
        <w:t xml:space="preserve">global average surface </w:t>
      </w:r>
      <w:r w:rsidR="00CF71E7">
        <w:t>temperature)</w:t>
      </w:r>
      <w:r w:rsidR="00AD6148">
        <w:t>,</w:t>
      </w:r>
      <w:r w:rsidR="004079F6">
        <w:t xml:space="preserve"> are closely related to climate damages</w:t>
      </w:r>
      <w:r w:rsidR="00E24DEC">
        <w:t>,</w:t>
      </w:r>
      <w:r>
        <w:t xml:space="preserve"> </w:t>
      </w:r>
      <w:r w:rsidR="00CF71E7">
        <w:t xml:space="preserve">estimation </w:t>
      </w:r>
      <w:r w:rsidR="005677E4">
        <w:t xml:space="preserve">of such indicators </w:t>
      </w:r>
      <w:r w:rsidR="00CF71E7">
        <w:t>is associated with a higher degree of uncertainty than</w:t>
      </w:r>
      <w:r w:rsidR="004079F6">
        <w:t>, for instance, past cumulative emissions</w:t>
      </w:r>
      <w:r>
        <w:t>.</w:t>
      </w:r>
      <w:r w:rsidR="0047720C">
        <w:t xml:space="preserve"> </w:t>
      </w:r>
      <w:r w:rsidR="0047720C" w:rsidRPr="00E24DEC">
        <w:t>The suggestion of the Brazilian delegation for allocating responsibilities to achieve emission reductions among</w:t>
      </w:r>
      <w:r w:rsidR="0047720C">
        <w:t xml:space="preserve"> countries listed in the </w:t>
      </w:r>
      <w:r w:rsidR="0047720C" w:rsidRPr="00E24DEC">
        <w:t>ANNEX I</w:t>
      </w:r>
      <w:r w:rsidR="0047720C">
        <w:t xml:space="preserve"> of the </w:t>
      </w:r>
      <w:r w:rsidR="0047720C" w:rsidRPr="004079F6">
        <w:t>UN Framework Convention on Climate Change</w:t>
      </w:r>
      <w:r w:rsidR="0047720C" w:rsidRPr="00E24DEC">
        <w:t xml:space="preserve"> (OECD countries and economies in transition) </w:t>
      </w:r>
      <w:r w:rsidR="0047720C">
        <w:t>is</w:t>
      </w:r>
      <w:r w:rsidR="0047720C" w:rsidRPr="00E24DEC">
        <w:t xml:space="preserve"> based on </w:t>
      </w:r>
      <w:r w:rsidR="0047720C">
        <w:t xml:space="preserve">individual countries’ contributions to </w:t>
      </w:r>
      <w:r w:rsidR="0047720C" w:rsidRPr="00E24DEC">
        <w:t xml:space="preserve">average surface temperature </w:t>
      </w:r>
      <w:r w:rsidR="0047720C">
        <w:t xml:space="preserve">calculated from </w:t>
      </w:r>
      <w:r w:rsidR="0047720C" w:rsidRPr="00E24DEC">
        <w:t xml:space="preserve">cumulative historical emissions of Kyoto </w:t>
      </w:r>
      <w:r w:rsidR="0047720C">
        <w:t xml:space="preserve">greenhouse </w:t>
      </w:r>
      <w:r w:rsidR="0047720C" w:rsidRPr="00E24DEC">
        <w:t>gases</w:t>
      </w:r>
      <w:r w:rsidR="0047720C">
        <w:t xml:space="preserve"> (GHGs)</w:t>
      </w:r>
      <w:r w:rsidR="0047720C" w:rsidRPr="00E24DEC">
        <w:t xml:space="preserve"> </w:t>
      </w:r>
      <w:r w:rsidR="0047720C">
        <w:t>starting in</w:t>
      </w:r>
      <w:r w:rsidR="0047720C" w:rsidRPr="00E24DEC">
        <w:t xml:space="preserve"> 1840.</w:t>
      </w:r>
      <w:r w:rsidR="0047720C">
        <w:t xml:space="preserve"> In </w:t>
      </w:r>
      <w:r w:rsidR="0047720C">
        <w:lastRenderedPageBreak/>
        <w:t>addition to determining an adequate indicator t</w:t>
      </w:r>
      <w:r>
        <w:t xml:space="preserve">here are technical and ethical considerations, for </w:t>
      </w:r>
      <w:r w:rsidR="00CF71E7">
        <w:t>example</w:t>
      </w:r>
      <w:r>
        <w:t xml:space="preserve"> to what extent emissions that occurred before climate change became a well-established phenomenon </w:t>
      </w:r>
      <w:r w:rsidR="005677E4">
        <w:t xml:space="preserve">in scientific and political spheres </w:t>
      </w:r>
      <w:r>
        <w:t xml:space="preserve">should be accounted for; if emissions should be allocated production or consumption based; what emission sources and GHGs to include; or to what extent population </w:t>
      </w:r>
      <w:r w:rsidR="00F64DB9">
        <w:t>numbers</w:t>
      </w:r>
      <w:r>
        <w:t xml:space="preserve"> or poverty measures should be considered. </w:t>
      </w:r>
      <w:r w:rsidR="00AD6148">
        <w:t xml:space="preserve">All these factors can have </w:t>
      </w:r>
      <w:r w:rsidR="004A16D0">
        <w:t xml:space="preserve">significant </w:t>
      </w:r>
      <w:r w:rsidR="00AD6148">
        <w:t>implications for historical responsibilities of individual countries.</w:t>
      </w:r>
    </w:p>
    <w:p w:rsidR="00F64DB9" w:rsidRDefault="00C9604E" w:rsidP="00432D67">
      <w:pPr>
        <w:pStyle w:val="ListParagraph"/>
        <w:autoSpaceDE w:val="0"/>
        <w:autoSpaceDN w:val="0"/>
        <w:adjustRightInd w:val="0"/>
        <w:spacing w:line="360" w:lineRule="auto"/>
      </w:pPr>
      <w:r>
        <w:t>For demonstration purposes a</w:t>
      </w:r>
      <w:r w:rsidR="00FB704A">
        <w:t xml:space="preserve"> simplified methodology</w:t>
      </w:r>
      <w:r>
        <w:t xml:space="preserve"> </w:t>
      </w:r>
      <w:r w:rsidR="00E60683">
        <w:t xml:space="preserve">as proposed by </w:t>
      </w:r>
      <w:r w:rsidR="006D6A84">
        <w:t>Mueller et al</w:t>
      </w:r>
      <w:r w:rsidR="006D6A84">
        <w:fldChar w:fldCharType="begin"/>
      </w:r>
      <w:r w:rsidR="00940A77">
        <w:instrText xml:space="preserve"> ADDIN ZOTERO_ITEM CSL_CITATION {"citationID":"6xarIDwq","properties":{"formattedCitation":"\\super 1\\nosupersub{}","plainCitation":"1","noteIndex":0},"citationItems":[{"id":191,"uris":["http://zotero.org/users/local/41w2oayr/items/U4UJGDEP"],"uri":["http://zotero.org/users/local/41w2oayr/items/U4UJGDEP"],"itemData":{"id":191,"type":"article-journal","title":"Differentiating (historic) responsibilities for climate change","container-title":"Climate Policy","page":"593-611","volume":"9","issue":"6","DOI":"10.3763/cpol.2008.0570","ISSN":"1469-3062","journalAbbreviation":"Climate Policy","author":[{"family":"Mueller","given":"Benito"},{"family":"Hoehne","given":"Niklas"},{"family":"Ellermann","given":"Christian"}],"issued":{"date-parts":[["2009",1,1]]}}}],"schema":"https://github.com/citation-style-language/schema/raw/master/csl-citation.json"} </w:instrText>
      </w:r>
      <w:r w:rsidR="006D6A84">
        <w:fldChar w:fldCharType="separate"/>
      </w:r>
      <w:r w:rsidR="006D6A84" w:rsidRPr="006D6A84">
        <w:rPr>
          <w:rFonts w:ascii="Calibri" w:hAnsi="Calibri" w:cs="Times New Roman"/>
          <w:szCs w:val="24"/>
          <w:vertAlign w:val="superscript"/>
        </w:rPr>
        <w:t>1</w:t>
      </w:r>
      <w:r w:rsidR="006D6A84">
        <w:fldChar w:fldCharType="end"/>
      </w:r>
      <w:r w:rsidR="00E6064D" w:rsidRPr="00E6064D">
        <w:t xml:space="preserve"> </w:t>
      </w:r>
      <w:r w:rsidR="00E6064D">
        <w:t>is justifiable. R</w:t>
      </w:r>
      <w:r w:rsidR="00D51C38">
        <w:t xml:space="preserve">esponsibility shares </w:t>
      </w:r>
      <w:r w:rsidR="0047720C">
        <w:t xml:space="preserve">for climate damages </w:t>
      </w:r>
      <w:r w:rsidR="00D51C38">
        <w:t xml:space="preserve">are </w:t>
      </w:r>
      <w:r w:rsidR="00E366CF">
        <w:t xml:space="preserve">directly </w:t>
      </w:r>
      <w:r w:rsidR="00D51C38">
        <w:t xml:space="preserve">assigned in </w:t>
      </w:r>
      <w:r w:rsidR="00E366CF">
        <w:t>accordance</w:t>
      </w:r>
      <w:r w:rsidR="00D51C38">
        <w:t xml:space="preserve"> with past Kyoto GHG emissions </w:t>
      </w:r>
      <w:r w:rsidR="00E6064D">
        <w:t xml:space="preserve">and </w:t>
      </w:r>
      <w:r w:rsidR="00D51C38">
        <w:t>without computing potentially non-linear climate responses</w:t>
      </w:r>
      <w:r w:rsidR="0047720C">
        <w:t xml:space="preserve"> (such as </w:t>
      </w:r>
      <w:r w:rsidR="006564B0">
        <w:t>temperature change)</w:t>
      </w:r>
      <w:r w:rsidR="00D51C38">
        <w:t xml:space="preserve">. </w:t>
      </w:r>
      <w:r w:rsidR="00EB07F5">
        <w:t>W</w:t>
      </w:r>
      <w:r w:rsidR="00E366CF">
        <w:t>e construct</w:t>
      </w:r>
      <w:r w:rsidR="00D51C38">
        <w:t xml:space="preserve"> </w:t>
      </w:r>
      <w:r w:rsidR="00EB07F5">
        <w:t xml:space="preserve">new </w:t>
      </w:r>
      <w:r w:rsidR="00D51C38">
        <w:t>net-</w:t>
      </w:r>
      <w:r w:rsidR="00F72F92" w:rsidRPr="00F64DB9">
        <w:rPr>
          <w:iCs/>
        </w:rPr>
        <w:t>CO</w:t>
      </w:r>
      <w:r w:rsidR="00F72F92" w:rsidRPr="00F64DB9">
        <w:rPr>
          <w:iCs/>
          <w:vertAlign w:val="subscript"/>
        </w:rPr>
        <w:t>2</w:t>
      </w:r>
      <w:r w:rsidR="00E6064D">
        <w:t xml:space="preserve"> </w:t>
      </w:r>
      <w:r w:rsidR="00D51C38">
        <w:t>emission curve</w:t>
      </w:r>
      <w:r w:rsidR="00EB07F5">
        <w:t>s</w:t>
      </w:r>
      <w:r w:rsidR="00D51C38">
        <w:t xml:space="preserve"> for each AR5 scenario reflecting the increased effort borne by </w:t>
      </w:r>
      <w:r w:rsidR="00EB07F5">
        <w:t>ANNEX I countries, as well as the reduced efforts done by the rest of the world (ROW)</w:t>
      </w:r>
      <w:r w:rsidR="00D51C38">
        <w:t xml:space="preserve">. The new emission pathways are constructed as follows: </w:t>
      </w:r>
    </w:p>
    <w:p w:rsidR="00E60683" w:rsidRDefault="00F64DB9" w:rsidP="00432D67">
      <w:pPr>
        <w:pStyle w:val="ListParagraph"/>
        <w:autoSpaceDE w:val="0"/>
        <w:autoSpaceDN w:val="0"/>
        <w:adjustRightInd w:val="0"/>
        <w:spacing w:line="360" w:lineRule="auto"/>
      </w:pPr>
      <w:r>
        <w:t>R</w:t>
      </w:r>
      <w:r w:rsidR="00DB2985">
        <w:t>esponsibility</w:t>
      </w:r>
      <w:r w:rsidR="00E6064D">
        <w:t xml:space="preserve"> </w:t>
      </w:r>
      <w:r w:rsidR="00DB2985">
        <w:t xml:space="preserve">for future climate damages equals the </w:t>
      </w:r>
      <w:r w:rsidR="00E60683">
        <w:t>respective group of countries’</w:t>
      </w:r>
      <w:r w:rsidR="00DB2985">
        <w:t xml:space="preserve"> share of past cumulative </w:t>
      </w:r>
      <w:r w:rsidR="00FD5EE3">
        <w:t xml:space="preserve">Kyoto GHG </w:t>
      </w:r>
      <w:r w:rsidR="00DB2985">
        <w:t>emissions</w:t>
      </w:r>
      <w:r w:rsidR="00FD5EE3">
        <w:t xml:space="preserve"> </w:t>
      </w:r>
      <w:r w:rsidR="00FD5EE3" w:rsidRPr="007F4A0A">
        <w:t>since 1890</w:t>
      </w:r>
      <w:r w:rsidR="001404E6">
        <w:t xml:space="preserve">, which is </w:t>
      </w:r>
      <w:r w:rsidR="00E366CF">
        <w:t xml:space="preserve">roughly </w:t>
      </w:r>
      <w:r w:rsidR="001404E6">
        <w:t>55% for ANNEX I countries</w:t>
      </w:r>
      <w:r w:rsidR="006D6A84">
        <w:fldChar w:fldCharType="begin"/>
      </w:r>
      <w:r w:rsidR="00940A77">
        <w:instrText xml:space="preserve"> ADDIN ZOTERO_ITEM CSL_CITATION {"citationID":"v6j7XJkj","properties":{"formattedCitation":"\\super 1\\nosupersub{}","plainCitation":"1","noteIndex":0},"citationItems":[{"id":191,"uris":["http://zotero.org/users/local/41w2oayr/items/U4UJGDEP"],"uri":["http://zotero.org/users/local/41w2oayr/items/U4UJGDEP"],"itemData":{"id":191,"type":"article-journal","title":"Differentiating (historic) responsibilities for climate change","container-title":"Climate Policy","page":"593-611","volume":"9","issue":"6","DOI":"10.3763/cpol.2008.0570","ISSN":"1469-3062","journalAbbreviation":"Climate Policy","author":[{"family":"Mueller","given":"Benito"},{"family":"Hoehne","given":"Niklas"},{"family":"Ellermann","given":"Christian"}],"issued":{"date-parts":[["2009",1,1]]}}}],"schema":"https://github.com/citation-style-language/schema/raw/master/csl-citation.json"} </w:instrText>
      </w:r>
      <w:r w:rsidR="006D6A84">
        <w:fldChar w:fldCharType="separate"/>
      </w:r>
      <w:r w:rsidR="006D6A84" w:rsidRPr="006D6A84">
        <w:rPr>
          <w:rFonts w:ascii="Calibri" w:hAnsi="Calibri" w:cs="Times New Roman"/>
          <w:szCs w:val="24"/>
          <w:vertAlign w:val="superscript"/>
        </w:rPr>
        <w:t>1</w:t>
      </w:r>
      <w:r w:rsidR="006D6A84">
        <w:fldChar w:fldCharType="end"/>
      </w:r>
      <w:r w:rsidR="00EF79EF">
        <w:t>.</w:t>
      </w:r>
      <w:r w:rsidR="00EF79EF" w:rsidRPr="00EF79EF">
        <w:t xml:space="preserve"> </w:t>
      </w:r>
      <w:r w:rsidR="00EF79EF">
        <w:t xml:space="preserve">The mitigation effort </w:t>
      </w:r>
      <w:r w:rsidR="006D6A84">
        <w:t>required by</w:t>
      </w:r>
      <w:r w:rsidR="00EF79EF">
        <w:t xml:space="preserve"> </w:t>
      </w:r>
      <w:r w:rsidR="00EB07F5">
        <w:t>a</w:t>
      </w:r>
      <w:r w:rsidR="00E60683">
        <w:t xml:space="preserve"> group</w:t>
      </w:r>
      <w:r w:rsidR="00EF79EF">
        <w:t xml:space="preserve"> of countries is the global mitigation effort times the responsibility share</w:t>
      </w:r>
      <w:r w:rsidR="00E6064D">
        <w:t xml:space="preserve"> (</w:t>
      </w:r>
      <w:r w:rsidR="00E6064D" w:rsidRPr="00E6064D">
        <w:rPr>
          <w:i/>
        </w:rPr>
        <w:t>r</w:t>
      </w:r>
      <w:r w:rsidR="00E6064D">
        <w:t>)</w:t>
      </w:r>
      <w:r w:rsidR="00EF79EF">
        <w:t xml:space="preserve">. </w:t>
      </w:r>
      <w:r w:rsidR="00FB704A">
        <w:t xml:space="preserve">The global mitigation effort </w:t>
      </w:r>
      <w:r w:rsidR="00F85A4F">
        <w:t>(</w:t>
      </w:r>
      <w:r w:rsidR="00F85A4F" w:rsidRPr="00F85A4F">
        <w:rPr>
          <w:i/>
        </w:rPr>
        <w:t>M</w:t>
      </w:r>
      <w:r w:rsidR="00F85A4F" w:rsidRPr="00F85A4F">
        <w:rPr>
          <w:i/>
          <w:vertAlign w:val="subscript"/>
        </w:rPr>
        <w:t>global</w:t>
      </w:r>
      <w:r w:rsidR="00F85A4F">
        <w:t xml:space="preserve">) </w:t>
      </w:r>
      <w:r w:rsidR="00FB704A">
        <w:t xml:space="preserve">is defined as the emission reductions required from baseline </w:t>
      </w:r>
      <w:r w:rsidR="00E24DEC">
        <w:t xml:space="preserve">scenario </w:t>
      </w:r>
      <w:r w:rsidR="00FB704A">
        <w:t xml:space="preserve">values </w:t>
      </w:r>
      <w:r w:rsidR="00E6064D">
        <w:t>(</w:t>
      </w:r>
      <w:r w:rsidR="00E6064D" w:rsidRPr="00F85A4F">
        <w:rPr>
          <w:i/>
        </w:rPr>
        <w:t>CO2</w:t>
      </w:r>
      <w:r w:rsidR="00E6064D" w:rsidRPr="00F85A4F">
        <w:rPr>
          <w:i/>
          <w:vertAlign w:val="subscript"/>
        </w:rPr>
        <w:t>base</w:t>
      </w:r>
      <w:r w:rsidR="00E6064D" w:rsidRPr="00E6064D">
        <w:t>)</w:t>
      </w:r>
      <w:r w:rsidR="00FB704A">
        <w:t xml:space="preserve"> </w:t>
      </w:r>
      <w:r w:rsidR="00E6064D">
        <w:t xml:space="preserve">to </w:t>
      </w:r>
      <w:r w:rsidR="00FB704A">
        <w:t>achieve the net-emission trajectory of the</w:t>
      </w:r>
      <w:r w:rsidR="00E24DEC">
        <w:t xml:space="preserve"> respective Paris compatible scenario</w:t>
      </w:r>
      <w:r w:rsidR="00E6064D">
        <w:t xml:space="preserve"> (</w:t>
      </w:r>
      <w:r w:rsidR="00E6064D" w:rsidRPr="00F85A4F">
        <w:rPr>
          <w:i/>
        </w:rPr>
        <w:t>CO2</w:t>
      </w:r>
      <w:r w:rsidR="00E6064D" w:rsidRPr="00F85A4F">
        <w:rPr>
          <w:i/>
          <w:vertAlign w:val="subscript"/>
        </w:rPr>
        <w:t>scen</w:t>
      </w:r>
      <w:r w:rsidR="00E6064D">
        <w:t>):</w:t>
      </w:r>
    </w:p>
    <w:p w:rsidR="00F85A4F" w:rsidRDefault="00F85A4F" w:rsidP="00432D67">
      <w:pPr>
        <w:autoSpaceDE w:val="0"/>
        <w:autoSpaceDN w:val="0"/>
        <w:adjustRightInd w:val="0"/>
        <w:spacing w:line="360" w:lineRule="auto"/>
        <w:ind w:left="1440"/>
        <w:rPr>
          <w:vertAlign w:val="subscript"/>
        </w:rPr>
      </w:pPr>
    </w:p>
    <w:p w:rsidR="00F85A4F" w:rsidRPr="00F85A4F" w:rsidRDefault="00F85A4F" w:rsidP="00432D67">
      <w:pPr>
        <w:autoSpaceDE w:val="0"/>
        <w:autoSpaceDN w:val="0"/>
        <w:adjustRightInd w:val="0"/>
        <w:spacing w:line="360" w:lineRule="auto"/>
        <w:ind w:left="1440"/>
        <w:rPr>
          <w:vertAlign w:val="subscript"/>
        </w:rPr>
      </w:pPr>
      <m:oMathPara>
        <m:oMathParaPr>
          <m:jc m:val="left"/>
        </m:oMathParaPr>
        <m:oMath>
          <m:r>
            <w:rPr>
              <w:rFonts w:ascii="Cambria Math" w:eastAsia="Cambria Math" w:hAnsi="Cambria Math" w:cs="Cambria Math"/>
            </w:rPr>
            <m:t>r=0.55</m:t>
          </m:r>
        </m:oMath>
      </m:oMathPara>
    </w:p>
    <w:p w:rsidR="00F85A4F" w:rsidRPr="00F85A4F" w:rsidRDefault="00510085" w:rsidP="00432D67">
      <w:pPr>
        <w:autoSpaceDE w:val="0"/>
        <w:autoSpaceDN w:val="0"/>
        <w:adjustRightInd w:val="0"/>
        <w:spacing w:line="360" w:lineRule="auto"/>
        <w:ind w:left="1440"/>
        <w:rPr>
          <w:rFonts w:eastAsiaTheme="minorEastAsia"/>
        </w:rPr>
      </w:pPr>
      <m:oMathPara>
        <m:oMathParaPr>
          <m:jc m:val="left"/>
        </m:oMathParaPr>
        <m:oMath>
          <m:sSub>
            <m:sSubPr>
              <m:ctrlPr>
                <w:rPr>
                  <w:rFonts w:ascii="Cambria Math" w:eastAsia="Cambria Math" w:hAnsi="Cambria Math" w:cs="Cambria Math"/>
                  <w:i/>
                </w:rPr>
              </m:ctrlPr>
            </m:sSubPr>
            <m:e>
              <m:r>
                <w:rPr>
                  <w:rFonts w:ascii="Cambria Math" w:eastAsia="Cambria Math" w:hAnsi="Cambria Math" w:cs="Cambria Math"/>
                </w:rPr>
                <m:t>M</m:t>
              </m:r>
            </m:e>
            <m:sub>
              <m:r>
                <w:rPr>
                  <w:rFonts w:ascii="Cambria Math" w:eastAsia="Cambria Math" w:hAnsi="Cambria Math" w:cs="Cambria Math"/>
                </w:rPr>
                <m:t>global</m:t>
              </m:r>
            </m:sub>
          </m:sSub>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t=2020</m:t>
              </m:r>
            </m:sub>
            <m:sup>
              <m:r>
                <w:rPr>
                  <w:rFonts w:ascii="Cambria Math" w:eastAsia="Cambria Math" w:hAnsi="Cambria Math" w:cs="Cambria Math"/>
                </w:rPr>
                <m:t>2100</m:t>
              </m:r>
            </m:sup>
            <m:e>
              <m:d>
                <m:dPr>
                  <m:ctrlPr>
                    <w:rPr>
                      <w:rFonts w:ascii="Cambria Math" w:hAnsi="Cambria Math"/>
                      <w:i/>
                    </w:rPr>
                  </m:ctrlPr>
                </m:dPr>
                <m:e>
                  <m:sSub>
                    <m:sSubPr>
                      <m:ctrlPr>
                        <w:rPr>
                          <w:rFonts w:ascii="Cambria Math" w:hAnsi="Cambria Math"/>
                          <w:i/>
                        </w:rPr>
                      </m:ctrlPr>
                    </m:sSubPr>
                    <m:e>
                      <m:r>
                        <w:rPr>
                          <w:rFonts w:ascii="Cambria Math" w:hAnsi="Cambria Math"/>
                        </w:rPr>
                        <m:t>CO2</m:t>
                      </m:r>
                    </m:e>
                    <m:sub>
                      <m:r>
                        <w:rPr>
                          <w:rFonts w:ascii="Cambria Math" w:hAnsi="Cambria Math"/>
                        </w:rPr>
                        <m:t>base</m:t>
                      </m:r>
                    </m:sub>
                  </m:sSub>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CO2</m:t>
                      </m:r>
                    </m:e>
                    <m:sub>
                      <m:r>
                        <w:rPr>
                          <w:rFonts w:ascii="Cambria Math" w:hAnsi="Cambria Math"/>
                        </w:rPr>
                        <m:t>scen</m:t>
                      </m:r>
                    </m:sub>
                  </m:sSub>
                  <m:r>
                    <w:rPr>
                      <w:rFonts w:ascii="Cambria Math" w:hAnsi="Cambria Math"/>
                    </w:rPr>
                    <m:t xml:space="preserve"> </m:t>
                  </m:r>
                  <m:d>
                    <m:dPr>
                      <m:ctrlPr>
                        <w:rPr>
                          <w:rFonts w:ascii="Cambria Math" w:hAnsi="Cambria Math"/>
                          <w:i/>
                        </w:rPr>
                      </m:ctrlPr>
                    </m:dPr>
                    <m:e>
                      <m:r>
                        <w:rPr>
                          <w:rFonts w:ascii="Cambria Math" w:hAnsi="Cambria Math"/>
                        </w:rPr>
                        <m:t>t</m:t>
                      </m:r>
                    </m:e>
                  </m:d>
                </m:e>
              </m:d>
            </m:e>
          </m:nary>
        </m:oMath>
      </m:oMathPara>
    </w:p>
    <w:p w:rsidR="00F85A4F" w:rsidRPr="00F85A4F" w:rsidRDefault="00510085" w:rsidP="00432D67">
      <w:pPr>
        <w:autoSpaceDE w:val="0"/>
        <w:autoSpaceDN w:val="0"/>
        <w:adjustRightInd w:val="0"/>
        <w:spacing w:line="360" w:lineRule="auto"/>
        <w:ind w:left="1440"/>
      </w:pPr>
      <m:oMathPara>
        <m:oMathParaPr>
          <m:jc m:val="left"/>
        </m:oMathParaPr>
        <m:oMath>
          <m:sSub>
            <m:sSubPr>
              <m:ctrlPr>
                <w:rPr>
                  <w:rFonts w:ascii="Cambria Math" w:eastAsia="Cambria Math" w:hAnsi="Cambria Math" w:cs="Cambria Math"/>
                  <w:i/>
                </w:rPr>
              </m:ctrlPr>
            </m:sSubPr>
            <m:e>
              <m:r>
                <w:rPr>
                  <w:rFonts w:ascii="Cambria Math" w:eastAsia="Cambria Math" w:hAnsi="Cambria Math" w:cs="Cambria Math"/>
                </w:rPr>
                <m:t>M</m:t>
              </m:r>
            </m:e>
            <m:sub>
              <m:r>
                <w:rPr>
                  <w:rFonts w:ascii="Cambria Math" w:eastAsia="Cambria Math" w:hAnsi="Cambria Math" w:cs="Cambria Math"/>
                </w:rPr>
                <m:t>ANNEXI</m:t>
              </m:r>
            </m:sub>
          </m:sSub>
          <m:r>
            <w:rPr>
              <w:rFonts w:ascii="Cambria Math" w:eastAsia="Cambria Math" w:hAnsi="Cambria Math" w:cs="Cambria Math"/>
            </w:rPr>
            <m:t xml:space="preserve">=r* </m:t>
          </m:r>
          <m:sSub>
            <m:sSubPr>
              <m:ctrlPr>
                <w:rPr>
                  <w:rFonts w:ascii="Cambria Math" w:eastAsia="Cambria Math" w:hAnsi="Cambria Math" w:cs="Cambria Math"/>
                  <w:i/>
                </w:rPr>
              </m:ctrlPr>
            </m:sSubPr>
            <m:e>
              <m:r>
                <w:rPr>
                  <w:rFonts w:ascii="Cambria Math" w:eastAsia="Cambria Math" w:hAnsi="Cambria Math" w:cs="Cambria Math"/>
                </w:rPr>
                <m:t>M</m:t>
              </m:r>
            </m:e>
            <m:sub>
              <m:r>
                <w:rPr>
                  <w:rFonts w:ascii="Cambria Math" w:eastAsia="Cambria Math" w:hAnsi="Cambria Math" w:cs="Cambria Math"/>
                </w:rPr>
                <m:t>global</m:t>
              </m:r>
            </m:sub>
          </m:sSub>
        </m:oMath>
      </m:oMathPara>
    </w:p>
    <w:p w:rsidR="00E60683" w:rsidRDefault="00E60683" w:rsidP="00432D67">
      <w:pPr>
        <w:autoSpaceDE w:val="0"/>
        <w:autoSpaceDN w:val="0"/>
        <w:adjustRightInd w:val="0"/>
        <w:spacing w:line="360" w:lineRule="auto"/>
      </w:pPr>
    </w:p>
    <w:p w:rsidR="00E60683" w:rsidRDefault="00C9604E" w:rsidP="00432D67">
      <w:pPr>
        <w:pStyle w:val="ListParagraph"/>
        <w:autoSpaceDE w:val="0"/>
        <w:autoSpaceDN w:val="0"/>
        <w:adjustRightInd w:val="0"/>
        <w:spacing w:line="360" w:lineRule="auto"/>
      </w:pPr>
      <w:r>
        <w:t>The share of f</w:t>
      </w:r>
      <w:r w:rsidR="004079F6">
        <w:t xml:space="preserve">uture </w:t>
      </w:r>
      <w:r w:rsidR="00EF79EF">
        <w:t xml:space="preserve">global </w:t>
      </w:r>
      <w:r w:rsidR="00FB704A">
        <w:t>baseline emissions</w:t>
      </w:r>
      <w:r w:rsidR="00F12B4F">
        <w:t xml:space="preserve"> </w:t>
      </w:r>
      <w:r w:rsidR="00FB704A">
        <w:t>of a group of</w:t>
      </w:r>
      <w:r>
        <w:t xml:space="preserve"> countries equals th</w:t>
      </w:r>
      <w:r w:rsidR="00B743DE">
        <w:t>eir</w:t>
      </w:r>
      <w:r>
        <w:t xml:space="preserve"> </w:t>
      </w:r>
      <w:r w:rsidR="00E6064D">
        <w:t>current emission share (</w:t>
      </w:r>
      <w:r w:rsidR="00E6064D" w:rsidRPr="00F64DB9">
        <w:rPr>
          <w:i/>
        </w:rPr>
        <w:t>ces</w:t>
      </w:r>
      <w:r w:rsidR="00E6064D">
        <w:t>)</w:t>
      </w:r>
      <w:r w:rsidR="001404E6">
        <w:t>, which is approximately 37% for ANNEX I countries in 2014</w:t>
      </w:r>
      <w:r w:rsidR="006D6A84">
        <w:fldChar w:fldCharType="begin"/>
      </w:r>
      <w:r w:rsidR="006D6A84">
        <w:instrText xml:space="preserve"> ADDIN ZOTERO_ITEM CSL_CITATION {"citationID":"EA81r1In","properties":{"formattedCitation":"\\super 2\\nosupersub{}","plainCitation":"2","noteIndex":0},"citationItems":[{"id":195,"uris":["http://zotero.org/users/local/41w2oayr/items/8GWQHBX3"],"uri":["http://zotero.org/users/local/41w2oayr/items/8GWQHBX3"],"itemData":{"id":195,"type":"article","title":"Global, Regional, and National Fossil-Fuel CO2 Emissions (1751 - 2014) (V. 2017)","publisher":"Environmental System Science Data Infrastructure for a Virtual Ecosystem; Carbon Dioxide Information Analysis Center (CDIAC), Oak Ridge National Laboratory (ORNL), Oak Ridge, TN (United States)","source":"DataCite","abstract":"Publications containing historical energy statistics make it possible to estimate fossil fuel CO2 emissions back to 1751. Etemad et al. (1991) published a summary compilation that tabulates coal, brown coal, peat, and crude oil production by nation and year. Footnotes in the Etemad et al.(1991) publication extend the energy statistics time series back to 1751. Summary compilations of fossil fuel trade were published by Mitchell (1983, 1992, 1993, 1995). Mitchell's work tabulates solid and liquid fuel imports and exports by nation and year. These pre-1950 production and trade data were digitized and CO2 emission calculations were made following the procedures discussed in Marland and Rotty (1984) and Boden et al. (1995). Further details on the contents and processing of the historical energy statistics are provided in Andres et al. (1999). The 1950 to present CO2 emission estimates are derived primarily from energy statistics published by the United Nations (2017), using the methods of Marland and Rotty (1984). The energy statistics were compiled primarily from annual questionnaires distributed by the U.N. Statistical Office and supplemented by official national statistical publications. As stated in the introduction of the Statistical Yearbook, \"in a few cases, official sources are supplemented by other sources and estimates, where these have been subjected to professional scrutiny and debate and are consistent with other independent sources.\" Data from the U.S. Department of Interior's Geological Survey (USGS 2017) were used to estimate CO2 emitted during cement production. Values for emissions from gas flaring were derived primarily from U.N. data but were supplemented with data from the U.S. Department of Energy's Energy Information Administration (1994), Rotty (1974), and data provided by G. Marland. Greater details about these methods are provided in Marland and Rotty (1984), Boden et al. (1995), and Andres et al. (1999).","URL":"https://www.osti.gov/servlets/purl/1389331/","note":"type: dataset\nDOI: 10.3334/CDIAC/00001_V2017","language":"en","author":[{"family":"Boden","given":"T."},{"family":"Andres","given":"R."},{"family":"Marland","given":"G."}],"issued":{"date-parts":[["2017"]]},"accessed":{"date-parts":[["2018",10,8]]}}}],"schema":"https://github.com/citation-style-language/schema/raw/master/csl-citation.json"} </w:instrText>
      </w:r>
      <w:r w:rsidR="006D6A84">
        <w:fldChar w:fldCharType="separate"/>
      </w:r>
      <w:r w:rsidR="006D6A84" w:rsidRPr="00F64DB9">
        <w:rPr>
          <w:rFonts w:ascii="Calibri" w:hAnsi="Calibri" w:cs="Times New Roman"/>
          <w:szCs w:val="24"/>
          <w:vertAlign w:val="superscript"/>
        </w:rPr>
        <w:t>2</w:t>
      </w:r>
      <w:r w:rsidR="006D6A84">
        <w:fldChar w:fldCharType="end"/>
      </w:r>
      <w:r w:rsidR="006D6A84">
        <w:t xml:space="preserve"> (fossil fuel only)</w:t>
      </w:r>
      <w:r>
        <w:t>.</w:t>
      </w:r>
      <w:r w:rsidR="00E6064D">
        <w:t xml:space="preserve"> </w:t>
      </w:r>
      <w:r w:rsidR="00D74B42">
        <w:t>This share of baseline emissions is the basis for calculating emission reductions. F</w:t>
      </w:r>
      <w:r w:rsidR="00E60683">
        <w:t xml:space="preserve">or the </w:t>
      </w:r>
      <w:r w:rsidR="00E6064D">
        <w:t>rest of the world (ROW)</w:t>
      </w:r>
      <w:r w:rsidR="00E60683">
        <w:t xml:space="preserve"> with lower future </w:t>
      </w:r>
      <w:r w:rsidR="00D74B42">
        <w:t xml:space="preserve">mitigation </w:t>
      </w:r>
      <w:r w:rsidR="00E60683">
        <w:t xml:space="preserve">efforts </w:t>
      </w:r>
      <w:r w:rsidR="00D74B42">
        <w:t>this trajectory is constructed by</w:t>
      </w:r>
      <w:r w:rsidR="00E60683">
        <w:t xml:space="preserve"> linear combination of the remainder (63%) of baseline and scenario emissions</w:t>
      </w:r>
      <w:r w:rsidR="00E6064D">
        <w:t>, which should be close to each other in the near term, and divert substantially in the future</w:t>
      </w:r>
      <w:r w:rsidR="00E60683">
        <w:t>:</w:t>
      </w:r>
      <w:r w:rsidR="00D74B42">
        <w:t xml:space="preserve"> </w:t>
      </w:r>
    </w:p>
    <w:p w:rsidR="00F85A4F" w:rsidRDefault="00F85A4F" w:rsidP="00432D67">
      <w:pPr>
        <w:autoSpaceDE w:val="0"/>
        <w:autoSpaceDN w:val="0"/>
        <w:adjustRightInd w:val="0"/>
        <w:spacing w:line="360" w:lineRule="auto"/>
      </w:pPr>
    </w:p>
    <w:p w:rsidR="00F85A4F" w:rsidRPr="00F85A4F" w:rsidRDefault="00F85A4F" w:rsidP="00432D67">
      <w:pPr>
        <w:autoSpaceDE w:val="0"/>
        <w:autoSpaceDN w:val="0"/>
        <w:adjustRightInd w:val="0"/>
        <w:spacing w:line="360" w:lineRule="auto"/>
        <w:ind w:left="1440"/>
        <w:rPr>
          <w:rFonts w:eastAsiaTheme="minorEastAsia"/>
        </w:rPr>
      </w:pPr>
      <m:oMathPara>
        <m:oMathParaPr>
          <m:jc m:val="left"/>
        </m:oMathParaPr>
        <m:oMath>
          <m:r>
            <w:rPr>
              <w:rFonts w:ascii="Cambria Math" w:eastAsia="Cambria Math" w:hAnsi="Cambria Math" w:cs="Cambria Math"/>
            </w:rPr>
            <w:lastRenderedPageBreak/>
            <m:t>ces=0.37</m:t>
          </m:r>
        </m:oMath>
      </m:oMathPara>
    </w:p>
    <w:p w:rsidR="00F85A4F" w:rsidRPr="00F85A4F" w:rsidRDefault="00510085" w:rsidP="00432D67">
      <w:pPr>
        <w:autoSpaceDE w:val="0"/>
        <w:autoSpaceDN w:val="0"/>
        <w:adjustRightInd w:val="0"/>
        <w:spacing w:line="360" w:lineRule="auto"/>
        <w:ind w:left="1440"/>
        <w:rPr>
          <w:rFonts w:eastAsiaTheme="minorEastAsia"/>
        </w:rPr>
      </w:pPr>
      <m:oMathPara>
        <m:oMathParaPr>
          <m:jc m:val="left"/>
        </m:oMathParaPr>
        <m:oMath>
          <m:sSub>
            <m:sSubPr>
              <m:ctrlPr>
                <w:rPr>
                  <w:rFonts w:ascii="Cambria Math" w:eastAsia="Cambria Math" w:hAnsi="Cambria Math" w:cs="Cambria Math"/>
                  <w:i/>
                </w:rPr>
              </m:ctrlPr>
            </m:sSubPr>
            <m:e>
              <m:r>
                <w:rPr>
                  <w:rFonts w:ascii="Cambria Math" w:eastAsia="Cambria Math" w:hAnsi="Cambria Math" w:cs="Cambria Math"/>
                </w:rPr>
                <m:t>CO2</m:t>
              </m:r>
            </m:e>
            <m:sub>
              <m:r>
                <w:rPr>
                  <w:rFonts w:ascii="Cambria Math" w:eastAsia="Cambria Math" w:hAnsi="Cambria Math" w:cs="Cambria Math"/>
                </w:rPr>
                <m:t>ROW</m:t>
              </m:r>
            </m:sub>
          </m:sSub>
          <m:d>
            <m:dPr>
              <m:ctrlPr>
                <w:rPr>
                  <w:rFonts w:ascii="Cambria Math" w:eastAsia="Cambria Math" w:hAnsi="Cambria Math" w:cs="Cambria Math"/>
                  <w:i/>
                </w:rPr>
              </m:ctrlPr>
            </m:dPr>
            <m:e>
              <m:r>
                <w:rPr>
                  <w:rFonts w:ascii="Cambria Math" w:eastAsia="Cambria Math" w:hAnsi="Cambria Math" w:cs="Cambria Math"/>
                </w:rPr>
                <m:t>t</m:t>
              </m:r>
            </m:e>
          </m:d>
          <m:r>
            <w:rPr>
              <w:rFonts w:ascii="Cambria Math" w:eastAsia="Cambria Math" w:hAnsi="Cambria Math" w:cs="Cambria Math"/>
            </w:rPr>
            <m:t>=</m:t>
          </m:r>
          <m:d>
            <m:dPr>
              <m:ctrlPr>
                <w:rPr>
                  <w:rFonts w:ascii="Cambria Math" w:eastAsia="Cambria Math" w:hAnsi="Cambria Math" w:cs="Cambria Math"/>
                  <w:i/>
                </w:rPr>
              </m:ctrlPr>
            </m:dPr>
            <m:e>
              <m:r>
                <w:rPr>
                  <w:rFonts w:ascii="Cambria Math" w:eastAsia="Cambria Math" w:hAnsi="Cambria Math" w:cs="Cambria Math"/>
                </w:rPr>
                <m:t>1-ces</m:t>
              </m:r>
            </m:e>
          </m:d>
          <m:r>
            <w:rPr>
              <w:rFonts w:ascii="Cambria Math" w:eastAsia="Cambria Math" w:hAnsi="Cambria Math" w:cs="Cambria Math"/>
            </w:rPr>
            <m:t>*</m:t>
          </m:r>
          <m:d>
            <m:dPr>
              <m:ctrlPr>
                <w:rPr>
                  <w:rFonts w:ascii="Cambria Math" w:eastAsia="Cambria Math" w:hAnsi="Cambria Math" w:cs="Cambria Math"/>
                  <w:i/>
                </w:rPr>
              </m:ctrlPr>
            </m:dPr>
            <m:e>
              <m:r>
                <w:rPr>
                  <w:rFonts w:ascii="Cambria Math" w:eastAsia="Cambria Math" w:hAnsi="Cambria Math" w:cs="Cambria Math"/>
                </w:rPr>
                <m:t>a*</m:t>
              </m:r>
              <m:sSub>
                <m:sSubPr>
                  <m:ctrlPr>
                    <w:rPr>
                      <w:rFonts w:ascii="Cambria Math" w:eastAsia="Cambria Math" w:hAnsi="Cambria Math" w:cs="Cambria Math"/>
                      <w:i/>
                    </w:rPr>
                  </m:ctrlPr>
                </m:sSubPr>
                <m:e>
                  <m:r>
                    <w:rPr>
                      <w:rFonts w:ascii="Cambria Math" w:eastAsia="Cambria Math" w:hAnsi="Cambria Math" w:cs="Cambria Math"/>
                    </w:rPr>
                    <m:t>CO2</m:t>
                  </m:r>
                </m:e>
                <m:sub>
                  <m:r>
                    <w:rPr>
                      <w:rFonts w:ascii="Cambria Math" w:eastAsia="Cambria Math" w:hAnsi="Cambria Math" w:cs="Cambria Math"/>
                    </w:rPr>
                    <m:t>base</m:t>
                  </m:r>
                </m:sub>
              </m:sSub>
              <m:r>
                <w:rPr>
                  <w:rFonts w:ascii="Cambria Math" w:eastAsia="Cambria Math" w:hAnsi="Cambria Math" w:cs="Cambria Math"/>
                </w:rPr>
                <m:t>(t)+</m:t>
              </m:r>
              <m:d>
                <m:dPr>
                  <m:ctrlPr>
                    <w:rPr>
                      <w:rFonts w:ascii="Cambria Math" w:eastAsia="Cambria Math" w:hAnsi="Cambria Math" w:cs="Cambria Math"/>
                      <w:i/>
                    </w:rPr>
                  </m:ctrlPr>
                </m:dPr>
                <m:e>
                  <m:r>
                    <w:rPr>
                      <w:rFonts w:ascii="Cambria Math" w:eastAsia="Cambria Math" w:hAnsi="Cambria Math" w:cs="Cambria Math"/>
                    </w:rPr>
                    <m:t>1-a</m:t>
                  </m:r>
                </m:e>
              </m:d>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CO2</m:t>
                  </m:r>
                </m:e>
                <m:sub>
                  <m:r>
                    <w:rPr>
                      <w:rFonts w:ascii="Cambria Math" w:eastAsia="Cambria Math" w:hAnsi="Cambria Math" w:cs="Cambria Math"/>
                    </w:rPr>
                    <m:t>scen</m:t>
                  </m:r>
                </m:sub>
              </m:sSub>
              <m:r>
                <w:rPr>
                  <w:rFonts w:ascii="Cambria Math" w:eastAsia="Cambria Math" w:hAnsi="Cambria Math" w:cs="Cambria Math"/>
                </w:rPr>
                <m:t>(t)</m:t>
              </m:r>
            </m:e>
          </m:d>
        </m:oMath>
      </m:oMathPara>
    </w:p>
    <w:p w:rsidR="00F85A4F" w:rsidRDefault="00F85A4F" w:rsidP="00432D67">
      <w:pPr>
        <w:autoSpaceDE w:val="0"/>
        <w:autoSpaceDN w:val="0"/>
        <w:adjustRightInd w:val="0"/>
        <w:spacing w:line="360" w:lineRule="auto"/>
        <w:ind w:left="1440"/>
      </w:pPr>
    </w:p>
    <w:p w:rsidR="00F85A4F" w:rsidRPr="00F85A4F" w:rsidRDefault="00F85A4F" w:rsidP="00432D67">
      <w:pPr>
        <w:autoSpaceDE w:val="0"/>
        <w:autoSpaceDN w:val="0"/>
        <w:adjustRightInd w:val="0"/>
        <w:spacing w:line="360" w:lineRule="auto"/>
        <w:ind w:left="1440"/>
        <w:rPr>
          <w:rFonts w:eastAsiaTheme="minorEastAsia"/>
        </w:rPr>
      </w:pPr>
      <m:oMathPara>
        <m:oMathParaPr>
          <m:jc m:val="left"/>
        </m:oMathParaPr>
        <m:oMath>
          <m:r>
            <w:rPr>
              <w:rFonts w:ascii="Cambria Math" w:eastAsia="Cambria Math" w:hAnsi="Cambria Math" w:cs="Cambria Math"/>
            </w:rPr>
            <m:t>s.t.:</m:t>
          </m:r>
        </m:oMath>
      </m:oMathPara>
    </w:p>
    <w:p w:rsidR="00F85A4F" w:rsidRPr="00F85A4F" w:rsidRDefault="00510085" w:rsidP="00432D67">
      <w:pPr>
        <w:autoSpaceDE w:val="0"/>
        <w:autoSpaceDN w:val="0"/>
        <w:adjustRightInd w:val="0"/>
        <w:spacing w:line="360" w:lineRule="auto"/>
        <w:ind w:left="1440"/>
        <w:rPr>
          <w:i/>
        </w:rPr>
      </w:pPr>
      <m:oMathPara>
        <m:oMathParaPr>
          <m:jc m:val="left"/>
        </m:oMathParaPr>
        <m:oMath>
          <m:sSub>
            <m:sSubPr>
              <m:ctrlPr>
                <w:rPr>
                  <w:rFonts w:ascii="Cambria Math" w:eastAsia="Cambria Math" w:hAnsi="Cambria Math" w:cs="Cambria Math"/>
                  <w:i/>
                </w:rPr>
              </m:ctrlPr>
            </m:sSubPr>
            <m:e>
              <m:d>
                <m:dPr>
                  <m:ctrlPr>
                    <w:rPr>
                      <w:rFonts w:ascii="Cambria Math" w:eastAsia="Cambria Math" w:hAnsi="Cambria Math" w:cs="Cambria Math"/>
                      <w:i/>
                    </w:rPr>
                  </m:ctrlPr>
                </m:dPr>
                <m:e>
                  <m:r>
                    <w:rPr>
                      <w:rFonts w:ascii="Cambria Math" w:eastAsia="Cambria Math" w:hAnsi="Cambria Math" w:cs="Cambria Math"/>
                    </w:rPr>
                    <m:t>1-r</m:t>
                  </m:r>
                </m:e>
              </m:d>
              <m:r>
                <w:rPr>
                  <w:rFonts w:ascii="Cambria Math" w:eastAsia="Cambria Math" w:hAnsi="Cambria Math" w:cs="Cambria Math"/>
                </w:rPr>
                <m:t>* M</m:t>
              </m:r>
            </m:e>
            <m:sub>
              <m:r>
                <w:rPr>
                  <w:rFonts w:ascii="Cambria Math" w:eastAsia="Cambria Math" w:hAnsi="Cambria Math" w:cs="Cambria Math"/>
                </w:rPr>
                <m:t>global</m:t>
              </m:r>
            </m:sub>
          </m:sSub>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t=2020</m:t>
              </m:r>
            </m:sub>
            <m:sup>
              <m:r>
                <w:rPr>
                  <w:rFonts w:ascii="Cambria Math" w:eastAsia="Cambria Math" w:hAnsi="Cambria Math" w:cs="Cambria Math"/>
                </w:rPr>
                <m:t>2100</m:t>
              </m:r>
            </m:sup>
            <m:e>
              <m:d>
                <m:dPr>
                  <m:ctrlPr>
                    <w:rPr>
                      <w:rFonts w:ascii="Cambria Math" w:hAnsi="Cambria Math"/>
                      <w:i/>
                    </w:rPr>
                  </m:ctrlPr>
                </m:dPr>
                <m:e>
                  <m:sSub>
                    <m:sSubPr>
                      <m:ctrlPr>
                        <w:rPr>
                          <w:rFonts w:ascii="Cambria Math" w:hAnsi="Cambria Math"/>
                          <w:i/>
                        </w:rPr>
                      </m:ctrlPr>
                    </m:sSubPr>
                    <m:e>
                      <m:d>
                        <m:dPr>
                          <m:ctrlPr>
                            <w:rPr>
                              <w:rFonts w:ascii="Cambria Math" w:hAnsi="Cambria Math"/>
                              <w:i/>
                            </w:rPr>
                          </m:ctrlPr>
                        </m:dPr>
                        <m:e>
                          <m:r>
                            <w:rPr>
                              <w:rFonts w:ascii="Cambria Math" w:hAnsi="Cambria Math"/>
                            </w:rPr>
                            <m:t>1-ces</m:t>
                          </m:r>
                        </m:e>
                      </m:d>
                      <m:r>
                        <w:rPr>
                          <w:rFonts w:ascii="Cambria Math" w:hAnsi="Cambria Math"/>
                        </w:rPr>
                        <m:t>* CO2</m:t>
                      </m:r>
                    </m:e>
                    <m:sub>
                      <m:r>
                        <w:rPr>
                          <w:rFonts w:ascii="Cambria Math" w:hAnsi="Cambria Math"/>
                        </w:rPr>
                        <m:t>base</m:t>
                      </m:r>
                    </m:sub>
                  </m:sSub>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CO2</m:t>
                      </m:r>
                    </m:e>
                    <m:sub>
                      <m:r>
                        <w:rPr>
                          <w:rFonts w:ascii="Cambria Math" w:hAnsi="Cambria Math"/>
                        </w:rPr>
                        <m:t>ROW</m:t>
                      </m:r>
                    </m:sub>
                  </m:sSub>
                  <m:r>
                    <w:rPr>
                      <w:rFonts w:ascii="Cambria Math" w:hAnsi="Cambria Math"/>
                    </w:rPr>
                    <m:t xml:space="preserve"> </m:t>
                  </m:r>
                  <m:d>
                    <m:dPr>
                      <m:ctrlPr>
                        <w:rPr>
                          <w:rFonts w:ascii="Cambria Math" w:hAnsi="Cambria Math"/>
                          <w:i/>
                        </w:rPr>
                      </m:ctrlPr>
                    </m:dPr>
                    <m:e>
                      <m:r>
                        <w:rPr>
                          <w:rFonts w:ascii="Cambria Math" w:hAnsi="Cambria Math"/>
                        </w:rPr>
                        <m:t>t</m:t>
                      </m:r>
                    </m:e>
                  </m:d>
                </m:e>
              </m:d>
            </m:e>
          </m:nary>
        </m:oMath>
      </m:oMathPara>
    </w:p>
    <w:p w:rsidR="00F85A4F" w:rsidRPr="00F85A4F" w:rsidRDefault="00F85A4F" w:rsidP="00432D67">
      <w:pPr>
        <w:autoSpaceDE w:val="0"/>
        <w:autoSpaceDN w:val="0"/>
        <w:adjustRightInd w:val="0"/>
        <w:spacing w:line="360" w:lineRule="auto"/>
        <w:ind w:left="1440"/>
        <w:rPr>
          <w:rFonts w:eastAsiaTheme="minorEastAsia"/>
        </w:rPr>
      </w:pPr>
      <m:oMathPara>
        <m:oMathParaPr>
          <m:jc m:val="left"/>
        </m:oMathParaPr>
        <m:oMath>
          <m:r>
            <w:rPr>
              <w:rFonts w:ascii="Cambria Math" w:eastAsia="Cambria Math" w:hAnsi="Cambria Math" w:cs="Cambria Math"/>
            </w:rPr>
            <m:t>0&lt;a&lt;1</m:t>
          </m:r>
        </m:oMath>
      </m:oMathPara>
    </w:p>
    <w:p w:rsidR="00E60683" w:rsidRDefault="00E60683" w:rsidP="00432D67">
      <w:pPr>
        <w:autoSpaceDE w:val="0"/>
        <w:autoSpaceDN w:val="0"/>
        <w:adjustRightInd w:val="0"/>
        <w:spacing w:line="360" w:lineRule="auto"/>
        <w:ind w:left="1440"/>
      </w:pPr>
    </w:p>
    <w:p w:rsidR="00F85A4F" w:rsidRDefault="00F85A4F" w:rsidP="00432D67">
      <w:pPr>
        <w:pStyle w:val="ListParagraph"/>
        <w:autoSpaceDE w:val="0"/>
        <w:autoSpaceDN w:val="0"/>
        <w:adjustRightInd w:val="0"/>
        <w:spacing w:line="360" w:lineRule="auto"/>
      </w:pPr>
      <w:r>
        <w:t xml:space="preserve">Resulting in: </w:t>
      </w:r>
    </w:p>
    <w:p w:rsidR="00F85A4F" w:rsidRDefault="00F85A4F" w:rsidP="00432D67">
      <w:pPr>
        <w:autoSpaceDE w:val="0"/>
        <w:autoSpaceDN w:val="0"/>
        <w:adjustRightInd w:val="0"/>
        <w:spacing w:line="360" w:lineRule="auto"/>
        <w:ind w:left="1440"/>
      </w:pPr>
    </w:p>
    <w:p w:rsidR="00F85A4F" w:rsidRPr="00F85A4F" w:rsidRDefault="00F85A4F" w:rsidP="00432D67">
      <w:pPr>
        <w:autoSpaceDE w:val="0"/>
        <w:autoSpaceDN w:val="0"/>
        <w:adjustRightInd w:val="0"/>
        <w:spacing w:line="360" w:lineRule="auto"/>
        <w:ind w:left="1440"/>
        <w:rPr>
          <w:rFonts w:eastAsiaTheme="minorEastAsia"/>
        </w:rPr>
      </w:pPr>
      <m:oMathPara>
        <m:oMathParaPr>
          <m:jc m:val="left"/>
        </m:oMathParaPr>
        <m:oMath>
          <m:r>
            <w:rPr>
              <w:rFonts w:ascii="Cambria Math" w:eastAsia="Cambria Math" w:hAnsi="Cambria Math" w:cs="Cambria Math"/>
            </w:rPr>
            <m:t xml:space="preserve">a= </m:t>
          </m:r>
          <m:f>
            <m:fPr>
              <m:ctrlPr>
                <w:rPr>
                  <w:rFonts w:ascii="Cambria Math" w:eastAsia="Cambria Math" w:hAnsi="Cambria Math" w:cs="Cambria Math"/>
                  <w:i/>
                </w:rPr>
              </m:ctrlPr>
            </m:fPr>
            <m:num>
              <m:r>
                <w:rPr>
                  <w:rFonts w:ascii="Cambria Math" w:eastAsia="Cambria Math" w:hAnsi="Cambria Math" w:cs="Cambria Math"/>
                </w:rPr>
                <m:t>r-ces</m:t>
              </m:r>
            </m:num>
            <m:den>
              <m:r>
                <w:rPr>
                  <w:rFonts w:ascii="Cambria Math" w:eastAsia="Cambria Math" w:hAnsi="Cambria Math" w:cs="Cambria Math"/>
                </w:rPr>
                <m:t>1-ces</m:t>
              </m:r>
            </m:den>
          </m:f>
        </m:oMath>
      </m:oMathPara>
    </w:p>
    <w:p w:rsidR="00F85A4F" w:rsidRDefault="00F85A4F" w:rsidP="00432D67">
      <w:pPr>
        <w:autoSpaceDE w:val="0"/>
        <w:autoSpaceDN w:val="0"/>
        <w:adjustRightInd w:val="0"/>
        <w:spacing w:line="360" w:lineRule="auto"/>
      </w:pPr>
    </w:p>
    <w:p w:rsidR="00E6064D" w:rsidRDefault="00E6064D" w:rsidP="00432D67">
      <w:pPr>
        <w:pStyle w:val="ListParagraph"/>
        <w:autoSpaceDE w:val="0"/>
        <w:autoSpaceDN w:val="0"/>
        <w:adjustRightInd w:val="0"/>
        <w:spacing w:line="360" w:lineRule="auto"/>
      </w:pPr>
      <w:r>
        <w:t xml:space="preserve">ANNEXI </w:t>
      </w:r>
      <w:r w:rsidR="00F72F92" w:rsidRPr="00F64DB9">
        <w:rPr>
          <w:iCs/>
        </w:rPr>
        <w:t>CO</w:t>
      </w:r>
      <w:r w:rsidR="00F72F92" w:rsidRPr="00F64DB9">
        <w:rPr>
          <w:iCs/>
          <w:vertAlign w:val="subscript"/>
        </w:rPr>
        <w:t>2</w:t>
      </w:r>
      <w:r w:rsidR="00F85A4F">
        <w:t xml:space="preserve"> emissions are calculated as follows:</w:t>
      </w:r>
    </w:p>
    <w:p w:rsidR="00E6064D" w:rsidRDefault="00E6064D" w:rsidP="00432D67">
      <w:pPr>
        <w:autoSpaceDE w:val="0"/>
        <w:autoSpaceDN w:val="0"/>
        <w:adjustRightInd w:val="0"/>
        <w:spacing w:line="360" w:lineRule="auto"/>
        <w:ind w:left="1440"/>
      </w:pPr>
    </w:p>
    <w:p w:rsidR="00F85A4F" w:rsidRPr="00F85A4F" w:rsidRDefault="00510085" w:rsidP="00432D67">
      <w:pPr>
        <w:autoSpaceDE w:val="0"/>
        <w:autoSpaceDN w:val="0"/>
        <w:adjustRightInd w:val="0"/>
        <w:spacing w:line="360" w:lineRule="auto"/>
        <w:ind w:left="144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CO2</m:t>
              </m:r>
            </m:e>
            <m:sub>
              <m:r>
                <w:rPr>
                  <w:rFonts w:ascii="Cambria Math" w:eastAsiaTheme="minorEastAsia" w:hAnsi="Cambria Math"/>
                </w:rPr>
                <m:t>ANNEXI</m:t>
              </m:r>
            </m:sub>
          </m:sSub>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b>
            <m:sSubPr>
              <m:ctrlPr>
                <w:rPr>
                  <w:rFonts w:ascii="Cambria Math" w:hAnsi="Cambria Math"/>
                  <w:i/>
                </w:rPr>
              </m:ctrlPr>
            </m:sSubPr>
            <m:e>
              <m:sSub>
                <m:sSubPr>
                  <m:ctrlPr>
                    <w:rPr>
                      <w:rFonts w:ascii="Cambria Math" w:eastAsia="Cambria Math" w:hAnsi="Cambria Math" w:cs="Cambria Math"/>
                      <w:i/>
                    </w:rPr>
                  </m:ctrlPr>
                </m:sSubPr>
                <m:e>
                  <m:r>
                    <w:rPr>
                      <w:rFonts w:ascii="Cambria Math" w:eastAsia="Cambria Math" w:hAnsi="Cambria Math" w:cs="Cambria Math"/>
                    </w:rPr>
                    <m:t>CO2</m:t>
                  </m:r>
                </m:e>
                <m:sub>
                  <m:r>
                    <w:rPr>
                      <w:rFonts w:ascii="Cambria Math" w:eastAsia="Cambria Math" w:hAnsi="Cambria Math" w:cs="Cambria Math"/>
                    </w:rPr>
                    <m:t>scen</m:t>
                  </m:r>
                </m:sub>
              </m:sSub>
              <m:d>
                <m:dPr>
                  <m:ctrlPr>
                    <w:rPr>
                      <w:rFonts w:ascii="Cambria Math" w:eastAsia="Cambria Math" w:hAnsi="Cambria Math" w:cs="Cambria Math"/>
                      <w:i/>
                    </w:rPr>
                  </m:ctrlPr>
                </m:dPr>
                <m:e>
                  <m:r>
                    <w:rPr>
                      <w:rFonts w:ascii="Cambria Math" w:eastAsia="Cambria Math" w:hAnsi="Cambria Math" w:cs="Cambria Math"/>
                    </w:rPr>
                    <m:t>t</m:t>
                  </m:r>
                </m:e>
              </m:d>
              <m:r>
                <w:rPr>
                  <w:rFonts w:ascii="Cambria Math" w:hAnsi="Cambria Math"/>
                </w:rPr>
                <m:t>- CO2</m:t>
              </m:r>
            </m:e>
            <m:sub>
              <m:r>
                <w:rPr>
                  <w:rFonts w:ascii="Cambria Math" w:hAnsi="Cambria Math"/>
                </w:rPr>
                <m:t>ROW</m:t>
              </m:r>
            </m:sub>
          </m:sSub>
          <m:r>
            <w:rPr>
              <w:rFonts w:ascii="Cambria Math" w:hAnsi="Cambria Math"/>
            </w:rPr>
            <m:t xml:space="preserve"> </m:t>
          </m:r>
          <m:d>
            <m:dPr>
              <m:ctrlPr>
                <w:rPr>
                  <w:rFonts w:ascii="Cambria Math" w:hAnsi="Cambria Math"/>
                  <w:i/>
                </w:rPr>
              </m:ctrlPr>
            </m:dPr>
            <m:e>
              <m:r>
                <w:rPr>
                  <w:rFonts w:ascii="Cambria Math" w:hAnsi="Cambria Math"/>
                </w:rPr>
                <m:t>t</m:t>
              </m:r>
            </m:e>
          </m:d>
        </m:oMath>
      </m:oMathPara>
    </w:p>
    <w:p w:rsidR="00E60683" w:rsidRDefault="00E60683" w:rsidP="00432D67">
      <w:pPr>
        <w:autoSpaceDE w:val="0"/>
        <w:autoSpaceDN w:val="0"/>
        <w:adjustRightInd w:val="0"/>
        <w:spacing w:line="360" w:lineRule="auto"/>
      </w:pPr>
    </w:p>
    <w:p w:rsidR="00F64DB9" w:rsidRDefault="00E6064D" w:rsidP="00432D67">
      <w:pPr>
        <w:pStyle w:val="ListParagraph"/>
        <w:autoSpaceDE w:val="0"/>
        <w:autoSpaceDN w:val="0"/>
        <w:adjustRightInd w:val="0"/>
        <w:spacing w:line="360" w:lineRule="auto"/>
      </w:pPr>
      <w:r>
        <w:t xml:space="preserve">On a global scale, emissions as well as expenditure and income generated from the carbon pricing mechanism are unchanged if </w:t>
      </w:r>
      <w:r w:rsidRPr="00F64DB9">
        <w:rPr>
          <w:i/>
        </w:rPr>
        <w:t>CO2</w:t>
      </w:r>
      <w:r w:rsidRPr="00F64DB9">
        <w:rPr>
          <w:i/>
          <w:vertAlign w:val="subscript"/>
        </w:rPr>
        <w:t>ROW</w:t>
      </w:r>
      <w:r w:rsidRPr="00F64DB9">
        <w:rPr>
          <w:vertAlign w:val="subscript"/>
        </w:rPr>
        <w:t xml:space="preserve"> </w:t>
      </w:r>
      <w:r w:rsidRPr="00E6064D">
        <w:t>and</w:t>
      </w:r>
      <w:r>
        <w:t xml:space="preserve"> </w:t>
      </w:r>
      <w:r w:rsidRPr="00F64DB9">
        <w:rPr>
          <w:i/>
        </w:rPr>
        <w:t>CO2</w:t>
      </w:r>
      <w:r w:rsidRPr="00F64DB9">
        <w:rPr>
          <w:i/>
          <w:vertAlign w:val="subscript"/>
        </w:rPr>
        <w:t>ANNEXI</w:t>
      </w:r>
      <w:r w:rsidRPr="00F64DB9">
        <w:rPr>
          <w:vertAlign w:val="subscript"/>
        </w:rPr>
        <w:t xml:space="preserve"> </w:t>
      </w:r>
      <w:r>
        <w:t>are summed up.</w:t>
      </w:r>
      <w:r w:rsidR="00D74B42">
        <w:t xml:space="preserve"> </w:t>
      </w:r>
      <w:r w:rsidR="00852B46" w:rsidRPr="00F64DB9">
        <w:rPr>
          <w:highlight w:val="yellow"/>
        </w:rPr>
        <w:fldChar w:fldCharType="begin"/>
      </w:r>
      <w:r w:rsidR="00852B46">
        <w:instrText xml:space="preserve"> REF _Ref526342078 \h </w:instrText>
      </w:r>
      <w:r w:rsidR="00432D67">
        <w:rPr>
          <w:highlight w:val="yellow"/>
        </w:rPr>
        <w:instrText xml:space="preserve"> \* MERGEFORMAT </w:instrText>
      </w:r>
      <w:r w:rsidR="00852B46" w:rsidRPr="00F64DB9">
        <w:rPr>
          <w:highlight w:val="yellow"/>
        </w:rPr>
      </w:r>
      <w:r w:rsidR="00852B46" w:rsidRPr="00F64DB9">
        <w:rPr>
          <w:highlight w:val="yellow"/>
        </w:rPr>
        <w:fldChar w:fldCharType="separate"/>
      </w:r>
      <w:r w:rsidR="00852B46">
        <w:t xml:space="preserve">Figure </w:t>
      </w:r>
      <w:r w:rsidR="00852B46">
        <w:rPr>
          <w:noProof/>
        </w:rPr>
        <w:t>1</w:t>
      </w:r>
      <w:r w:rsidR="00852B46" w:rsidRPr="00F64DB9">
        <w:rPr>
          <w:highlight w:val="yellow"/>
        </w:rPr>
        <w:fldChar w:fldCharType="end"/>
      </w:r>
      <w:r w:rsidR="00B743DE">
        <w:t xml:space="preserve"> depicts </w:t>
      </w:r>
      <w:r w:rsidR="00665C4F">
        <w:t>global baseline emissions (</w:t>
      </w:r>
      <w:r w:rsidR="006D6A84" w:rsidRPr="00F64DB9">
        <w:rPr>
          <w:i/>
        </w:rPr>
        <w:t>CO2</w:t>
      </w:r>
      <w:r w:rsidR="006D6A84" w:rsidRPr="00F64DB9">
        <w:rPr>
          <w:i/>
          <w:vertAlign w:val="subscript"/>
        </w:rPr>
        <w:t>base</w:t>
      </w:r>
      <w:r w:rsidR="006D6A84">
        <w:t xml:space="preserve">, </w:t>
      </w:r>
      <w:r w:rsidR="00665C4F">
        <w:t>blue), emission shares of ANNEX I countries (</w:t>
      </w:r>
      <w:r w:rsidR="006D6A84" w:rsidRPr="00F64DB9">
        <w:rPr>
          <w:i/>
        </w:rPr>
        <w:t>CO2</w:t>
      </w:r>
      <w:r w:rsidR="006D6A84" w:rsidRPr="00F64DB9">
        <w:rPr>
          <w:i/>
          <w:vertAlign w:val="subscript"/>
        </w:rPr>
        <w:t>ANNEXI</w:t>
      </w:r>
      <w:r w:rsidR="006D6A84">
        <w:t xml:space="preserve">, </w:t>
      </w:r>
      <w:r w:rsidR="00665C4F">
        <w:t>red)</w:t>
      </w:r>
      <w:r w:rsidR="002128C3">
        <w:t xml:space="preserve"> and ROW</w:t>
      </w:r>
      <w:r>
        <w:t xml:space="preserve"> (</w:t>
      </w:r>
      <w:r w:rsidR="006D6A84" w:rsidRPr="00F64DB9">
        <w:rPr>
          <w:i/>
        </w:rPr>
        <w:t>CO2</w:t>
      </w:r>
      <w:r w:rsidR="006D6A84" w:rsidRPr="00F64DB9">
        <w:rPr>
          <w:i/>
          <w:vertAlign w:val="subscript"/>
        </w:rPr>
        <w:t>ROW</w:t>
      </w:r>
      <w:r w:rsidR="006D6A84">
        <w:t xml:space="preserve">, </w:t>
      </w:r>
      <w:r w:rsidR="00665C4F">
        <w:t>green), as well as the sum of the two</w:t>
      </w:r>
      <w:r w:rsidR="00EB07F5">
        <w:t>,</w:t>
      </w:r>
      <w:r w:rsidR="00665C4F">
        <w:t xml:space="preserve"> global Paris compatible emissions </w:t>
      </w:r>
      <w:r w:rsidR="006D6A84">
        <w:t>(</w:t>
      </w:r>
      <w:r w:rsidR="00F85A4F" w:rsidRPr="00F64DB9">
        <w:rPr>
          <w:i/>
        </w:rPr>
        <w:t>CO2</w:t>
      </w:r>
      <w:r w:rsidR="00F85A4F" w:rsidRPr="00F64DB9">
        <w:rPr>
          <w:i/>
          <w:vertAlign w:val="subscript"/>
        </w:rPr>
        <w:t>scen</w:t>
      </w:r>
      <w:r w:rsidR="006D6A84">
        <w:t xml:space="preserve">, </w:t>
      </w:r>
      <w:r w:rsidR="00665C4F">
        <w:t>black). ANNEX I countries</w:t>
      </w:r>
      <w:r w:rsidR="00382F57">
        <w:t xml:space="preserve"> </w:t>
      </w:r>
      <w:r w:rsidR="00665C4F">
        <w:t xml:space="preserve">start from a lower level and </w:t>
      </w:r>
      <w:r w:rsidR="005677E4">
        <w:t>become</w:t>
      </w:r>
      <w:r w:rsidR="00665C4F">
        <w:t xml:space="preserve"> n</w:t>
      </w:r>
      <w:r w:rsidR="00382F57">
        <w:t xml:space="preserve">et-negative in around 2040, while the effort of </w:t>
      </w:r>
      <w:r w:rsidR="002128C3">
        <w:t>ROW</w:t>
      </w:r>
      <w:r w:rsidR="00382F57">
        <w:t xml:space="preserve"> is to hold emissions more-or-less constant at 2020 levels despite economic </w:t>
      </w:r>
      <w:r w:rsidR="006564B0">
        <w:t>development</w:t>
      </w:r>
      <w:r w:rsidR="00382F57">
        <w:t xml:space="preserve">. </w:t>
      </w:r>
    </w:p>
    <w:p w:rsidR="00F64DB9" w:rsidRDefault="0039765B" w:rsidP="00432D67">
      <w:pPr>
        <w:pStyle w:val="ListParagraph"/>
        <w:autoSpaceDE w:val="0"/>
        <w:autoSpaceDN w:val="0"/>
        <w:adjustRightInd w:val="0"/>
        <w:spacing w:line="360" w:lineRule="auto"/>
      </w:pPr>
      <w:r>
        <w:t>It is important to understand that n</w:t>
      </w:r>
      <w:r w:rsidR="00B743DE">
        <w:t xml:space="preserve">egative emissions of ANNEX I countries contain emission reductions </w:t>
      </w:r>
      <w:r w:rsidR="00EB07F5">
        <w:t>from</w:t>
      </w:r>
      <w:r w:rsidR="00B743DE">
        <w:t xml:space="preserve"> fossil sector decarbonization </w:t>
      </w:r>
      <w:r w:rsidR="00EB07F5">
        <w:t>in</w:t>
      </w:r>
      <w:r w:rsidR="00B743DE">
        <w:t xml:space="preserve"> </w:t>
      </w:r>
      <w:r w:rsidR="002128C3">
        <w:t>ROW</w:t>
      </w:r>
      <w:r w:rsidR="00B743DE">
        <w:t xml:space="preserve"> countries, which </w:t>
      </w:r>
      <w:r w:rsidR="00E6064D">
        <w:t>is</w:t>
      </w:r>
      <w:r w:rsidR="00B743DE">
        <w:t xml:space="preserve"> compensated by financial t</w:t>
      </w:r>
      <w:r w:rsidR="002128C3">
        <w:t xml:space="preserve">ransfers </w:t>
      </w:r>
      <w:r w:rsidR="00A640D0">
        <w:t>from ANNEX I to ROW countries</w:t>
      </w:r>
      <w:r>
        <w:t xml:space="preserve">. </w:t>
      </w:r>
      <w:r w:rsidR="001D6551">
        <w:t xml:space="preserve">At the same time the ROW emission trajectory reflects what these countries </w:t>
      </w:r>
      <w:r w:rsidR="00FD5EE3">
        <w:t>achieve</w:t>
      </w:r>
      <w:r w:rsidR="001D6551">
        <w:t xml:space="preserve"> based on their own</w:t>
      </w:r>
      <w:r w:rsidR="00884FAC">
        <w:t xml:space="preserve"> financial</w:t>
      </w:r>
      <w:r w:rsidR="001D6551">
        <w:t xml:space="preserve"> efforts, i.e. emission reductions induced by payments from ANNEX I countries are not considered in this </w:t>
      </w:r>
      <w:r w:rsidR="00EB07F5">
        <w:t>curve</w:t>
      </w:r>
      <w:r w:rsidR="001D6551">
        <w:t xml:space="preserve">. </w:t>
      </w:r>
      <w:r w:rsidR="00FD5EE3">
        <w:t xml:space="preserve">Since </w:t>
      </w:r>
      <w:r w:rsidR="00EB07F5">
        <w:t xml:space="preserve">the </w:t>
      </w:r>
      <w:r w:rsidR="00FD5EE3">
        <w:t>mitigation</w:t>
      </w:r>
      <w:r w:rsidR="00A640D0">
        <w:t xml:space="preserve"> pathway</w:t>
      </w:r>
      <w:r w:rsidR="00EB07F5">
        <w:t xml:space="preserve"> is globally optimal,</w:t>
      </w:r>
      <w:r w:rsidR="00FD5EE3">
        <w:t xml:space="preserve"> t</w:t>
      </w:r>
      <w:r>
        <w:t xml:space="preserve">his conservative approach </w:t>
      </w:r>
      <w:r w:rsidR="00B743DE">
        <w:t>is</w:t>
      </w:r>
      <w:r>
        <w:t xml:space="preserve"> </w:t>
      </w:r>
      <w:r w:rsidR="00B743DE">
        <w:t xml:space="preserve">less costly than </w:t>
      </w:r>
      <w:r w:rsidR="00FD5EE3">
        <w:t xml:space="preserve">the alternative </w:t>
      </w:r>
      <w:r w:rsidR="00B743DE">
        <w:t>compensat</w:t>
      </w:r>
      <w:r w:rsidR="00FD5EE3">
        <w:t>ion of</w:t>
      </w:r>
      <w:r w:rsidR="00B743DE">
        <w:t xml:space="preserve"> “foreign” fossil emissions by “domestic” negative emissions.</w:t>
      </w:r>
      <w:r w:rsidR="00D74B42">
        <w:t xml:space="preserve"> </w:t>
      </w:r>
    </w:p>
    <w:p w:rsidR="00DC4936" w:rsidRDefault="00C9604E" w:rsidP="00432D67">
      <w:pPr>
        <w:pStyle w:val="ListParagraph"/>
        <w:autoSpaceDE w:val="0"/>
        <w:autoSpaceDN w:val="0"/>
        <w:adjustRightInd w:val="0"/>
        <w:spacing w:line="360" w:lineRule="auto"/>
      </w:pPr>
      <w:r>
        <w:t xml:space="preserve">For estimating </w:t>
      </w:r>
      <w:r w:rsidR="00F64DB9">
        <w:t>public</w:t>
      </w:r>
      <w:r w:rsidR="00F85A4F">
        <w:t xml:space="preserve"> income- and expenditure shares (</w:t>
      </w:r>
      <w:r w:rsidR="00F85A4F" w:rsidRPr="00F85A4F">
        <w:rPr>
          <w:i/>
        </w:rPr>
        <w:t>i</w:t>
      </w:r>
      <w:r w:rsidR="00F85A4F">
        <w:rPr>
          <w:i/>
        </w:rPr>
        <w:t>n</w:t>
      </w:r>
      <w:r w:rsidR="00F85A4F">
        <w:t xml:space="preserve"> and </w:t>
      </w:r>
      <w:r w:rsidR="00F85A4F" w:rsidRPr="00F85A4F">
        <w:rPr>
          <w:i/>
        </w:rPr>
        <w:t>e</w:t>
      </w:r>
      <w:r w:rsidR="00F85A4F">
        <w:rPr>
          <w:i/>
        </w:rPr>
        <w:t>x</w:t>
      </w:r>
      <w:r w:rsidR="00F85A4F">
        <w:t>, respectively)</w:t>
      </w:r>
      <w:r w:rsidR="00F12B4F">
        <w:t xml:space="preserve"> of specific mitigation pathways, net </w:t>
      </w:r>
      <w:r w:rsidR="00F72F92" w:rsidRPr="00F64DB9">
        <w:rPr>
          <w:iCs/>
        </w:rPr>
        <w:t>CO</w:t>
      </w:r>
      <w:r w:rsidR="00F72F92" w:rsidRPr="00F64DB9">
        <w:rPr>
          <w:iCs/>
          <w:vertAlign w:val="subscript"/>
        </w:rPr>
        <w:t>2</w:t>
      </w:r>
      <w:r w:rsidR="00F12B4F">
        <w:t xml:space="preserve"> emissions</w:t>
      </w:r>
      <w:r w:rsidR="00E366CF">
        <w:t xml:space="preserve"> reflecting the increased mitigation efforts</w:t>
      </w:r>
      <w:r w:rsidR="00F12B4F">
        <w:t xml:space="preserve"> are </w:t>
      </w:r>
      <w:r w:rsidR="00F12B4F">
        <w:lastRenderedPageBreak/>
        <w:t>multiplied by the carbon pri</w:t>
      </w:r>
      <w:r w:rsidR="00FD5EE3">
        <w:t>ce and expressed as percentage of the respective share of global GDP</w:t>
      </w:r>
      <w:r w:rsidR="00D74B42">
        <w:t xml:space="preserve"> (g)</w:t>
      </w:r>
      <w:r w:rsidR="00FD5EE3">
        <w:t xml:space="preserve">, which is roughly 60% </w:t>
      </w:r>
      <w:r w:rsidR="00E366CF">
        <w:t>for AN</w:t>
      </w:r>
      <w:r w:rsidR="00E6064D">
        <w:t>N</w:t>
      </w:r>
      <w:r w:rsidR="00E366CF">
        <w:t>EX I countries</w:t>
      </w:r>
      <w:r w:rsidR="006D6A84">
        <w:fldChar w:fldCharType="begin"/>
      </w:r>
      <w:r w:rsidR="006D6A84">
        <w:instrText xml:space="preserve"> ADDIN ZOTERO_ITEM CSL_CITATION {"citationID":"jqjefYLT","properties":{"formattedCitation":"\\super 3\\nosupersub{}","plainCitation":"3","noteIndex":0},"citationItems":[{"id":196,"uris":["http://zotero.org/users/local/41w2oayr/items/V3JNB2VZ"],"uri":["http://zotero.org/users/local/41w2oayr/items/V3JNB2VZ"],"itemData":{"id":196,"type":"webpage","title":"GDP (current US$)","URL":"https://data.worldbank.org/indicator/NY.GDP.MKTP.CD","author":[{"family":"The World Bank","given":""}],"accessed":{"date-parts":[["2018",10,8]]}}}],"schema":"https://github.com/citation-style-language/schema/raw/master/csl-citation.json"} </w:instrText>
      </w:r>
      <w:r w:rsidR="006D6A84">
        <w:fldChar w:fldCharType="separate"/>
      </w:r>
      <w:r w:rsidR="006D6A84" w:rsidRPr="006D6A84">
        <w:rPr>
          <w:rFonts w:ascii="Calibri" w:hAnsi="Calibri" w:cs="Times New Roman"/>
          <w:szCs w:val="24"/>
          <w:vertAlign w:val="superscript"/>
        </w:rPr>
        <w:t>3</w:t>
      </w:r>
      <w:r w:rsidR="006D6A84">
        <w:fldChar w:fldCharType="end"/>
      </w:r>
      <w:r w:rsidR="00FD5EE3">
        <w:t>.</w:t>
      </w:r>
      <w:r>
        <w:t xml:space="preserve"> </w:t>
      </w:r>
    </w:p>
    <w:p w:rsidR="00F85A4F" w:rsidRDefault="00F85A4F" w:rsidP="00432D67">
      <w:pPr>
        <w:autoSpaceDE w:val="0"/>
        <w:autoSpaceDN w:val="0"/>
        <w:adjustRightInd w:val="0"/>
        <w:spacing w:line="360" w:lineRule="auto"/>
        <w:ind w:left="1440"/>
      </w:pPr>
    </w:p>
    <w:p w:rsidR="00432D67" w:rsidRDefault="00432D67" w:rsidP="00432D67">
      <w:pPr>
        <w:autoSpaceDE w:val="0"/>
        <w:autoSpaceDN w:val="0"/>
        <w:adjustRightInd w:val="0"/>
        <w:spacing w:line="360" w:lineRule="auto"/>
        <w:ind w:left="1440"/>
      </w:pPr>
    </w:p>
    <w:p w:rsidR="00F85A4F" w:rsidRPr="00F85A4F" w:rsidRDefault="00F85A4F" w:rsidP="00432D67">
      <w:pPr>
        <w:autoSpaceDE w:val="0"/>
        <w:autoSpaceDN w:val="0"/>
        <w:adjustRightInd w:val="0"/>
        <w:spacing w:line="360" w:lineRule="auto"/>
        <w:ind w:left="1440"/>
      </w:pPr>
      <m:oMathPara>
        <m:oMathParaPr>
          <m:jc m:val="left"/>
        </m:oMathParaPr>
        <m:oMath>
          <m:r>
            <w:rPr>
              <w:rFonts w:ascii="Cambria Math" w:hAnsi="Cambria Math"/>
            </w:rPr>
            <m:t>g=0.60</m:t>
          </m:r>
        </m:oMath>
      </m:oMathPara>
    </w:p>
    <w:p w:rsidR="00F85A4F" w:rsidRDefault="00F85A4F" w:rsidP="00432D67">
      <w:pPr>
        <w:autoSpaceDE w:val="0"/>
        <w:autoSpaceDN w:val="0"/>
        <w:adjustRightInd w:val="0"/>
        <w:spacing w:line="360" w:lineRule="auto"/>
        <w:ind w:left="1440"/>
      </w:pPr>
    </w:p>
    <w:p w:rsidR="00F85A4F" w:rsidRPr="00F85A4F" w:rsidRDefault="00F85A4F" w:rsidP="00432D67">
      <w:pPr>
        <w:autoSpaceDE w:val="0"/>
        <w:autoSpaceDN w:val="0"/>
        <w:adjustRightInd w:val="0"/>
        <w:spacing w:line="360" w:lineRule="auto"/>
        <w:ind w:left="1440"/>
        <w:rPr>
          <w:rFonts w:eastAsiaTheme="minorEastAsia"/>
        </w:rPr>
      </w:pPr>
      <m:oMathPara>
        <m:oMathParaPr>
          <m:jc m:val="left"/>
        </m:oMathParaPr>
        <m:oMath>
          <m:r>
            <w:rPr>
              <w:rFonts w:ascii="Cambria Math" w:eastAsia="Cambria Math" w:hAnsi="Cambria Math" w:cs="Cambria Math"/>
            </w:rPr>
            <m:t>in</m:t>
          </m:r>
          <m:d>
            <m:dPr>
              <m:ctrlPr>
                <w:rPr>
                  <w:rFonts w:ascii="Cambria Math" w:eastAsia="Cambria Math" w:hAnsi="Cambria Math" w:cs="Cambria Math"/>
                  <w:i/>
                </w:rPr>
              </m:ctrlPr>
            </m:dPr>
            <m:e>
              <m:r>
                <w:rPr>
                  <w:rFonts w:ascii="Cambria Math" w:eastAsia="Cambria Math" w:hAnsi="Cambria Math" w:cs="Cambria Math"/>
                </w:rPr>
                <m:t>t</m:t>
              </m:r>
            </m:e>
          </m:d>
          <m:r>
            <w:rPr>
              <w:rFonts w:ascii="Cambria Math" w:eastAsia="Cambria Math" w:hAnsi="Cambria Math" w:cs="Cambria Math"/>
            </w:rPr>
            <m:t xml:space="preserve">= </m:t>
          </m:r>
          <m:d>
            <m:dPr>
              <m:begChr m:val="{"/>
              <m:endChr m:val=""/>
              <m:ctrlPr>
                <w:rPr>
                  <w:rFonts w:ascii="Cambria Math" w:eastAsia="Cambria Math" w:hAnsi="Cambria Math" w:cs="Cambria Math"/>
                  <w:i/>
                </w:rPr>
              </m:ctrlPr>
            </m:dPr>
            <m:e>
              <m:eqArr>
                <m:eqArrPr>
                  <m:ctrlPr>
                    <w:rPr>
                      <w:rFonts w:ascii="Cambria Math" w:eastAsia="Cambria Math" w:hAnsi="Cambria Math" w:cs="Cambria Math"/>
                      <w:i/>
                    </w:rPr>
                  </m:ctrlPr>
                </m:eqArrPr>
                <m:e>
                  <m:f>
                    <m:fPr>
                      <m:ctrlPr>
                        <w:rPr>
                          <w:rFonts w:ascii="Cambria Math" w:eastAsiaTheme="minorEastAsia" w:hAnsi="Cambria Math"/>
                          <w:i/>
                        </w:rPr>
                      </m:ctrlPr>
                    </m:fPr>
                    <m:num>
                      <m:d>
                        <m:dPr>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P</m:t>
                              </m:r>
                            </m:e>
                            <m:sub>
                              <m:r>
                                <w:rPr>
                                  <w:rFonts w:ascii="Cambria Math" w:eastAsia="Cambria Math" w:hAnsi="Cambria Math" w:cs="Cambria Math"/>
                                </w:rPr>
                                <m:t>CO2</m:t>
                              </m:r>
                            </m:sub>
                          </m:sSub>
                          <m:d>
                            <m:dPr>
                              <m:ctrlPr>
                                <w:rPr>
                                  <w:rFonts w:ascii="Cambria Math" w:eastAsia="Cambria Math" w:hAnsi="Cambria Math" w:cs="Cambria Math"/>
                                  <w:i/>
                                </w:rPr>
                              </m:ctrlPr>
                            </m:dPr>
                            <m:e>
                              <m:r>
                                <w:rPr>
                                  <w:rFonts w:ascii="Cambria Math" w:eastAsia="Cambria Math" w:hAnsi="Cambria Math" w:cs="Cambria Math"/>
                                </w:rPr>
                                <m:t>t</m:t>
                              </m:r>
                            </m:e>
                          </m:d>
                          <m:r>
                            <w:rPr>
                              <w:rFonts w:ascii="Cambria Math" w:eastAsia="Cambria Math" w:hAnsi="Cambria Math" w:cs="Cambria Math"/>
                            </w:rPr>
                            <m:t xml:space="preserve">* </m:t>
                          </m:r>
                          <m:sSub>
                            <m:sSubPr>
                              <m:ctrlPr>
                                <w:rPr>
                                  <w:rFonts w:ascii="Cambria Math" w:eastAsiaTheme="minorEastAsia" w:hAnsi="Cambria Math"/>
                                  <w:i/>
                                </w:rPr>
                              </m:ctrlPr>
                            </m:sSubPr>
                            <m:e>
                              <m:r>
                                <w:rPr>
                                  <w:rFonts w:ascii="Cambria Math" w:eastAsiaTheme="minorEastAsia" w:hAnsi="Cambria Math"/>
                                </w:rPr>
                                <m:t>CO2</m:t>
                              </m:r>
                            </m:e>
                            <m:sub>
                              <m:r>
                                <w:rPr>
                                  <w:rFonts w:ascii="Cambria Math" w:eastAsiaTheme="minorEastAsia" w:hAnsi="Cambria Math"/>
                                </w:rPr>
                                <m:t>ANNEXI</m:t>
                              </m:r>
                            </m:sub>
                          </m:sSub>
                          <m:d>
                            <m:dPr>
                              <m:ctrlPr>
                                <w:rPr>
                                  <w:rFonts w:ascii="Cambria Math" w:eastAsiaTheme="minorEastAsia" w:hAnsi="Cambria Math"/>
                                  <w:i/>
                                </w:rPr>
                              </m:ctrlPr>
                            </m:dPr>
                            <m:e>
                              <m:r>
                                <w:rPr>
                                  <w:rFonts w:ascii="Cambria Math" w:eastAsiaTheme="minorEastAsia" w:hAnsi="Cambria Math"/>
                                </w:rPr>
                                <m:t>t</m:t>
                              </m:r>
                            </m:e>
                          </m:d>
                          <m:ctrlPr>
                            <w:rPr>
                              <w:rFonts w:ascii="Cambria Math" w:eastAsiaTheme="minorEastAsia" w:hAnsi="Cambria Math"/>
                              <w:i/>
                            </w:rPr>
                          </m:ctrlPr>
                        </m:e>
                      </m:d>
                      <m:ctrlPr>
                        <w:rPr>
                          <w:rFonts w:ascii="Cambria Math" w:eastAsia="Cambria Math" w:hAnsi="Cambria Math" w:cs="Cambria Math"/>
                          <w:i/>
                        </w:rPr>
                      </m:ctrlPr>
                    </m:num>
                    <m:den>
                      <m:r>
                        <w:rPr>
                          <w:rFonts w:ascii="Cambria Math" w:eastAsia="Cambria Math" w:hAnsi="Cambria Math" w:cs="Cambria Math"/>
                        </w:rPr>
                        <m:t>g*GDP</m:t>
                      </m:r>
                    </m:den>
                  </m:f>
                </m:e>
                <m:e>
                  <m:r>
                    <w:rPr>
                      <w:rFonts w:ascii="Cambria Math" w:eastAsia="Cambria Math" w:hAnsi="Cambria Math" w:cs="Cambria Math"/>
                    </w:rPr>
                    <m:t xml:space="preserve">0,  </m:t>
                  </m:r>
                  <m:sSub>
                    <m:sSubPr>
                      <m:ctrlPr>
                        <w:rPr>
                          <w:rFonts w:ascii="Cambria Math" w:eastAsiaTheme="minorEastAsia" w:hAnsi="Cambria Math"/>
                          <w:i/>
                        </w:rPr>
                      </m:ctrlPr>
                    </m:sSubPr>
                    <m:e>
                      <m:r>
                        <w:rPr>
                          <w:rFonts w:ascii="Cambria Math" w:eastAsiaTheme="minorEastAsia" w:hAnsi="Cambria Math"/>
                        </w:rPr>
                        <m:t>CO2</m:t>
                      </m:r>
                    </m:e>
                    <m:sub>
                      <m:r>
                        <w:rPr>
                          <w:rFonts w:ascii="Cambria Math" w:eastAsiaTheme="minorEastAsia" w:hAnsi="Cambria Math"/>
                        </w:rPr>
                        <m:t>ANNEXI</m:t>
                      </m:r>
                    </m:sub>
                  </m:sSub>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≤0</m:t>
                  </m:r>
                </m:e>
              </m:eqArr>
            </m:e>
          </m:d>
          <m:r>
            <w:rPr>
              <w:rFonts w:ascii="Cambria Math" w:eastAsia="Cambria Math" w:hAnsi="Cambria Math" w:cs="Cambria Math"/>
            </w:rPr>
            <m:t xml:space="preserve">, </m:t>
          </m:r>
          <m:sSub>
            <m:sSubPr>
              <m:ctrlPr>
                <w:rPr>
                  <w:rFonts w:ascii="Cambria Math" w:eastAsiaTheme="minorEastAsia" w:hAnsi="Cambria Math"/>
                  <w:i/>
                </w:rPr>
              </m:ctrlPr>
            </m:sSubPr>
            <m:e>
              <m:r>
                <w:rPr>
                  <w:rFonts w:ascii="Cambria Math" w:eastAsiaTheme="minorEastAsia" w:hAnsi="Cambria Math"/>
                </w:rPr>
                <m:t>CO2</m:t>
              </m:r>
            </m:e>
            <m:sub>
              <m:r>
                <w:rPr>
                  <w:rFonts w:ascii="Cambria Math" w:eastAsiaTheme="minorEastAsia" w:hAnsi="Cambria Math"/>
                </w:rPr>
                <m:t>ANNEXI</m:t>
              </m:r>
            </m:sub>
          </m:sSub>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&gt;0</m:t>
          </m:r>
        </m:oMath>
      </m:oMathPara>
    </w:p>
    <w:p w:rsidR="00F85A4F" w:rsidRDefault="00F85A4F" w:rsidP="00432D67">
      <w:pPr>
        <w:autoSpaceDE w:val="0"/>
        <w:autoSpaceDN w:val="0"/>
        <w:adjustRightInd w:val="0"/>
        <w:spacing w:line="360" w:lineRule="auto"/>
        <w:ind w:left="1440"/>
      </w:pPr>
    </w:p>
    <w:p w:rsidR="00F85A4F" w:rsidRPr="00F85A4F" w:rsidRDefault="00F85A4F" w:rsidP="00432D67">
      <w:pPr>
        <w:autoSpaceDE w:val="0"/>
        <w:autoSpaceDN w:val="0"/>
        <w:adjustRightInd w:val="0"/>
        <w:spacing w:line="360" w:lineRule="auto"/>
        <w:ind w:left="1440"/>
        <w:rPr>
          <w:rFonts w:eastAsiaTheme="minorEastAsia"/>
        </w:rPr>
      </w:pPr>
      <m:oMathPara>
        <m:oMathParaPr>
          <m:jc m:val="left"/>
        </m:oMathParaPr>
        <m:oMath>
          <m:r>
            <w:rPr>
              <w:rFonts w:ascii="Cambria Math" w:eastAsia="Cambria Math" w:hAnsi="Cambria Math" w:cs="Cambria Math"/>
            </w:rPr>
            <m:t>ex</m:t>
          </m:r>
          <m:d>
            <m:dPr>
              <m:ctrlPr>
                <w:rPr>
                  <w:rFonts w:ascii="Cambria Math" w:eastAsia="Cambria Math" w:hAnsi="Cambria Math" w:cs="Cambria Math"/>
                  <w:i/>
                </w:rPr>
              </m:ctrlPr>
            </m:dPr>
            <m:e>
              <m:r>
                <w:rPr>
                  <w:rFonts w:ascii="Cambria Math" w:eastAsia="Cambria Math" w:hAnsi="Cambria Math" w:cs="Cambria Math"/>
                </w:rPr>
                <m:t>t</m:t>
              </m:r>
            </m:e>
          </m:d>
          <m:r>
            <w:rPr>
              <w:rFonts w:ascii="Cambria Math" w:eastAsia="Cambria Math" w:hAnsi="Cambria Math" w:cs="Cambria Math"/>
            </w:rPr>
            <m:t xml:space="preserve">= </m:t>
          </m:r>
          <m:d>
            <m:dPr>
              <m:begChr m:val="{"/>
              <m:endChr m:val=""/>
              <m:ctrlPr>
                <w:rPr>
                  <w:rFonts w:ascii="Cambria Math" w:eastAsia="Cambria Math" w:hAnsi="Cambria Math" w:cs="Cambria Math"/>
                  <w:i/>
                </w:rPr>
              </m:ctrlPr>
            </m:dPr>
            <m:e>
              <m:eqArr>
                <m:eqArrPr>
                  <m:ctrlPr>
                    <w:rPr>
                      <w:rFonts w:ascii="Cambria Math" w:eastAsia="Cambria Math" w:hAnsi="Cambria Math" w:cs="Cambria Math"/>
                      <w:i/>
                    </w:rPr>
                  </m:ctrlPr>
                </m:eqArrPr>
                <m:e>
                  <m:r>
                    <w:rPr>
                      <w:rFonts w:ascii="Cambria Math" w:eastAsia="Cambria Math" w:hAnsi="Cambria Math" w:cs="Cambria Math"/>
                    </w:rPr>
                    <m:t>-</m:t>
                  </m:r>
                  <m:f>
                    <m:fPr>
                      <m:ctrlPr>
                        <w:rPr>
                          <w:rFonts w:ascii="Cambria Math" w:eastAsiaTheme="minorEastAsia" w:hAnsi="Cambria Math"/>
                          <w:i/>
                        </w:rPr>
                      </m:ctrlPr>
                    </m:fPr>
                    <m:num>
                      <m:d>
                        <m:dPr>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P</m:t>
                              </m:r>
                            </m:e>
                            <m:sub>
                              <m:r>
                                <w:rPr>
                                  <w:rFonts w:ascii="Cambria Math" w:eastAsia="Cambria Math" w:hAnsi="Cambria Math" w:cs="Cambria Math"/>
                                </w:rPr>
                                <m:t>CO2</m:t>
                              </m:r>
                            </m:sub>
                          </m:sSub>
                          <m:d>
                            <m:dPr>
                              <m:ctrlPr>
                                <w:rPr>
                                  <w:rFonts w:ascii="Cambria Math" w:eastAsia="Cambria Math" w:hAnsi="Cambria Math" w:cs="Cambria Math"/>
                                  <w:i/>
                                </w:rPr>
                              </m:ctrlPr>
                            </m:dPr>
                            <m:e>
                              <m:r>
                                <w:rPr>
                                  <w:rFonts w:ascii="Cambria Math" w:eastAsia="Cambria Math" w:hAnsi="Cambria Math" w:cs="Cambria Math"/>
                                </w:rPr>
                                <m:t>t</m:t>
                              </m:r>
                            </m:e>
                          </m:d>
                          <m:r>
                            <w:rPr>
                              <w:rFonts w:ascii="Cambria Math" w:eastAsia="Cambria Math" w:hAnsi="Cambria Math" w:cs="Cambria Math"/>
                            </w:rPr>
                            <m:t xml:space="preserve">* </m:t>
                          </m:r>
                          <m:sSub>
                            <m:sSubPr>
                              <m:ctrlPr>
                                <w:rPr>
                                  <w:rFonts w:ascii="Cambria Math" w:eastAsiaTheme="minorEastAsia" w:hAnsi="Cambria Math"/>
                                  <w:i/>
                                </w:rPr>
                              </m:ctrlPr>
                            </m:sSubPr>
                            <m:e>
                              <m:r>
                                <w:rPr>
                                  <w:rFonts w:ascii="Cambria Math" w:eastAsiaTheme="minorEastAsia" w:hAnsi="Cambria Math"/>
                                </w:rPr>
                                <m:t>CO2</m:t>
                              </m:r>
                            </m:e>
                            <m:sub>
                              <m:r>
                                <w:rPr>
                                  <w:rFonts w:ascii="Cambria Math" w:eastAsiaTheme="minorEastAsia" w:hAnsi="Cambria Math"/>
                                </w:rPr>
                                <m:t>ANNEXI</m:t>
                              </m:r>
                            </m:sub>
                          </m:sSub>
                          <m:d>
                            <m:dPr>
                              <m:ctrlPr>
                                <w:rPr>
                                  <w:rFonts w:ascii="Cambria Math" w:eastAsiaTheme="minorEastAsia" w:hAnsi="Cambria Math"/>
                                  <w:i/>
                                </w:rPr>
                              </m:ctrlPr>
                            </m:dPr>
                            <m:e>
                              <m:r>
                                <w:rPr>
                                  <w:rFonts w:ascii="Cambria Math" w:eastAsiaTheme="minorEastAsia" w:hAnsi="Cambria Math"/>
                                </w:rPr>
                                <m:t>t</m:t>
                              </m:r>
                            </m:e>
                          </m:d>
                          <m:ctrlPr>
                            <w:rPr>
                              <w:rFonts w:ascii="Cambria Math" w:eastAsiaTheme="minorEastAsia" w:hAnsi="Cambria Math"/>
                              <w:i/>
                            </w:rPr>
                          </m:ctrlPr>
                        </m:e>
                      </m:d>
                      <m:ctrlPr>
                        <w:rPr>
                          <w:rFonts w:ascii="Cambria Math" w:eastAsia="Cambria Math" w:hAnsi="Cambria Math" w:cs="Cambria Math"/>
                          <w:i/>
                        </w:rPr>
                      </m:ctrlPr>
                    </m:num>
                    <m:den>
                      <m:r>
                        <w:rPr>
                          <w:rFonts w:ascii="Cambria Math" w:eastAsia="Cambria Math" w:hAnsi="Cambria Math" w:cs="Cambria Math"/>
                        </w:rPr>
                        <m:t>g*GDP</m:t>
                      </m:r>
                    </m:den>
                  </m:f>
                </m:e>
                <m:e>
                  <m:r>
                    <w:rPr>
                      <w:rFonts w:ascii="Cambria Math" w:eastAsia="Cambria Math" w:hAnsi="Cambria Math" w:cs="Cambria Math"/>
                    </w:rPr>
                    <m:t xml:space="preserve">0,  </m:t>
                  </m:r>
                  <m:sSub>
                    <m:sSubPr>
                      <m:ctrlPr>
                        <w:rPr>
                          <w:rFonts w:ascii="Cambria Math" w:eastAsiaTheme="minorEastAsia" w:hAnsi="Cambria Math"/>
                          <w:i/>
                        </w:rPr>
                      </m:ctrlPr>
                    </m:sSubPr>
                    <m:e>
                      <m:r>
                        <w:rPr>
                          <w:rFonts w:ascii="Cambria Math" w:eastAsiaTheme="minorEastAsia" w:hAnsi="Cambria Math"/>
                        </w:rPr>
                        <m:t>CO2</m:t>
                      </m:r>
                    </m:e>
                    <m:sub>
                      <m:r>
                        <w:rPr>
                          <w:rFonts w:ascii="Cambria Math" w:eastAsiaTheme="minorEastAsia" w:hAnsi="Cambria Math"/>
                        </w:rPr>
                        <m:t>ANNEXI</m:t>
                      </m:r>
                    </m:sub>
                  </m:sSub>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≥0</m:t>
                  </m:r>
                </m:e>
              </m:eqArr>
            </m:e>
          </m:d>
          <m:r>
            <w:rPr>
              <w:rFonts w:ascii="Cambria Math" w:eastAsia="Cambria Math" w:hAnsi="Cambria Math" w:cs="Cambria Math"/>
            </w:rPr>
            <m:t xml:space="preserve">, </m:t>
          </m:r>
          <m:sSub>
            <m:sSubPr>
              <m:ctrlPr>
                <w:rPr>
                  <w:rFonts w:ascii="Cambria Math" w:eastAsiaTheme="minorEastAsia" w:hAnsi="Cambria Math"/>
                  <w:i/>
                </w:rPr>
              </m:ctrlPr>
            </m:sSubPr>
            <m:e>
              <m:r>
                <w:rPr>
                  <w:rFonts w:ascii="Cambria Math" w:eastAsiaTheme="minorEastAsia" w:hAnsi="Cambria Math"/>
                </w:rPr>
                <m:t>CO2</m:t>
              </m:r>
            </m:e>
            <m:sub>
              <m:r>
                <w:rPr>
                  <w:rFonts w:ascii="Cambria Math" w:eastAsiaTheme="minorEastAsia" w:hAnsi="Cambria Math"/>
                </w:rPr>
                <m:t>ANNEXI</m:t>
              </m:r>
            </m:sub>
          </m:sSub>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&lt;0</m:t>
          </m:r>
        </m:oMath>
      </m:oMathPara>
    </w:p>
    <w:p w:rsidR="00F85A4F" w:rsidRDefault="00F85A4F" w:rsidP="00432D67">
      <w:pPr>
        <w:autoSpaceDE w:val="0"/>
        <w:autoSpaceDN w:val="0"/>
        <w:adjustRightInd w:val="0"/>
        <w:spacing w:line="360" w:lineRule="auto"/>
      </w:pPr>
    </w:p>
    <w:p w:rsidR="00D74B42" w:rsidRDefault="00D74B42" w:rsidP="00432D67">
      <w:pPr>
        <w:pStyle w:val="ListParagraph"/>
        <w:autoSpaceDE w:val="0"/>
        <w:autoSpaceDN w:val="0"/>
        <w:adjustRightInd w:val="0"/>
        <w:spacing w:line="360" w:lineRule="auto"/>
      </w:pPr>
      <w:r>
        <w:t>The expenditure share is consequently a function of 1) the responsibility share (</w:t>
      </w:r>
      <w:r w:rsidRPr="00F64DB9">
        <w:rPr>
          <w:i/>
        </w:rPr>
        <w:t>r</w:t>
      </w:r>
      <w:r>
        <w:t>) for contributions to climate change, 2) the current emission share (</w:t>
      </w:r>
      <w:r w:rsidRPr="00F64DB9">
        <w:rPr>
          <w:i/>
        </w:rPr>
        <w:t>ces</w:t>
      </w:r>
      <w:r>
        <w:t>) and 3) the share of global GDP (</w:t>
      </w:r>
      <w:r w:rsidRPr="00F64DB9">
        <w:rPr>
          <w:i/>
        </w:rPr>
        <w:t>g</w:t>
      </w:r>
      <w:r>
        <w:t>). Obviously a higher historical responsibility results in a higher expenditure share</w:t>
      </w:r>
      <w:r w:rsidR="00805F86">
        <w:t xml:space="preserve"> for ANNEX I countries</w:t>
      </w:r>
      <w:r>
        <w:t xml:space="preserve">, while a higher share of GDP reduces the expenditure share. Since the current emission share defines the future baseline for ANNEX I countries from which reductions are subtracted, reducing </w:t>
      </w:r>
      <w:r w:rsidRPr="00F64DB9">
        <w:rPr>
          <w:i/>
        </w:rPr>
        <w:t>ces</w:t>
      </w:r>
      <w:r>
        <w:t xml:space="preserve"> leads</w:t>
      </w:r>
      <w:r w:rsidR="00C0111A">
        <w:t xml:space="preserve"> to</w:t>
      </w:r>
      <w:r>
        <w:t xml:space="preserve"> an increased expenditure share</w:t>
      </w:r>
      <w:r w:rsidR="00805F86">
        <w:t xml:space="preserve"> since net ANNEX I emissions </w:t>
      </w:r>
      <w:r w:rsidR="00C0111A">
        <w:t>need to be</w:t>
      </w:r>
      <w:r w:rsidR="00805F86">
        <w:t xml:space="preserve"> lower</w:t>
      </w:r>
      <w:r>
        <w:t xml:space="preserve">. </w:t>
      </w:r>
      <w:r w:rsidR="006564B0">
        <w:t>Here, o</w:t>
      </w:r>
      <w:r>
        <w:t xml:space="preserve">ne could argue that the share of baseline emissions for ANNEX I countries </w:t>
      </w:r>
      <w:r w:rsidR="006564B0">
        <w:t>has to be lower in the future</w:t>
      </w:r>
      <w:r>
        <w:t xml:space="preserve"> than their current share of emissions </w:t>
      </w:r>
      <w:r w:rsidR="006564B0">
        <w:t>(which is the case if allowa</w:t>
      </w:r>
      <w:r w:rsidR="00F85C17">
        <w:t>ble emissions per capita are globally the same)</w:t>
      </w:r>
      <w:r>
        <w:t>. Moreover, ANNEX I countries have seen a decreas</w:t>
      </w:r>
      <w:r w:rsidR="00805F86">
        <w:t xml:space="preserve">e </w:t>
      </w:r>
      <w:r>
        <w:t xml:space="preserve">in </w:t>
      </w:r>
      <w:r w:rsidR="00805F86">
        <w:t>the</w:t>
      </w:r>
      <w:r>
        <w:t xml:space="preserve"> share of global GDP implying that share of global GDP </w:t>
      </w:r>
      <w:r w:rsidR="00C0111A">
        <w:t>could</w:t>
      </w:r>
      <w:r>
        <w:t xml:space="preserve"> actually be lower in the future. </w:t>
      </w:r>
      <w:r w:rsidR="00F85C17">
        <w:t>B</w:t>
      </w:r>
      <w:r>
        <w:t>oth of th</w:t>
      </w:r>
      <w:r w:rsidR="00F85C17">
        <w:t>ese</w:t>
      </w:r>
      <w:r>
        <w:t xml:space="preserve"> aspects </w:t>
      </w:r>
      <w:r w:rsidR="00C0111A">
        <w:t>suggest</w:t>
      </w:r>
      <w:r>
        <w:t xml:space="preserve"> that expenditure shares could be larger than our estimates based on static parameters for ANNEX I countries.</w:t>
      </w:r>
    </w:p>
    <w:p w:rsidR="00D74B42" w:rsidRDefault="00D74B42" w:rsidP="00432D67">
      <w:pPr>
        <w:autoSpaceDE w:val="0"/>
        <w:autoSpaceDN w:val="0"/>
        <w:adjustRightInd w:val="0"/>
        <w:spacing w:line="360" w:lineRule="auto"/>
      </w:pPr>
    </w:p>
    <w:p w:rsidR="00DC4936" w:rsidRDefault="00044053" w:rsidP="00432D67">
      <w:pPr>
        <w:keepNext/>
        <w:autoSpaceDE w:val="0"/>
        <w:autoSpaceDN w:val="0"/>
        <w:adjustRightInd w:val="0"/>
        <w:spacing w:line="360" w:lineRule="auto"/>
        <w:jc w:val="center"/>
      </w:pPr>
      <w:r>
        <w:rPr>
          <w:noProof/>
        </w:rPr>
        <w:lastRenderedPageBreak/>
        <w:drawing>
          <wp:inline distT="0" distB="0" distL="0" distR="0">
            <wp:extent cx="41148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zil_em.jpeg"/>
                    <pic:cNvPicPr/>
                  </pic:nvPicPr>
                  <pic:blipFill>
                    <a:blip r:embed="rId11">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rsidR="00DC4936" w:rsidRDefault="00DC4936" w:rsidP="00432D67">
      <w:pPr>
        <w:pStyle w:val="Caption"/>
        <w:spacing w:line="360" w:lineRule="auto"/>
        <w:jc w:val="center"/>
      </w:pPr>
      <w:bookmarkStart w:id="0" w:name="_Ref526342078"/>
      <w:r>
        <w:t xml:space="preserve">Figure </w:t>
      </w:r>
      <w:r w:rsidR="00760886">
        <w:rPr>
          <w:noProof/>
        </w:rPr>
        <w:fldChar w:fldCharType="begin"/>
      </w:r>
      <w:r w:rsidR="00760886">
        <w:rPr>
          <w:noProof/>
        </w:rPr>
        <w:instrText xml:space="preserve"> SEQ Figure \* ARABIC </w:instrText>
      </w:r>
      <w:r w:rsidR="00760886">
        <w:rPr>
          <w:noProof/>
        </w:rPr>
        <w:fldChar w:fldCharType="separate"/>
      </w:r>
      <w:r w:rsidR="00720262">
        <w:rPr>
          <w:noProof/>
        </w:rPr>
        <w:t>1</w:t>
      </w:r>
      <w:r w:rsidR="00760886">
        <w:rPr>
          <w:noProof/>
        </w:rPr>
        <w:fldChar w:fldCharType="end"/>
      </w:r>
      <w:bookmarkEnd w:id="0"/>
    </w:p>
    <w:p w:rsidR="000D67C0" w:rsidRPr="000D67C0" w:rsidRDefault="000D67C0" w:rsidP="00432D67">
      <w:pPr>
        <w:pStyle w:val="ListParagraph"/>
        <w:spacing w:line="360" w:lineRule="auto"/>
        <w:rPr>
          <w:i/>
          <w:iCs/>
          <w:color w:val="44546A" w:themeColor="text2"/>
          <w:sz w:val="18"/>
          <w:szCs w:val="18"/>
        </w:rPr>
      </w:pPr>
      <w:r w:rsidRPr="000D67C0">
        <w:rPr>
          <w:i/>
          <w:iCs/>
          <w:color w:val="44546A" w:themeColor="text2"/>
          <w:sz w:val="18"/>
          <w:szCs w:val="18"/>
        </w:rPr>
        <w:t>Global baseline emissions (CO2</w:t>
      </w:r>
      <w:r w:rsidRPr="000D67C0">
        <w:rPr>
          <w:i/>
          <w:iCs/>
          <w:color w:val="44546A" w:themeColor="text2"/>
          <w:sz w:val="18"/>
          <w:szCs w:val="18"/>
          <w:vertAlign w:val="subscript"/>
        </w:rPr>
        <w:t>base</w:t>
      </w:r>
      <w:r w:rsidRPr="000D67C0">
        <w:rPr>
          <w:i/>
          <w:iCs/>
          <w:color w:val="44546A" w:themeColor="text2"/>
          <w:sz w:val="18"/>
          <w:szCs w:val="18"/>
        </w:rPr>
        <w:t>, blue), emission shares of ANNEX I countries (CO2</w:t>
      </w:r>
      <w:r w:rsidRPr="000D67C0">
        <w:rPr>
          <w:i/>
          <w:iCs/>
          <w:color w:val="44546A" w:themeColor="text2"/>
          <w:sz w:val="18"/>
          <w:szCs w:val="18"/>
          <w:vertAlign w:val="subscript"/>
        </w:rPr>
        <w:t>ANNEXI</w:t>
      </w:r>
      <w:r w:rsidRPr="000D67C0">
        <w:rPr>
          <w:i/>
          <w:iCs/>
          <w:color w:val="44546A" w:themeColor="text2"/>
          <w:sz w:val="18"/>
          <w:szCs w:val="18"/>
        </w:rPr>
        <w:t>, red) and ROW (CO2</w:t>
      </w:r>
      <w:r w:rsidRPr="000D67C0">
        <w:rPr>
          <w:i/>
          <w:iCs/>
          <w:color w:val="44546A" w:themeColor="text2"/>
          <w:sz w:val="18"/>
          <w:szCs w:val="18"/>
          <w:vertAlign w:val="subscript"/>
        </w:rPr>
        <w:t>ROW</w:t>
      </w:r>
      <w:r w:rsidRPr="000D67C0">
        <w:rPr>
          <w:i/>
          <w:iCs/>
          <w:color w:val="44546A" w:themeColor="text2"/>
          <w:sz w:val="18"/>
          <w:szCs w:val="18"/>
        </w:rPr>
        <w:t xml:space="preserve">, green), global </w:t>
      </w:r>
      <w:r>
        <w:rPr>
          <w:i/>
          <w:iCs/>
          <w:color w:val="44546A" w:themeColor="text2"/>
          <w:sz w:val="18"/>
          <w:szCs w:val="18"/>
        </w:rPr>
        <w:t>net CO</w:t>
      </w:r>
      <w:r w:rsidRPr="000D67C0">
        <w:rPr>
          <w:i/>
          <w:iCs/>
          <w:color w:val="44546A" w:themeColor="text2"/>
          <w:sz w:val="18"/>
          <w:szCs w:val="18"/>
          <w:vertAlign w:val="subscript"/>
        </w:rPr>
        <w:t>2</w:t>
      </w:r>
      <w:r>
        <w:rPr>
          <w:i/>
          <w:iCs/>
          <w:color w:val="44546A" w:themeColor="text2"/>
          <w:sz w:val="18"/>
          <w:szCs w:val="18"/>
        </w:rPr>
        <w:t xml:space="preserve"> emissions</w:t>
      </w:r>
      <w:r w:rsidRPr="000D67C0">
        <w:rPr>
          <w:i/>
          <w:iCs/>
          <w:color w:val="44546A" w:themeColor="text2"/>
          <w:sz w:val="18"/>
          <w:szCs w:val="18"/>
        </w:rPr>
        <w:t xml:space="preserve"> (CO2</w:t>
      </w:r>
      <w:r w:rsidRPr="000D67C0">
        <w:rPr>
          <w:i/>
          <w:iCs/>
          <w:color w:val="44546A" w:themeColor="text2"/>
          <w:sz w:val="18"/>
          <w:szCs w:val="18"/>
          <w:vertAlign w:val="subscript"/>
        </w:rPr>
        <w:t>scen</w:t>
      </w:r>
      <w:r w:rsidRPr="000D67C0">
        <w:rPr>
          <w:i/>
          <w:iCs/>
          <w:color w:val="44546A" w:themeColor="text2"/>
          <w:sz w:val="18"/>
          <w:szCs w:val="18"/>
        </w:rPr>
        <w:t xml:space="preserve">, black). ANNEX I countries start from a lower level and go net-negative in around 2040, while ROW emissions </w:t>
      </w:r>
      <w:r>
        <w:rPr>
          <w:i/>
          <w:iCs/>
          <w:color w:val="44546A" w:themeColor="text2"/>
          <w:sz w:val="18"/>
          <w:szCs w:val="18"/>
        </w:rPr>
        <w:t>stay</w:t>
      </w:r>
      <w:r w:rsidRPr="000D67C0">
        <w:rPr>
          <w:i/>
          <w:iCs/>
          <w:color w:val="44546A" w:themeColor="text2"/>
          <w:sz w:val="18"/>
          <w:szCs w:val="18"/>
        </w:rPr>
        <w:t xml:space="preserve"> constant at 2020 levels despite economic growth.</w:t>
      </w:r>
    </w:p>
    <w:p w:rsidR="000D67C0" w:rsidRPr="000D67C0" w:rsidRDefault="000D67C0" w:rsidP="00432D67">
      <w:pPr>
        <w:pStyle w:val="ListParagraph"/>
        <w:spacing w:line="360" w:lineRule="auto"/>
      </w:pPr>
    </w:p>
    <w:p w:rsidR="00F64DB9" w:rsidRDefault="00F64DB9" w:rsidP="00432D67">
      <w:pPr>
        <w:pStyle w:val="ListParagraph"/>
        <w:numPr>
          <w:ilvl w:val="0"/>
          <w:numId w:val="4"/>
        </w:numPr>
        <w:autoSpaceDE w:val="0"/>
        <w:autoSpaceDN w:val="0"/>
        <w:adjustRightInd w:val="0"/>
        <w:spacing w:line="360" w:lineRule="auto"/>
        <w:rPr>
          <w:b/>
        </w:rPr>
      </w:pPr>
      <w:r w:rsidRPr="00F64DB9">
        <w:rPr>
          <w:b/>
        </w:rPr>
        <w:t>Non-contribution to climate mitigation</w:t>
      </w:r>
    </w:p>
    <w:p w:rsidR="00DC4936" w:rsidRPr="00F64DB9" w:rsidRDefault="00DC4936" w:rsidP="00432D67">
      <w:pPr>
        <w:pStyle w:val="ListParagraph"/>
        <w:autoSpaceDE w:val="0"/>
        <w:autoSpaceDN w:val="0"/>
        <w:adjustRightInd w:val="0"/>
        <w:spacing w:line="360" w:lineRule="auto"/>
        <w:rPr>
          <w:b/>
        </w:rPr>
      </w:pPr>
      <w:r>
        <w:t>Equivalent to historic</w:t>
      </w:r>
      <w:r w:rsidR="00805F86">
        <w:t>al</w:t>
      </w:r>
      <w:r>
        <w:t xml:space="preserve"> burden sharing, a </w:t>
      </w:r>
      <w:r w:rsidR="004F06A4">
        <w:t>“freerider</w:t>
      </w:r>
      <w:r>
        <w:t xml:space="preserve"> narrative</w:t>
      </w:r>
      <w:r w:rsidR="004F06A4">
        <w:t>”</w:t>
      </w:r>
      <w:r>
        <w:t xml:space="preserve"> can be constructed. </w:t>
      </w:r>
      <w:r w:rsidR="00365003">
        <w:t>Here, a</w:t>
      </w:r>
      <w:r w:rsidR="005368EF">
        <w:t xml:space="preserve"> group of countries representing</w:t>
      </w:r>
      <w:r w:rsidR="001D6551">
        <w:t xml:space="preserve"> </w:t>
      </w:r>
      <w:r w:rsidR="005368EF">
        <w:t xml:space="preserve">75% of global GDP with 85% of current </w:t>
      </w:r>
      <w:r w:rsidR="00F72F92" w:rsidRPr="00F64DB9">
        <w:rPr>
          <w:iCs/>
        </w:rPr>
        <w:t>CO</w:t>
      </w:r>
      <w:r w:rsidR="00F72F92" w:rsidRPr="00F64DB9">
        <w:rPr>
          <w:iCs/>
          <w:vertAlign w:val="subscript"/>
        </w:rPr>
        <w:t>2</w:t>
      </w:r>
      <w:r w:rsidR="005368EF">
        <w:t xml:space="preserve"> emissions is responsible </w:t>
      </w:r>
      <w:r>
        <w:t xml:space="preserve">achieving 100% of the </w:t>
      </w:r>
      <w:r w:rsidR="00F85C17">
        <w:t xml:space="preserve">mitigation </w:t>
      </w:r>
      <w:r>
        <w:t>efforts. The free</w:t>
      </w:r>
      <w:r w:rsidR="004F06A4">
        <w:t>rider</w:t>
      </w:r>
      <w:r w:rsidR="002128C3">
        <w:t xml:space="preserve"> </w:t>
      </w:r>
      <w:r w:rsidR="005368EF">
        <w:t xml:space="preserve">(in this case the United States) </w:t>
      </w:r>
      <w:r w:rsidR="002128C3">
        <w:t xml:space="preserve">with a </w:t>
      </w:r>
      <w:r w:rsidR="005368EF">
        <w:t>15</w:t>
      </w:r>
      <w:r w:rsidR="002128C3">
        <w:t xml:space="preserve">% share of global GDP receives payments to decarbonize from </w:t>
      </w:r>
      <w:r w:rsidR="001D6551">
        <w:t>ROW countries</w:t>
      </w:r>
      <w:r>
        <w:t>.</w:t>
      </w:r>
      <w:r w:rsidR="002128C3">
        <w:t xml:space="preserve"> A more realistic set-up would take into account more costly compensation of free</w:t>
      </w:r>
      <w:r w:rsidR="004F06A4">
        <w:t>rider</w:t>
      </w:r>
      <w:r w:rsidR="002128C3">
        <w:t xml:space="preserve"> emissions by negative emissions of other countries, resulting in even higher expenditure shares for the rest of the world than we presented.</w:t>
      </w:r>
      <w:r w:rsidR="001D6551">
        <w:t xml:space="preserve"> </w:t>
      </w:r>
      <w:r>
        <w:t xml:space="preserve">In </w:t>
      </w:r>
      <w:r w:rsidR="00852B46" w:rsidRPr="00F64DB9">
        <w:rPr>
          <w:highlight w:val="yellow"/>
        </w:rPr>
        <w:fldChar w:fldCharType="begin"/>
      </w:r>
      <w:r w:rsidR="00852B46">
        <w:instrText xml:space="preserve"> REF _Ref526342063 \h </w:instrText>
      </w:r>
      <w:r w:rsidR="00432D67">
        <w:rPr>
          <w:highlight w:val="yellow"/>
        </w:rPr>
        <w:instrText xml:space="preserve"> \* MERGEFORMAT </w:instrText>
      </w:r>
      <w:r w:rsidR="00852B46" w:rsidRPr="00F64DB9">
        <w:rPr>
          <w:highlight w:val="yellow"/>
        </w:rPr>
      </w:r>
      <w:r w:rsidR="00852B46" w:rsidRPr="00F64DB9">
        <w:rPr>
          <w:highlight w:val="yellow"/>
        </w:rPr>
        <w:fldChar w:fldCharType="separate"/>
      </w:r>
      <w:r w:rsidR="00852B46">
        <w:t xml:space="preserve">Figure </w:t>
      </w:r>
      <w:r w:rsidR="00852B46">
        <w:rPr>
          <w:noProof/>
        </w:rPr>
        <w:t>2</w:t>
      </w:r>
      <w:r w:rsidR="00852B46" w:rsidRPr="00F64DB9">
        <w:rPr>
          <w:highlight w:val="yellow"/>
        </w:rPr>
        <w:fldChar w:fldCharType="end"/>
      </w:r>
      <w:r w:rsidR="00852B46">
        <w:t xml:space="preserve"> </w:t>
      </w:r>
      <w:r w:rsidR="001D6551">
        <w:t>global baseline emissions (blue), free</w:t>
      </w:r>
      <w:r w:rsidR="004F06A4">
        <w:t>rider</w:t>
      </w:r>
      <w:r w:rsidR="001D6551">
        <w:t xml:space="preserve"> emissions (green), ROW emissions (red) and global net emissions are illustrated. Again, ROW emissions contain the free</w:t>
      </w:r>
      <w:r w:rsidR="004F06A4">
        <w:t>rider</w:t>
      </w:r>
      <w:r w:rsidR="001D6551">
        <w:t xml:space="preserve"> emission reductions that </w:t>
      </w:r>
      <w:r w:rsidR="00F85C17">
        <w:t>these countries</w:t>
      </w:r>
      <w:r w:rsidR="001D6551">
        <w:t xml:space="preserve"> have to induce through payments to the free</w:t>
      </w:r>
      <w:r w:rsidR="004F06A4">
        <w:t>rider</w:t>
      </w:r>
      <w:r w:rsidR="00F85C17">
        <w:t xml:space="preserve"> to achieve the Paris target</w:t>
      </w:r>
      <w:r w:rsidR="001D6551">
        <w:t>. Consequently, free</w:t>
      </w:r>
      <w:r w:rsidR="004F06A4">
        <w:t>rider</w:t>
      </w:r>
      <w:r w:rsidR="001D6551">
        <w:t xml:space="preserve"> emissions reflect </w:t>
      </w:r>
      <w:r w:rsidR="00852B46">
        <w:t>the efforts done by the free</w:t>
      </w:r>
      <w:r w:rsidR="004F06A4">
        <w:t>rider</w:t>
      </w:r>
      <w:r w:rsidR="00852B46">
        <w:t xml:space="preserve">’s own means (which is none). </w:t>
      </w:r>
    </w:p>
    <w:p w:rsidR="00DC778C" w:rsidRDefault="00DC778C" w:rsidP="00432D67">
      <w:pPr>
        <w:autoSpaceDE w:val="0"/>
        <w:autoSpaceDN w:val="0"/>
        <w:adjustRightInd w:val="0"/>
        <w:spacing w:line="360" w:lineRule="auto"/>
      </w:pPr>
    </w:p>
    <w:p w:rsidR="00852B46" w:rsidRDefault="00044053" w:rsidP="00432D67">
      <w:pPr>
        <w:keepNext/>
        <w:autoSpaceDE w:val="0"/>
        <w:autoSpaceDN w:val="0"/>
        <w:adjustRightInd w:val="0"/>
        <w:spacing w:line="360" w:lineRule="auto"/>
        <w:jc w:val="center"/>
      </w:pPr>
      <w:r>
        <w:rPr>
          <w:noProof/>
        </w:rPr>
        <w:lastRenderedPageBreak/>
        <w:drawing>
          <wp:inline distT="0" distB="0" distL="0" distR="0">
            <wp:extent cx="41148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eeloader_em.jpeg"/>
                    <pic:cNvPicPr/>
                  </pic:nvPicPr>
                  <pic:blipFill>
                    <a:blip r:embed="rId12">
                      <a:extLst>
                        <a:ext uri="{28A0092B-C50C-407E-A947-70E740481C1C}">
                          <a14:useLocalDpi xmlns:a14="http://schemas.microsoft.com/office/drawing/2010/main" val="0"/>
                        </a:ext>
                      </a:extLst>
                    </a:blip>
                    <a:stretch>
                      <a:fillRect/>
                    </a:stretch>
                  </pic:blipFill>
                  <pic:spPr>
                    <a:xfrm>
                      <a:off x="0" y="0"/>
                      <a:ext cx="4114800" cy="2743200"/>
                    </a:xfrm>
                    <a:prstGeom prst="rect">
                      <a:avLst/>
                    </a:prstGeom>
                  </pic:spPr>
                </pic:pic>
              </a:graphicData>
            </a:graphic>
          </wp:inline>
        </w:drawing>
      </w:r>
    </w:p>
    <w:p w:rsidR="0039765B" w:rsidRDefault="00852B46" w:rsidP="00432D67">
      <w:pPr>
        <w:pStyle w:val="Caption"/>
        <w:spacing w:line="360" w:lineRule="auto"/>
        <w:jc w:val="center"/>
      </w:pPr>
      <w:bookmarkStart w:id="1" w:name="_Ref526342063"/>
      <w:r>
        <w:t xml:space="preserve">Figure </w:t>
      </w:r>
      <w:r w:rsidR="00760886">
        <w:rPr>
          <w:noProof/>
        </w:rPr>
        <w:fldChar w:fldCharType="begin"/>
      </w:r>
      <w:r w:rsidR="00760886">
        <w:rPr>
          <w:noProof/>
        </w:rPr>
        <w:instrText xml:space="preserve"> SEQ Figure \* ARABIC </w:instrText>
      </w:r>
      <w:r w:rsidR="00760886">
        <w:rPr>
          <w:noProof/>
        </w:rPr>
        <w:fldChar w:fldCharType="separate"/>
      </w:r>
      <w:r w:rsidR="00720262">
        <w:rPr>
          <w:noProof/>
        </w:rPr>
        <w:t>2</w:t>
      </w:r>
      <w:r w:rsidR="00760886">
        <w:rPr>
          <w:noProof/>
        </w:rPr>
        <w:fldChar w:fldCharType="end"/>
      </w:r>
      <w:bookmarkEnd w:id="1"/>
    </w:p>
    <w:p w:rsidR="000D67C0" w:rsidRPr="000D67C0" w:rsidRDefault="000D67C0" w:rsidP="00432D67">
      <w:pPr>
        <w:pStyle w:val="ListParagraph"/>
        <w:autoSpaceDE w:val="0"/>
        <w:autoSpaceDN w:val="0"/>
        <w:adjustRightInd w:val="0"/>
        <w:spacing w:line="360" w:lineRule="auto"/>
        <w:rPr>
          <w:i/>
          <w:iCs/>
          <w:color w:val="44546A" w:themeColor="text2"/>
          <w:sz w:val="18"/>
          <w:szCs w:val="18"/>
        </w:rPr>
      </w:pPr>
      <w:r w:rsidRPr="000D67C0">
        <w:rPr>
          <w:i/>
          <w:iCs/>
          <w:color w:val="44546A" w:themeColor="text2"/>
          <w:sz w:val="18"/>
          <w:szCs w:val="18"/>
        </w:rPr>
        <w:t xml:space="preserve">Global baseline emissions (blue), freerider emissions (green), ROW emissions (red) and global net emissions </w:t>
      </w:r>
      <w:r>
        <w:rPr>
          <w:i/>
          <w:iCs/>
          <w:color w:val="44546A" w:themeColor="text2"/>
          <w:sz w:val="18"/>
          <w:szCs w:val="18"/>
        </w:rPr>
        <w:t>(black).</w:t>
      </w:r>
      <w:r w:rsidRPr="000D67C0">
        <w:rPr>
          <w:i/>
          <w:iCs/>
          <w:color w:val="44546A" w:themeColor="text2"/>
          <w:sz w:val="18"/>
          <w:szCs w:val="18"/>
        </w:rPr>
        <w:t xml:space="preserve"> ROW emissions contain the freerider emission reductions that </w:t>
      </w:r>
      <w:r>
        <w:rPr>
          <w:i/>
          <w:iCs/>
          <w:color w:val="44546A" w:themeColor="text2"/>
          <w:sz w:val="18"/>
          <w:szCs w:val="18"/>
        </w:rPr>
        <w:t>ROW countries</w:t>
      </w:r>
      <w:r w:rsidRPr="000D67C0">
        <w:rPr>
          <w:i/>
          <w:iCs/>
          <w:color w:val="44546A" w:themeColor="text2"/>
          <w:sz w:val="18"/>
          <w:szCs w:val="18"/>
        </w:rPr>
        <w:t xml:space="preserve"> have to induce through payments to the freerider. </w:t>
      </w:r>
      <w:r>
        <w:rPr>
          <w:i/>
          <w:iCs/>
          <w:color w:val="44546A" w:themeColor="text2"/>
          <w:sz w:val="18"/>
          <w:szCs w:val="18"/>
        </w:rPr>
        <w:t>F</w:t>
      </w:r>
      <w:r w:rsidRPr="000D67C0">
        <w:rPr>
          <w:i/>
          <w:iCs/>
          <w:color w:val="44546A" w:themeColor="text2"/>
          <w:sz w:val="18"/>
          <w:szCs w:val="18"/>
        </w:rPr>
        <w:t>reerider</w:t>
      </w:r>
      <w:r>
        <w:rPr>
          <w:i/>
          <w:iCs/>
          <w:color w:val="44546A" w:themeColor="text2"/>
          <w:sz w:val="18"/>
          <w:szCs w:val="18"/>
        </w:rPr>
        <w:t xml:space="preserve"> emissions reflect only</w:t>
      </w:r>
      <w:r w:rsidRPr="000D67C0">
        <w:rPr>
          <w:i/>
          <w:iCs/>
          <w:color w:val="44546A" w:themeColor="text2"/>
          <w:sz w:val="18"/>
          <w:szCs w:val="18"/>
        </w:rPr>
        <w:t xml:space="preserve"> </w:t>
      </w:r>
      <w:r>
        <w:rPr>
          <w:i/>
          <w:iCs/>
          <w:color w:val="44546A" w:themeColor="text2"/>
          <w:sz w:val="18"/>
          <w:szCs w:val="18"/>
        </w:rPr>
        <w:t xml:space="preserve">the </w:t>
      </w:r>
      <w:r w:rsidRPr="000D67C0">
        <w:rPr>
          <w:i/>
          <w:iCs/>
          <w:color w:val="44546A" w:themeColor="text2"/>
          <w:sz w:val="18"/>
          <w:szCs w:val="18"/>
        </w:rPr>
        <w:t>efforts done by the freerider’s own means</w:t>
      </w:r>
      <w:r>
        <w:rPr>
          <w:i/>
          <w:iCs/>
          <w:color w:val="44546A" w:themeColor="text2"/>
          <w:sz w:val="18"/>
          <w:szCs w:val="18"/>
        </w:rPr>
        <w:t>, they are therefore equivalent to baseline emissions</w:t>
      </w:r>
      <w:r w:rsidRPr="000D67C0">
        <w:rPr>
          <w:i/>
          <w:iCs/>
          <w:color w:val="44546A" w:themeColor="text2"/>
          <w:sz w:val="18"/>
          <w:szCs w:val="18"/>
        </w:rPr>
        <w:t xml:space="preserve">. </w:t>
      </w:r>
    </w:p>
    <w:p w:rsidR="006D6A84" w:rsidRDefault="006D6A84" w:rsidP="00432D67">
      <w:pPr>
        <w:spacing w:line="360" w:lineRule="auto"/>
      </w:pPr>
    </w:p>
    <w:p w:rsidR="00840C54" w:rsidRDefault="00840C54" w:rsidP="00432D67">
      <w:pPr>
        <w:spacing w:line="360" w:lineRule="auto"/>
      </w:pPr>
    </w:p>
    <w:p w:rsidR="00840C54" w:rsidRDefault="000D67C0" w:rsidP="00432D67">
      <w:pPr>
        <w:pStyle w:val="ListParagraph"/>
        <w:numPr>
          <w:ilvl w:val="0"/>
          <w:numId w:val="4"/>
        </w:numPr>
        <w:spacing w:line="360" w:lineRule="auto"/>
        <w:rPr>
          <w:b/>
        </w:rPr>
      </w:pPr>
      <w:r>
        <w:rPr>
          <w:b/>
        </w:rPr>
        <w:t>Calculation of m</w:t>
      </w:r>
      <w:r w:rsidR="004F06A4">
        <w:rPr>
          <w:b/>
        </w:rPr>
        <w:t xml:space="preserve">edian </w:t>
      </w:r>
      <w:r w:rsidR="00840C54" w:rsidRPr="004F06A4">
        <w:rPr>
          <w:b/>
        </w:rPr>
        <w:t xml:space="preserve">BECCS </w:t>
      </w:r>
      <w:r w:rsidR="004F06A4">
        <w:rPr>
          <w:b/>
        </w:rPr>
        <w:t xml:space="preserve">negative </w:t>
      </w:r>
      <w:r w:rsidR="00840C54" w:rsidRPr="004F06A4">
        <w:rPr>
          <w:b/>
        </w:rPr>
        <w:t>emissions</w:t>
      </w:r>
    </w:p>
    <w:p w:rsidR="004F06A4" w:rsidRDefault="004F06A4" w:rsidP="00432D67">
      <w:pPr>
        <w:pStyle w:val="ListParagraph"/>
        <w:spacing w:line="360" w:lineRule="auto"/>
      </w:pPr>
      <w:r>
        <w:t xml:space="preserve">Negative </w:t>
      </w:r>
      <w:r w:rsidR="00F72F92" w:rsidRPr="00F64DB9">
        <w:rPr>
          <w:iCs/>
        </w:rPr>
        <w:t>CO</w:t>
      </w:r>
      <w:r w:rsidR="00F72F92" w:rsidRPr="00F64DB9">
        <w:rPr>
          <w:iCs/>
          <w:vertAlign w:val="subscript"/>
        </w:rPr>
        <w:t>2</w:t>
      </w:r>
      <w:r>
        <w:t xml:space="preserve"> emissions generated by bioenergy with Carbon Capture and Storage (BECCS) are not explicitly reported in the AR5 database. Based on fossil </w:t>
      </w:r>
      <w:r w:rsidR="00F72F92">
        <w:t>Carbon Capture and Storage (</w:t>
      </w:r>
      <w:r>
        <w:t>CCS</w:t>
      </w:r>
      <w:r w:rsidR="00F72F92">
        <w:t>)</w:t>
      </w:r>
      <w:r>
        <w:t xml:space="preserve"> </w:t>
      </w:r>
      <w:r w:rsidR="00F72F92">
        <w:t xml:space="preserve">and BECCS </w:t>
      </w:r>
      <w:r>
        <w:t xml:space="preserve">energy </w:t>
      </w:r>
      <w:r w:rsidR="00F72F92">
        <w:t xml:space="preserve">production as well as total CCS captured </w:t>
      </w:r>
      <w:r w:rsidR="00F72F92" w:rsidRPr="00F64DB9">
        <w:rPr>
          <w:iCs/>
        </w:rPr>
        <w:t>CO</w:t>
      </w:r>
      <w:r w:rsidR="00F72F92" w:rsidRPr="00F64DB9">
        <w:rPr>
          <w:iCs/>
          <w:vertAlign w:val="subscript"/>
        </w:rPr>
        <w:t>2</w:t>
      </w:r>
      <w:r w:rsidR="00F72F92">
        <w:t xml:space="preserve"> emissions (from bioenergy and fossil sources) we arrive at a rough estimate for the conversion factors (energy to emissions) for BECCS in each scenario</w:t>
      </w:r>
      <w:r w:rsidR="00D43D8A">
        <w:t xml:space="preserve"> by linear regression based on the simplifying assumption that the conversion factors stay constant over time</w:t>
      </w:r>
      <w:r w:rsidR="00F72F92">
        <w:t xml:space="preserve">. The conversion factor times BECCS energy production gives the </w:t>
      </w:r>
      <w:r w:rsidR="00F72F92" w:rsidRPr="00F64DB9">
        <w:rPr>
          <w:iCs/>
        </w:rPr>
        <w:t>CO</w:t>
      </w:r>
      <w:r w:rsidR="00F72F92" w:rsidRPr="00F64DB9">
        <w:rPr>
          <w:iCs/>
          <w:vertAlign w:val="subscript"/>
        </w:rPr>
        <w:t>2</w:t>
      </w:r>
      <w:r w:rsidR="00F72F92">
        <w:t xml:space="preserve"> trajectory of BECCS for each scenario</w:t>
      </w:r>
      <w:r w:rsidR="00720262">
        <w:t xml:space="preserve">. The median scenario as depicted in </w:t>
      </w:r>
      <w:r w:rsidR="00720262">
        <w:fldChar w:fldCharType="begin"/>
      </w:r>
      <w:r w:rsidR="00720262">
        <w:instrText xml:space="preserve"> REF _Ref528586475 \h </w:instrText>
      </w:r>
      <w:r w:rsidR="00432D67">
        <w:instrText xml:space="preserve"> \* MERGEFORMAT </w:instrText>
      </w:r>
      <w:r w:rsidR="00720262">
        <w:fldChar w:fldCharType="separate"/>
      </w:r>
      <w:r w:rsidR="00720262">
        <w:t xml:space="preserve">Figure </w:t>
      </w:r>
      <w:r w:rsidR="00720262">
        <w:rPr>
          <w:noProof/>
        </w:rPr>
        <w:t>3</w:t>
      </w:r>
      <w:r w:rsidR="00720262">
        <w:fldChar w:fldCharType="end"/>
      </w:r>
      <w:r w:rsidR="00720262">
        <w:t xml:space="preserve"> is in good accordance with the schematic “Managed transition” scenario of the special report on Global Warming of 1.5</w:t>
      </w:r>
      <w:r w:rsidR="00720262" w:rsidRPr="00720262">
        <w:rPr>
          <w:vertAlign w:val="superscript"/>
        </w:rPr>
        <w:t>o</w:t>
      </w:r>
      <w:r w:rsidR="00720262">
        <w:t xml:space="preserve">C recently published by the IPCC. </w:t>
      </w:r>
    </w:p>
    <w:p w:rsidR="00720262" w:rsidRDefault="00720262" w:rsidP="00432D67">
      <w:pPr>
        <w:pStyle w:val="ListParagraph"/>
        <w:spacing w:line="360" w:lineRule="auto"/>
      </w:pPr>
    </w:p>
    <w:p w:rsidR="00720262" w:rsidRDefault="00720262" w:rsidP="00432D67">
      <w:pPr>
        <w:pStyle w:val="ListParagraph"/>
        <w:keepNext/>
        <w:spacing w:line="360" w:lineRule="auto"/>
        <w:jc w:val="center"/>
      </w:pPr>
      <w:r>
        <w:rPr>
          <w:noProof/>
        </w:rPr>
        <w:lastRenderedPageBreak/>
        <w:drawing>
          <wp:inline distT="0" distB="0" distL="0" distR="0">
            <wp:extent cx="4341412" cy="28854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CS.jpeg"/>
                    <pic:cNvPicPr/>
                  </pic:nvPicPr>
                  <pic:blipFill>
                    <a:blip r:embed="rId13">
                      <a:extLst>
                        <a:ext uri="{28A0092B-C50C-407E-A947-70E740481C1C}">
                          <a14:useLocalDpi xmlns:a14="http://schemas.microsoft.com/office/drawing/2010/main" val="0"/>
                        </a:ext>
                      </a:extLst>
                    </a:blip>
                    <a:stretch>
                      <a:fillRect/>
                    </a:stretch>
                  </pic:blipFill>
                  <pic:spPr>
                    <a:xfrm>
                      <a:off x="0" y="0"/>
                      <a:ext cx="4364394" cy="2900735"/>
                    </a:xfrm>
                    <a:prstGeom prst="rect">
                      <a:avLst/>
                    </a:prstGeom>
                  </pic:spPr>
                </pic:pic>
              </a:graphicData>
            </a:graphic>
          </wp:inline>
        </w:drawing>
      </w:r>
    </w:p>
    <w:p w:rsidR="00720262" w:rsidRDefault="00720262" w:rsidP="00432D67">
      <w:pPr>
        <w:pStyle w:val="Caption"/>
        <w:spacing w:line="360" w:lineRule="auto"/>
        <w:jc w:val="center"/>
      </w:pPr>
      <w:bookmarkStart w:id="2" w:name="_Ref528586475"/>
      <w:r>
        <w:t xml:space="preserve">Figure </w:t>
      </w:r>
      <w:r w:rsidR="00760886">
        <w:rPr>
          <w:noProof/>
        </w:rPr>
        <w:fldChar w:fldCharType="begin"/>
      </w:r>
      <w:r w:rsidR="00760886">
        <w:rPr>
          <w:noProof/>
        </w:rPr>
        <w:instrText xml:space="preserve"> SEQ Figure \* ARABIC </w:instrText>
      </w:r>
      <w:r w:rsidR="00760886">
        <w:rPr>
          <w:noProof/>
        </w:rPr>
        <w:fldChar w:fldCharType="separate"/>
      </w:r>
      <w:r>
        <w:rPr>
          <w:noProof/>
        </w:rPr>
        <w:t>3</w:t>
      </w:r>
      <w:r w:rsidR="00760886">
        <w:rPr>
          <w:noProof/>
        </w:rPr>
        <w:fldChar w:fldCharType="end"/>
      </w:r>
      <w:bookmarkEnd w:id="2"/>
    </w:p>
    <w:p w:rsidR="00720262" w:rsidRPr="000D67C0" w:rsidRDefault="00720262" w:rsidP="00432D67">
      <w:pPr>
        <w:pStyle w:val="ListParagraph"/>
        <w:spacing w:line="360" w:lineRule="auto"/>
        <w:rPr>
          <w:i/>
          <w:iCs/>
          <w:color w:val="44546A" w:themeColor="text2"/>
          <w:sz w:val="18"/>
          <w:szCs w:val="18"/>
        </w:rPr>
      </w:pPr>
      <w:r w:rsidRPr="000D67C0">
        <w:rPr>
          <w:i/>
          <w:iCs/>
          <w:color w:val="44546A" w:themeColor="text2"/>
          <w:sz w:val="18"/>
          <w:szCs w:val="18"/>
        </w:rPr>
        <w:t>CO2 captured by BECCS (yellow) and net-CO2 emissions (positive and negative) from all other sectors including agriculture</w:t>
      </w:r>
      <w:r w:rsidR="000D67C0" w:rsidRPr="000D67C0">
        <w:rPr>
          <w:i/>
          <w:iCs/>
          <w:color w:val="44546A" w:themeColor="text2"/>
          <w:sz w:val="18"/>
          <w:szCs w:val="18"/>
        </w:rPr>
        <w:t xml:space="preserve"> and forestry (black). BECCS negative emissions were derived from BECCS energy consumption and CO2 captured by CCS via linear regression for each scenario. </w:t>
      </w:r>
    </w:p>
    <w:p w:rsidR="00940A77" w:rsidRPr="00940A77" w:rsidRDefault="006D6A84" w:rsidP="00940A77">
      <w:pPr>
        <w:pStyle w:val="Bibliography"/>
        <w:rPr>
          <w:rFonts w:ascii="Calibri" w:hAnsi="Calibri"/>
        </w:rPr>
      </w:pPr>
      <w:r>
        <w:br w:type="page"/>
      </w:r>
      <w:r>
        <w:lastRenderedPageBreak/>
        <w:fldChar w:fldCharType="begin"/>
      </w:r>
      <w:r w:rsidR="00940A77">
        <w:instrText xml:space="preserve"> ADDIN ZOTERO_BIBL {"uncited":[],"omitted":[],"custom":[]} CSL_BIBLIOGRAPHY </w:instrText>
      </w:r>
      <w:r>
        <w:fldChar w:fldCharType="separate"/>
      </w:r>
      <w:bookmarkStart w:id="3" w:name="_GoBack"/>
      <w:bookmarkEnd w:id="3"/>
      <w:r w:rsidR="00940A77" w:rsidRPr="00940A77">
        <w:rPr>
          <w:rFonts w:ascii="Calibri" w:hAnsi="Calibri"/>
        </w:rPr>
        <w:t>1.</w:t>
      </w:r>
      <w:r w:rsidR="00940A77" w:rsidRPr="00940A77">
        <w:rPr>
          <w:rFonts w:ascii="Calibri" w:hAnsi="Calibri"/>
        </w:rPr>
        <w:tab/>
        <w:t xml:space="preserve">Mueller, B., Hoehne, N. &amp; Ellermann, C. Differentiating (historic) responsibilities for climate change. </w:t>
      </w:r>
      <w:r w:rsidR="00940A77" w:rsidRPr="00940A77">
        <w:rPr>
          <w:rFonts w:ascii="Calibri" w:hAnsi="Calibri"/>
          <w:i/>
          <w:iCs/>
        </w:rPr>
        <w:t>Climate Policy</w:t>
      </w:r>
      <w:r w:rsidR="00940A77" w:rsidRPr="00940A77">
        <w:rPr>
          <w:rFonts w:ascii="Calibri" w:hAnsi="Calibri"/>
        </w:rPr>
        <w:t xml:space="preserve"> </w:t>
      </w:r>
      <w:r w:rsidR="00940A77" w:rsidRPr="00940A77">
        <w:rPr>
          <w:rFonts w:ascii="Calibri" w:hAnsi="Calibri"/>
          <w:b/>
          <w:bCs/>
        </w:rPr>
        <w:t>9</w:t>
      </w:r>
      <w:r w:rsidR="00940A77" w:rsidRPr="00940A77">
        <w:rPr>
          <w:rFonts w:ascii="Calibri" w:hAnsi="Calibri"/>
        </w:rPr>
        <w:t>, 593–611 (2009).</w:t>
      </w:r>
    </w:p>
    <w:p w:rsidR="00940A77" w:rsidRPr="00940A77" w:rsidRDefault="00940A77" w:rsidP="00940A77">
      <w:pPr>
        <w:pStyle w:val="Bibliography"/>
        <w:rPr>
          <w:rFonts w:ascii="Calibri" w:hAnsi="Calibri"/>
        </w:rPr>
      </w:pPr>
      <w:r w:rsidRPr="00940A77">
        <w:rPr>
          <w:rFonts w:ascii="Calibri" w:hAnsi="Calibri"/>
        </w:rPr>
        <w:t>2.</w:t>
      </w:r>
      <w:r w:rsidRPr="00940A77">
        <w:rPr>
          <w:rFonts w:ascii="Calibri" w:hAnsi="Calibri"/>
        </w:rPr>
        <w:tab/>
        <w:t>Boden, T., Andres, R. &amp; Marland, G. Global, Regional, and National Fossil-Fuel CO2 Emissions (1751 - 2014) (V. 2017). (2017). doi:10.3334/CDIAC/00001_V2017</w:t>
      </w:r>
    </w:p>
    <w:p w:rsidR="00940A77" w:rsidRPr="00940A77" w:rsidRDefault="00940A77" w:rsidP="00940A77">
      <w:pPr>
        <w:pStyle w:val="Bibliography"/>
        <w:rPr>
          <w:rFonts w:ascii="Calibri" w:hAnsi="Calibri"/>
        </w:rPr>
      </w:pPr>
      <w:r w:rsidRPr="00940A77">
        <w:rPr>
          <w:rFonts w:ascii="Calibri" w:hAnsi="Calibri"/>
        </w:rPr>
        <w:t>3.</w:t>
      </w:r>
      <w:r w:rsidRPr="00940A77">
        <w:rPr>
          <w:rFonts w:ascii="Calibri" w:hAnsi="Calibri"/>
        </w:rPr>
        <w:tab/>
        <w:t>The World Bank. GDP (current US$). Available at: https://data.worldbank.org/indicator/NY.GDP.MKTP.CD. (Accessed: 8th October 2018)</w:t>
      </w:r>
    </w:p>
    <w:p w:rsidR="006D6A84" w:rsidRDefault="006D6A84" w:rsidP="00432D67">
      <w:pPr>
        <w:spacing w:line="360" w:lineRule="auto"/>
      </w:pPr>
      <w:r>
        <w:fldChar w:fldCharType="end"/>
      </w:r>
    </w:p>
    <w:sectPr w:rsidR="006D6A84" w:rsidSect="0035093B">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085" w:rsidRDefault="00510085" w:rsidP="00D51C38">
      <w:r>
        <w:separator/>
      </w:r>
    </w:p>
  </w:endnote>
  <w:endnote w:type="continuationSeparator" w:id="0">
    <w:p w:rsidR="00510085" w:rsidRDefault="00510085" w:rsidP="00D5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085" w:rsidRDefault="00510085" w:rsidP="00D51C38">
      <w:r>
        <w:separator/>
      </w:r>
    </w:p>
  </w:footnote>
  <w:footnote w:type="continuationSeparator" w:id="0">
    <w:p w:rsidR="00510085" w:rsidRDefault="00510085" w:rsidP="00D51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28FD"/>
    <w:multiLevelType w:val="hybridMultilevel"/>
    <w:tmpl w:val="DEEC97A6"/>
    <w:lvl w:ilvl="0" w:tplc="6EBA512E">
      <w:numFmt w:val="bullet"/>
      <w:lvlText w:val="-"/>
      <w:lvlJc w:val="left"/>
      <w:pPr>
        <w:ind w:left="720" w:hanging="360"/>
      </w:pPr>
      <w:rPr>
        <w:rFonts w:ascii="Verdana" w:eastAsiaTheme="minorHAnsi" w:hAnsi="Verdana"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C0BC4"/>
    <w:multiLevelType w:val="hybridMultilevel"/>
    <w:tmpl w:val="7FA44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B49FC"/>
    <w:multiLevelType w:val="hybridMultilevel"/>
    <w:tmpl w:val="AEFEEB16"/>
    <w:lvl w:ilvl="0" w:tplc="94201CD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753D75"/>
    <w:multiLevelType w:val="hybridMultilevel"/>
    <w:tmpl w:val="00368034"/>
    <w:lvl w:ilvl="0" w:tplc="5F98B7EA">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9790F"/>
    <w:multiLevelType w:val="hybridMultilevel"/>
    <w:tmpl w:val="68CA8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FF"/>
    <w:rsid w:val="00044053"/>
    <w:rsid w:val="000746E5"/>
    <w:rsid w:val="000D67C0"/>
    <w:rsid w:val="0011037A"/>
    <w:rsid w:val="001404E6"/>
    <w:rsid w:val="001915CC"/>
    <w:rsid w:val="001D6551"/>
    <w:rsid w:val="001F7C92"/>
    <w:rsid w:val="002128C3"/>
    <w:rsid w:val="0032336C"/>
    <w:rsid w:val="0035093B"/>
    <w:rsid w:val="0035535C"/>
    <w:rsid w:val="00365003"/>
    <w:rsid w:val="00382F57"/>
    <w:rsid w:val="0039765B"/>
    <w:rsid w:val="004079F6"/>
    <w:rsid w:val="00432D67"/>
    <w:rsid w:val="0047720C"/>
    <w:rsid w:val="004A16D0"/>
    <w:rsid w:val="004F06A4"/>
    <w:rsid w:val="00510085"/>
    <w:rsid w:val="00513A1F"/>
    <w:rsid w:val="005368EF"/>
    <w:rsid w:val="005677E4"/>
    <w:rsid w:val="00593312"/>
    <w:rsid w:val="00596AC5"/>
    <w:rsid w:val="006564B0"/>
    <w:rsid w:val="00665C4F"/>
    <w:rsid w:val="006873C9"/>
    <w:rsid w:val="00697584"/>
    <w:rsid w:val="006D6A84"/>
    <w:rsid w:val="00720262"/>
    <w:rsid w:val="00760886"/>
    <w:rsid w:val="0079220A"/>
    <w:rsid w:val="007F4A0A"/>
    <w:rsid w:val="00805F86"/>
    <w:rsid w:val="00811CB4"/>
    <w:rsid w:val="00830675"/>
    <w:rsid w:val="00840C54"/>
    <w:rsid w:val="00852B46"/>
    <w:rsid w:val="00884FAC"/>
    <w:rsid w:val="00940A77"/>
    <w:rsid w:val="00986A1C"/>
    <w:rsid w:val="00A411FF"/>
    <w:rsid w:val="00A640D0"/>
    <w:rsid w:val="00AD080D"/>
    <w:rsid w:val="00AD6148"/>
    <w:rsid w:val="00B32594"/>
    <w:rsid w:val="00B37482"/>
    <w:rsid w:val="00B46A86"/>
    <w:rsid w:val="00B64EC7"/>
    <w:rsid w:val="00B743DE"/>
    <w:rsid w:val="00BE1BAB"/>
    <w:rsid w:val="00BF7A25"/>
    <w:rsid w:val="00C0111A"/>
    <w:rsid w:val="00C9604E"/>
    <w:rsid w:val="00CF71E7"/>
    <w:rsid w:val="00D16366"/>
    <w:rsid w:val="00D322ED"/>
    <w:rsid w:val="00D378A5"/>
    <w:rsid w:val="00D43D8A"/>
    <w:rsid w:val="00D51C38"/>
    <w:rsid w:val="00D74B42"/>
    <w:rsid w:val="00D8040A"/>
    <w:rsid w:val="00DA137A"/>
    <w:rsid w:val="00DB2985"/>
    <w:rsid w:val="00DC4936"/>
    <w:rsid w:val="00DC778C"/>
    <w:rsid w:val="00E16EBD"/>
    <w:rsid w:val="00E24DEC"/>
    <w:rsid w:val="00E366CF"/>
    <w:rsid w:val="00E6064D"/>
    <w:rsid w:val="00E60683"/>
    <w:rsid w:val="00E71477"/>
    <w:rsid w:val="00E94ED9"/>
    <w:rsid w:val="00EB07F5"/>
    <w:rsid w:val="00EF79EF"/>
    <w:rsid w:val="00F015C3"/>
    <w:rsid w:val="00F12B4F"/>
    <w:rsid w:val="00F64DB9"/>
    <w:rsid w:val="00F72F92"/>
    <w:rsid w:val="00F85A4F"/>
    <w:rsid w:val="00F85C17"/>
    <w:rsid w:val="00FB704A"/>
    <w:rsid w:val="00FC052E"/>
    <w:rsid w:val="00FD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32AE7-8C79-4C06-877C-C9AAA920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312"/>
    <w:rPr>
      <w:color w:val="0563C1" w:themeColor="hyperlink"/>
      <w:u w:val="single"/>
    </w:rPr>
  </w:style>
  <w:style w:type="paragraph" w:styleId="ListParagraph">
    <w:name w:val="List Paragraph"/>
    <w:basedOn w:val="Normal"/>
    <w:uiPriority w:val="34"/>
    <w:qFormat/>
    <w:rsid w:val="00593312"/>
    <w:pPr>
      <w:ind w:left="720"/>
      <w:contextualSpacing/>
    </w:pPr>
  </w:style>
  <w:style w:type="character" w:styleId="Strong">
    <w:name w:val="Strong"/>
    <w:basedOn w:val="DefaultParagraphFont"/>
    <w:uiPriority w:val="22"/>
    <w:qFormat/>
    <w:rsid w:val="004079F6"/>
    <w:rPr>
      <w:b/>
      <w:bCs/>
    </w:rPr>
  </w:style>
  <w:style w:type="paragraph" w:styleId="Caption">
    <w:name w:val="caption"/>
    <w:basedOn w:val="Normal"/>
    <w:next w:val="Normal"/>
    <w:uiPriority w:val="35"/>
    <w:unhideWhenUsed/>
    <w:qFormat/>
    <w:rsid w:val="00DC4936"/>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DC778C"/>
    <w:rPr>
      <w:color w:val="954F72" w:themeColor="followedHyperlink"/>
      <w:u w:val="single"/>
    </w:rPr>
  </w:style>
  <w:style w:type="paragraph" w:styleId="FootnoteText">
    <w:name w:val="footnote text"/>
    <w:basedOn w:val="Normal"/>
    <w:link w:val="FootnoteTextChar"/>
    <w:uiPriority w:val="99"/>
    <w:semiHidden/>
    <w:unhideWhenUsed/>
    <w:rsid w:val="00D51C38"/>
    <w:rPr>
      <w:sz w:val="20"/>
      <w:szCs w:val="20"/>
    </w:rPr>
  </w:style>
  <w:style w:type="character" w:customStyle="1" w:styleId="FootnoteTextChar">
    <w:name w:val="Footnote Text Char"/>
    <w:basedOn w:val="DefaultParagraphFont"/>
    <w:link w:val="FootnoteText"/>
    <w:uiPriority w:val="99"/>
    <w:semiHidden/>
    <w:rsid w:val="00D51C38"/>
    <w:rPr>
      <w:sz w:val="20"/>
      <w:szCs w:val="20"/>
    </w:rPr>
  </w:style>
  <w:style w:type="character" w:styleId="FootnoteReference">
    <w:name w:val="footnote reference"/>
    <w:basedOn w:val="DefaultParagraphFont"/>
    <w:uiPriority w:val="99"/>
    <w:semiHidden/>
    <w:unhideWhenUsed/>
    <w:rsid w:val="00D51C38"/>
    <w:rPr>
      <w:vertAlign w:val="superscript"/>
    </w:rPr>
  </w:style>
  <w:style w:type="character" w:styleId="PlaceholderText">
    <w:name w:val="Placeholder Text"/>
    <w:basedOn w:val="DefaultParagraphFont"/>
    <w:uiPriority w:val="99"/>
    <w:semiHidden/>
    <w:rsid w:val="00F85A4F"/>
    <w:rPr>
      <w:color w:val="808080"/>
    </w:rPr>
  </w:style>
  <w:style w:type="paragraph" w:styleId="Bibliography">
    <w:name w:val="Bibliography"/>
    <w:basedOn w:val="Normal"/>
    <w:next w:val="Normal"/>
    <w:uiPriority w:val="37"/>
    <w:unhideWhenUsed/>
    <w:rsid w:val="006D6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ntcat.iiasa.ac.at/AR5DB/"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b1.ene.iiasa.ac.at/CDLINKSDB/" TargetMode="External"/><Relationship Id="rId4" Type="http://schemas.openxmlformats.org/officeDocument/2006/relationships/settings" Target="settings.xml"/><Relationship Id="rId9" Type="http://schemas.openxmlformats.org/officeDocument/2006/relationships/hyperlink" Target="https://tntcat.iiasa.ac.at/SspD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025B-5C10-45F5-B164-5FFDAC9C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8</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BEDNAR Johannes</dc:creator>
  <cp:keywords/>
  <dc:description/>
  <cp:lastModifiedBy>BEDNAR Johannes</cp:lastModifiedBy>
  <cp:revision>35</cp:revision>
  <dcterms:created xsi:type="dcterms:W3CDTF">2018-10-01T12:09:00Z</dcterms:created>
  <dcterms:modified xsi:type="dcterms:W3CDTF">2019-03-25T10:08:00Z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id="ZDZugwcN"/&gt;&lt;style id="http://www.zotero.org/styles/nature-climate-change" hasBibliography="1" bibliographyStyleHasBeenSet="1"/&gt;&lt;prefs&gt;&lt;pref name="fieldType" value="Field"/&gt;&lt;/prefs&gt;&lt;/data&gt;</vt:lpwstr>
  </property>
</Properties>
</file>