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8EE0A" w14:textId="33BDAC22" w:rsidR="001003EB" w:rsidRPr="001003EB" w:rsidRDefault="001003EB" w:rsidP="001003EB">
      <w:pPr>
        <w:pStyle w:val="Heading1"/>
        <w:spacing w:before="0"/>
        <w:jc w:val="right"/>
        <w:rPr>
          <w:rFonts w:ascii="Times New Roman" w:eastAsia="Times New Roman" w:hAnsi="Times New Roman" w:cs="Times New Roman"/>
          <w:sz w:val="36"/>
          <w:szCs w:val="33"/>
          <w:lang w:eastAsia="en-IN"/>
        </w:rPr>
      </w:pPr>
      <w:bookmarkStart w:id="0" w:name="_Toc22630728"/>
      <w:bookmarkStart w:id="1" w:name="_Hlk21134670"/>
      <w:bookmarkStart w:id="2" w:name="_Toc465865933"/>
      <w:bookmarkStart w:id="3" w:name="_Toc465929766"/>
      <w:bookmarkStart w:id="4" w:name="_Toc467849437"/>
      <w:bookmarkStart w:id="5" w:name="_GoBack"/>
      <w:bookmarkEnd w:id="5"/>
      <w:r w:rsidRPr="001003EB">
        <w:rPr>
          <w:rFonts w:ascii="Times New Roman" w:eastAsia="Times New Roman" w:hAnsi="Times New Roman" w:cs="Times New Roman"/>
          <w:sz w:val="36"/>
          <w:szCs w:val="33"/>
          <w:lang w:eastAsia="en-IN"/>
        </w:rPr>
        <w:t>Supplementary Information</w:t>
      </w:r>
      <w:bookmarkEnd w:id="0"/>
    </w:p>
    <w:p w14:paraId="280DF0A9" w14:textId="77777777" w:rsidR="001003EB" w:rsidRDefault="001003EB" w:rsidP="001003EB">
      <w:pPr>
        <w:autoSpaceDE w:val="0"/>
        <w:autoSpaceDN w:val="0"/>
        <w:spacing w:after="120" w:line="276" w:lineRule="auto"/>
        <w:jc w:val="center"/>
        <w:rPr>
          <w:rFonts w:ascii="Times New Roman" w:eastAsia="Times New Roman" w:hAnsi="Times New Roman" w:cs="Times New Roman"/>
          <w:sz w:val="28"/>
          <w:lang w:eastAsia="en-IN"/>
        </w:rPr>
      </w:pPr>
    </w:p>
    <w:p w14:paraId="6F6CE4E5" w14:textId="7ED0B71E" w:rsidR="00B554D5" w:rsidRPr="002A73C5" w:rsidRDefault="00B554D5" w:rsidP="002A73C5">
      <w:pPr>
        <w:autoSpaceDE w:val="0"/>
        <w:autoSpaceDN w:val="0"/>
        <w:spacing w:after="120" w:line="276" w:lineRule="auto"/>
        <w:jc w:val="center"/>
        <w:rPr>
          <w:rFonts w:ascii="Times New Roman" w:hAnsi="Times New Roman"/>
          <w:color w:val="2E74B5" w:themeColor="accent1" w:themeShade="BF"/>
          <w:sz w:val="32"/>
        </w:rPr>
      </w:pPr>
      <w:r w:rsidRPr="002A73C5">
        <w:rPr>
          <w:rFonts w:ascii="Times New Roman" w:hAnsi="Times New Roman"/>
          <w:color w:val="2E74B5" w:themeColor="accent1" w:themeShade="BF"/>
          <w:sz w:val="32"/>
        </w:rPr>
        <w:t>Managing future air quality in megacities: Emission inventory and scenario analysis for the Kolkata Metropolitan City, India</w:t>
      </w:r>
      <w:bookmarkEnd w:id="1"/>
      <w:r w:rsidRPr="002A73C5">
        <w:rPr>
          <w:rFonts w:ascii="Times New Roman" w:hAnsi="Times New Roman"/>
          <w:color w:val="2E74B5" w:themeColor="accent1" w:themeShade="BF"/>
          <w:sz w:val="32"/>
        </w:rPr>
        <w:t xml:space="preserve">* </w:t>
      </w:r>
    </w:p>
    <w:p w14:paraId="3F961356" w14:textId="77777777" w:rsidR="00B554D5" w:rsidRPr="002A73C5" w:rsidRDefault="00B554D5" w:rsidP="002A73C5">
      <w:pPr>
        <w:autoSpaceDE w:val="0"/>
        <w:autoSpaceDN w:val="0"/>
        <w:spacing w:after="120" w:line="276" w:lineRule="auto"/>
        <w:jc w:val="center"/>
        <w:rPr>
          <w:rFonts w:ascii="Times New Roman" w:hAnsi="Times New Roman"/>
          <w:sz w:val="28"/>
        </w:rPr>
      </w:pPr>
    </w:p>
    <w:p w14:paraId="7B70A4AD" w14:textId="77777777" w:rsidR="00B554D5" w:rsidRPr="002A73C5" w:rsidRDefault="00B554D5" w:rsidP="002A73C5">
      <w:pPr>
        <w:spacing w:after="120" w:line="276" w:lineRule="auto"/>
        <w:jc w:val="both"/>
        <w:rPr>
          <w:rFonts w:ascii="Times New Roman" w:hAnsi="Times New Roman"/>
          <w:vertAlign w:val="superscript"/>
        </w:rPr>
      </w:pPr>
      <w:r w:rsidRPr="002A73C5">
        <w:rPr>
          <w:rFonts w:ascii="Times New Roman" w:hAnsi="Times New Roman"/>
        </w:rPr>
        <w:t>Dipanjali Majumdar,</w:t>
      </w:r>
      <w:r w:rsidRPr="002A73C5">
        <w:rPr>
          <w:rFonts w:ascii="Times New Roman" w:hAnsi="Times New Roman"/>
          <w:i/>
          <w:vertAlign w:val="superscript"/>
        </w:rPr>
        <w:t>a</w:t>
      </w:r>
      <w:r w:rsidRPr="002A73C5">
        <w:rPr>
          <w:rStyle w:val="FootnoteReference"/>
          <w:rFonts w:ascii="Times New Roman" w:hAnsi="Times New Roman"/>
          <w:i/>
        </w:rPr>
        <w:footnoteReference w:id="2"/>
      </w:r>
      <w:r w:rsidRPr="002A73C5">
        <w:rPr>
          <w:rFonts w:ascii="Times New Roman" w:hAnsi="Times New Roman"/>
        </w:rPr>
        <w:t xml:space="preserve"> Pallav Purohit,</w:t>
      </w:r>
      <w:r w:rsidRPr="002A73C5">
        <w:rPr>
          <w:rFonts w:ascii="Times New Roman" w:hAnsi="Times New Roman"/>
          <w:i/>
          <w:vertAlign w:val="superscript"/>
        </w:rPr>
        <w:t>b</w:t>
      </w:r>
      <w:r w:rsidRPr="002A73C5">
        <w:rPr>
          <w:rFonts w:ascii="Times New Roman" w:hAnsi="Times New Roman"/>
        </w:rPr>
        <w:t xml:space="preserve"> Anil D. Bhanarkar,</w:t>
      </w:r>
      <w:r w:rsidRPr="002A73C5">
        <w:rPr>
          <w:rFonts w:ascii="Times New Roman" w:hAnsi="Times New Roman"/>
          <w:vertAlign w:val="superscript"/>
        </w:rPr>
        <w:t>a</w:t>
      </w:r>
      <w:r w:rsidRPr="002A73C5">
        <w:rPr>
          <w:rFonts w:ascii="Times New Roman" w:hAnsi="Times New Roman"/>
        </w:rPr>
        <w:t xml:space="preserve"> Padma S. Rao,</w:t>
      </w:r>
      <w:r w:rsidRPr="002A73C5">
        <w:rPr>
          <w:rFonts w:ascii="Times New Roman" w:hAnsi="Times New Roman"/>
          <w:vertAlign w:val="superscript"/>
        </w:rPr>
        <w:t>a</w:t>
      </w:r>
      <w:r w:rsidRPr="002A73C5">
        <w:rPr>
          <w:rFonts w:ascii="Times New Roman" w:hAnsi="Times New Roman"/>
        </w:rPr>
        <w:t xml:space="preserve"> Peter Rafaj,</w:t>
      </w:r>
      <w:r w:rsidRPr="002A73C5">
        <w:rPr>
          <w:rFonts w:ascii="Times New Roman" w:hAnsi="Times New Roman"/>
          <w:vertAlign w:val="superscript"/>
        </w:rPr>
        <w:t>b</w:t>
      </w:r>
      <w:r w:rsidRPr="002A73C5">
        <w:rPr>
          <w:rFonts w:ascii="Times New Roman" w:hAnsi="Times New Roman"/>
        </w:rPr>
        <w:t xml:space="preserve"> Markus Amann,</w:t>
      </w:r>
      <w:r w:rsidRPr="002A73C5">
        <w:rPr>
          <w:rFonts w:ascii="Times New Roman" w:hAnsi="Times New Roman"/>
          <w:vertAlign w:val="superscript"/>
        </w:rPr>
        <w:t>b</w:t>
      </w:r>
      <w:r w:rsidRPr="002A73C5">
        <w:rPr>
          <w:rFonts w:ascii="Times New Roman" w:hAnsi="Times New Roman"/>
        </w:rPr>
        <w:t xml:space="preserve"> Robert Sander</w:t>
      </w:r>
      <w:r w:rsidRPr="002A73C5">
        <w:rPr>
          <w:rFonts w:ascii="Times New Roman" w:hAnsi="Times New Roman"/>
          <w:i/>
        </w:rPr>
        <w:t>,</w:t>
      </w:r>
      <w:r w:rsidRPr="002A73C5">
        <w:rPr>
          <w:rFonts w:ascii="Times New Roman" w:hAnsi="Times New Roman"/>
          <w:i/>
          <w:vertAlign w:val="superscript"/>
        </w:rPr>
        <w:t>b</w:t>
      </w:r>
      <w:r w:rsidRPr="002A73C5">
        <w:rPr>
          <w:rFonts w:ascii="Times New Roman" w:hAnsi="Times New Roman"/>
          <w:i/>
        </w:rPr>
        <w:t xml:space="preserve"> </w:t>
      </w:r>
      <w:r w:rsidRPr="002A73C5">
        <w:rPr>
          <w:rFonts w:ascii="Times New Roman" w:hAnsi="Times New Roman"/>
        </w:rPr>
        <w:t xml:space="preserve">Ankita Pakrashi, </w:t>
      </w:r>
      <w:r w:rsidRPr="002A73C5">
        <w:rPr>
          <w:rFonts w:ascii="Times New Roman" w:hAnsi="Times New Roman"/>
          <w:vertAlign w:val="superscript"/>
        </w:rPr>
        <w:t>a</w:t>
      </w:r>
      <w:r w:rsidRPr="002A73C5">
        <w:rPr>
          <w:rFonts w:ascii="Times New Roman" w:hAnsi="Times New Roman"/>
        </w:rPr>
        <w:t>Anjali Srivastava</w:t>
      </w:r>
      <w:r w:rsidRPr="002A73C5">
        <w:rPr>
          <w:rFonts w:ascii="Times New Roman" w:hAnsi="Times New Roman"/>
          <w:vertAlign w:val="superscript"/>
        </w:rPr>
        <w:t>a</w:t>
      </w:r>
      <w:r w:rsidRPr="002A73C5">
        <w:rPr>
          <w:rFonts w:ascii="Times New Roman" w:hAnsi="Times New Roman"/>
        </w:rPr>
        <w:t xml:space="preserve"> </w:t>
      </w:r>
    </w:p>
    <w:p w14:paraId="2B6A8A45" w14:textId="77777777" w:rsidR="00B554D5" w:rsidRPr="002A73C5" w:rsidRDefault="00B554D5" w:rsidP="002A73C5">
      <w:pPr>
        <w:spacing w:after="120" w:line="276" w:lineRule="auto"/>
        <w:jc w:val="both"/>
        <w:rPr>
          <w:rFonts w:ascii="Times New Roman" w:hAnsi="Times New Roman"/>
          <w:i/>
          <w:sz w:val="20"/>
        </w:rPr>
      </w:pPr>
      <w:r w:rsidRPr="002A73C5">
        <w:rPr>
          <w:rFonts w:ascii="Times New Roman" w:hAnsi="Times New Roman"/>
          <w:i/>
          <w:sz w:val="20"/>
          <w:vertAlign w:val="superscript"/>
        </w:rPr>
        <w:t>a</w:t>
      </w:r>
      <w:r w:rsidRPr="002A73C5">
        <w:rPr>
          <w:rFonts w:ascii="Times New Roman" w:hAnsi="Times New Roman"/>
          <w:sz w:val="20"/>
        </w:rPr>
        <w:t>CSIR-National Environmental Engineering Research Institute (NEERI),Nehru Marg, Nagpur, 440020, India</w:t>
      </w:r>
    </w:p>
    <w:p w14:paraId="314731A3" w14:textId="77777777" w:rsidR="00B554D5" w:rsidRPr="002A73C5" w:rsidRDefault="00B554D5" w:rsidP="002A73C5">
      <w:pPr>
        <w:spacing w:after="120" w:line="276" w:lineRule="auto"/>
        <w:jc w:val="both"/>
        <w:rPr>
          <w:rFonts w:ascii="Times New Roman" w:hAnsi="Times New Roman"/>
          <w:sz w:val="20"/>
        </w:rPr>
      </w:pPr>
      <w:r w:rsidRPr="002A73C5">
        <w:rPr>
          <w:rFonts w:ascii="Times New Roman" w:hAnsi="Times New Roman"/>
          <w:i/>
          <w:sz w:val="20"/>
          <w:vertAlign w:val="superscript"/>
        </w:rPr>
        <w:t>b</w:t>
      </w:r>
      <w:r w:rsidRPr="002A73C5">
        <w:rPr>
          <w:rFonts w:ascii="Times New Roman" w:hAnsi="Times New Roman"/>
          <w:sz w:val="20"/>
        </w:rPr>
        <w:t>International Institute for Applied Systems Analysis (IIASA), Schlossplatz 1, A-2361, Laxenburg, Austria</w:t>
      </w:r>
    </w:p>
    <w:p w14:paraId="4E0FC15E" w14:textId="77777777" w:rsidR="001C5298" w:rsidRPr="002A73C5" w:rsidRDefault="001C5298" w:rsidP="00D25C9C">
      <w:pPr>
        <w:spacing w:after="240" w:line="276" w:lineRule="auto"/>
        <w:rPr>
          <w:rFonts w:ascii="Times New Roman" w:hAnsi="Times New Roman"/>
        </w:rPr>
      </w:pPr>
    </w:p>
    <w:p w14:paraId="3314A016" w14:textId="77777777" w:rsidR="00067A0D" w:rsidRDefault="00067A0D" w:rsidP="00D25C9C">
      <w:pPr>
        <w:spacing w:after="240" w:line="276" w:lineRule="auto"/>
        <w:rPr>
          <w:rFonts w:ascii="Times New Roman" w:hAnsi="Times New Roman" w:cs="Times New Roman"/>
          <w:sz w:val="28"/>
        </w:rPr>
      </w:pPr>
    </w:p>
    <w:p w14:paraId="394E486A" w14:textId="77777777" w:rsidR="00067A0D" w:rsidRDefault="00067A0D" w:rsidP="00D25C9C">
      <w:pPr>
        <w:spacing w:after="240" w:line="276" w:lineRule="auto"/>
        <w:rPr>
          <w:rFonts w:ascii="Times New Roman" w:hAnsi="Times New Roman" w:cs="Times New Roman"/>
          <w:sz w:val="28"/>
        </w:rPr>
      </w:pPr>
    </w:p>
    <w:p w14:paraId="0B3CE579" w14:textId="77777777" w:rsidR="00067A0D" w:rsidRDefault="00067A0D" w:rsidP="00D25C9C">
      <w:pPr>
        <w:spacing w:after="240" w:line="276" w:lineRule="auto"/>
        <w:rPr>
          <w:rFonts w:ascii="Times New Roman" w:hAnsi="Times New Roman" w:cs="Times New Roman"/>
          <w:sz w:val="28"/>
        </w:rPr>
      </w:pPr>
    </w:p>
    <w:p w14:paraId="3A3C1A11" w14:textId="77777777" w:rsidR="00067A0D" w:rsidRDefault="00067A0D" w:rsidP="00D25C9C">
      <w:pPr>
        <w:spacing w:after="240" w:line="276" w:lineRule="auto"/>
        <w:rPr>
          <w:rFonts w:ascii="Times New Roman" w:hAnsi="Times New Roman" w:cs="Times New Roman"/>
          <w:sz w:val="28"/>
        </w:rPr>
      </w:pPr>
    </w:p>
    <w:p w14:paraId="2EC0C01D" w14:textId="77777777" w:rsidR="00067A0D" w:rsidRDefault="00067A0D" w:rsidP="00D25C9C">
      <w:pPr>
        <w:spacing w:after="240" w:line="276" w:lineRule="auto"/>
        <w:rPr>
          <w:rFonts w:ascii="Times New Roman" w:hAnsi="Times New Roman" w:cs="Times New Roman"/>
          <w:sz w:val="28"/>
        </w:rPr>
      </w:pPr>
    </w:p>
    <w:p w14:paraId="3396EC62" w14:textId="77777777" w:rsidR="00067A0D" w:rsidRDefault="00067A0D" w:rsidP="00D25C9C">
      <w:pPr>
        <w:spacing w:after="240" w:line="276" w:lineRule="auto"/>
        <w:rPr>
          <w:rFonts w:ascii="Times New Roman" w:hAnsi="Times New Roman" w:cs="Times New Roman"/>
          <w:sz w:val="28"/>
        </w:rPr>
      </w:pPr>
    </w:p>
    <w:p w14:paraId="3FF728E5" w14:textId="77777777" w:rsidR="00067A0D" w:rsidRPr="00AC18ED" w:rsidRDefault="00067A0D" w:rsidP="00D25C9C">
      <w:pPr>
        <w:spacing w:after="240" w:line="276" w:lineRule="auto"/>
        <w:rPr>
          <w:rFonts w:ascii="Times New Roman" w:hAnsi="Times New Roman" w:cs="Times New Roman"/>
          <w:iCs/>
          <w:noProof/>
        </w:rPr>
      </w:pPr>
    </w:p>
    <w:p w14:paraId="4D7A17C7" w14:textId="77777777" w:rsidR="001C5298" w:rsidRPr="00AC18ED" w:rsidRDefault="001C5298" w:rsidP="00D25C9C">
      <w:pPr>
        <w:spacing w:after="240" w:line="276" w:lineRule="auto"/>
        <w:rPr>
          <w:rFonts w:ascii="Times New Roman" w:hAnsi="Times New Roman" w:cs="Times New Roman"/>
          <w:iCs/>
          <w:noProof/>
        </w:rPr>
      </w:pPr>
    </w:p>
    <w:p w14:paraId="5FEF04F5" w14:textId="77777777" w:rsidR="001C5298" w:rsidRPr="00AC18ED" w:rsidRDefault="001C5298" w:rsidP="00033A75">
      <w:pPr>
        <w:spacing w:after="120" w:line="276" w:lineRule="auto"/>
        <w:rPr>
          <w:rFonts w:ascii="Times New Roman" w:hAnsi="Times New Roman" w:cs="Times New Roman"/>
          <w:iCs/>
          <w:noProof/>
        </w:rPr>
      </w:pPr>
    </w:p>
    <w:p w14:paraId="6F9E18C5" w14:textId="77777777" w:rsidR="001C5298" w:rsidRPr="00AC18ED" w:rsidRDefault="001C5298" w:rsidP="00033A75">
      <w:pPr>
        <w:spacing w:after="120" w:line="276" w:lineRule="auto"/>
        <w:rPr>
          <w:rFonts w:ascii="Times New Roman" w:hAnsi="Times New Roman" w:cs="Times New Roman"/>
          <w:iCs/>
          <w:noProof/>
        </w:rPr>
      </w:pPr>
    </w:p>
    <w:p w14:paraId="1F2941BE" w14:textId="77777777" w:rsidR="001C5298" w:rsidRPr="00AC18ED" w:rsidRDefault="001C5298" w:rsidP="00033A75">
      <w:pPr>
        <w:spacing w:after="120" w:line="276" w:lineRule="auto"/>
        <w:rPr>
          <w:rFonts w:ascii="Times New Roman" w:hAnsi="Times New Roman" w:cs="Times New Roman"/>
          <w:iCs/>
          <w:noProof/>
        </w:rPr>
      </w:pPr>
    </w:p>
    <w:p w14:paraId="0CCBD963" w14:textId="77777777" w:rsidR="001C5298" w:rsidRPr="00AC18ED" w:rsidRDefault="001C5298" w:rsidP="00033A75">
      <w:pPr>
        <w:spacing w:after="120" w:line="276" w:lineRule="auto"/>
        <w:rPr>
          <w:rFonts w:ascii="Times New Roman" w:hAnsi="Times New Roman" w:cs="Times New Roman"/>
          <w:iCs/>
          <w:noProof/>
        </w:rPr>
      </w:pPr>
    </w:p>
    <w:p w14:paraId="035F69C2" w14:textId="77777777" w:rsidR="001C5298" w:rsidRPr="00AC18ED" w:rsidRDefault="001C5298" w:rsidP="00033A75">
      <w:pPr>
        <w:spacing w:after="120" w:line="276" w:lineRule="auto"/>
        <w:rPr>
          <w:rFonts w:ascii="Times New Roman" w:hAnsi="Times New Roman" w:cs="Times New Roman"/>
          <w:iCs/>
          <w:noProof/>
        </w:rPr>
      </w:pPr>
    </w:p>
    <w:p w14:paraId="7E68F331" w14:textId="77777777" w:rsidR="001C5298" w:rsidRPr="00AC18ED" w:rsidRDefault="001C5298" w:rsidP="00033A75">
      <w:pPr>
        <w:spacing w:after="120" w:line="276" w:lineRule="auto"/>
        <w:rPr>
          <w:rFonts w:ascii="Times New Roman" w:hAnsi="Times New Roman" w:cs="Times New Roman"/>
          <w:iCs/>
          <w:noProof/>
        </w:rPr>
      </w:pPr>
    </w:p>
    <w:p w14:paraId="1B469617" w14:textId="77777777" w:rsidR="001C5298" w:rsidRPr="00AC18ED" w:rsidRDefault="001C5298" w:rsidP="00033A75">
      <w:pPr>
        <w:spacing w:after="120" w:line="276" w:lineRule="auto"/>
        <w:rPr>
          <w:rFonts w:ascii="Times New Roman" w:hAnsi="Times New Roman" w:cs="Times New Roman"/>
          <w:iCs/>
          <w:noProof/>
        </w:rPr>
      </w:pPr>
    </w:p>
    <w:p w14:paraId="7DF8AA6C" w14:textId="77777777" w:rsidR="001C5298" w:rsidRPr="00AC18ED" w:rsidRDefault="001C5298" w:rsidP="00033A75">
      <w:pPr>
        <w:spacing w:after="120" w:line="276" w:lineRule="auto"/>
        <w:rPr>
          <w:rFonts w:ascii="Times New Roman" w:hAnsi="Times New Roman" w:cs="Times New Roman"/>
          <w:iCs/>
          <w:noProof/>
        </w:rPr>
      </w:pPr>
    </w:p>
    <w:p w14:paraId="47AEE8AC" w14:textId="5DF65042" w:rsidR="001003EB" w:rsidRDefault="001003EB">
      <w:pPr>
        <w:rPr>
          <w:rFonts w:ascii="Times New Roman" w:hAnsi="Times New Roman" w:cs="Times New Roman"/>
          <w:iCs/>
          <w:noProof/>
        </w:rPr>
      </w:pPr>
      <w:r>
        <w:rPr>
          <w:rFonts w:ascii="Times New Roman" w:hAnsi="Times New Roman" w:cs="Times New Roman"/>
          <w:iCs/>
          <w:noProof/>
        </w:rPr>
        <w:br w:type="page"/>
      </w:r>
    </w:p>
    <w:sdt>
      <w:sdtPr>
        <w:rPr>
          <w:rFonts w:ascii="Times New Roman" w:hAnsi="Times New Roman" w:cs="Times New Roman"/>
          <w:szCs w:val="22"/>
        </w:rPr>
        <w:id w:val="-1745789466"/>
        <w:docPartObj>
          <w:docPartGallery w:val="Table of Contents"/>
          <w:docPartUnique/>
        </w:docPartObj>
      </w:sdtPr>
      <w:sdtEndPr>
        <w:rPr>
          <w:bCs/>
          <w:noProof/>
          <w:szCs w:val="20"/>
        </w:rPr>
      </w:sdtEndPr>
      <w:sdtContent>
        <w:p w14:paraId="0C4BD8E5" w14:textId="03B68B23" w:rsidR="001C5298" w:rsidRPr="002A73C5" w:rsidRDefault="001C5298" w:rsidP="001C5298">
          <w:pPr>
            <w:rPr>
              <w:rStyle w:val="Heading1Char"/>
              <w:rFonts w:ascii="Times New Roman" w:hAnsi="Times New Roman"/>
            </w:rPr>
          </w:pPr>
          <w:r w:rsidRPr="002A73C5">
            <w:rPr>
              <w:rStyle w:val="Heading1Char"/>
              <w:rFonts w:ascii="Times New Roman" w:hAnsi="Times New Roman"/>
            </w:rPr>
            <w:t>Contents</w:t>
          </w:r>
        </w:p>
        <w:p w14:paraId="18FC80FF" w14:textId="77777777" w:rsidR="00C35D33" w:rsidRPr="002A73C5" w:rsidRDefault="00C35D33" w:rsidP="002A73C5">
          <w:pPr>
            <w:spacing w:after="120" w:line="276" w:lineRule="auto"/>
            <w:rPr>
              <w:rFonts w:ascii="Times New Roman" w:hAnsi="Times New Roman"/>
              <w:lang w:val="en-US"/>
            </w:rPr>
          </w:pPr>
        </w:p>
        <w:p w14:paraId="26A1550F" w14:textId="77777777" w:rsidR="00F6079D" w:rsidRDefault="00257DC1">
          <w:pPr>
            <w:pStyle w:val="TOC1"/>
            <w:tabs>
              <w:tab w:val="right" w:leader="dot" w:pos="9016"/>
            </w:tabs>
            <w:rPr>
              <w:rFonts w:eastAsiaTheme="minorEastAsia"/>
              <w:noProof/>
              <w:lang w:val="en-IN" w:eastAsia="en-IN"/>
            </w:rPr>
          </w:pPr>
          <w:r w:rsidRPr="001003EB">
            <w:rPr>
              <w:rFonts w:ascii="Times New Roman" w:hAnsi="Times New Roman" w:cs="Times New Roman"/>
            </w:rPr>
            <w:fldChar w:fldCharType="begin"/>
          </w:r>
          <w:r w:rsidR="001C5298" w:rsidRPr="001003EB">
            <w:rPr>
              <w:rFonts w:ascii="Times New Roman" w:hAnsi="Times New Roman" w:cs="Times New Roman"/>
            </w:rPr>
            <w:instrText xml:space="preserve"> TOC \o "1-3" \h \z \u </w:instrText>
          </w:r>
          <w:r w:rsidRPr="001003EB">
            <w:rPr>
              <w:rFonts w:ascii="Times New Roman" w:hAnsi="Times New Roman" w:cs="Times New Roman"/>
            </w:rPr>
            <w:fldChar w:fldCharType="separate"/>
          </w:r>
          <w:hyperlink w:anchor="_Toc22630728" w:history="1">
            <w:r w:rsidR="00F6079D" w:rsidRPr="0073646F">
              <w:rPr>
                <w:rStyle w:val="Hyperlink"/>
                <w:rFonts w:ascii="Times New Roman" w:eastAsia="Times New Roman" w:hAnsi="Times New Roman" w:cs="Times New Roman"/>
                <w:noProof/>
                <w:lang w:eastAsia="en-IN" w:bidi="hi-IN"/>
              </w:rPr>
              <w:t>Supplementary Information</w:t>
            </w:r>
            <w:r w:rsidR="00F6079D">
              <w:rPr>
                <w:noProof/>
                <w:webHidden/>
              </w:rPr>
              <w:tab/>
            </w:r>
            <w:r w:rsidR="00F6079D">
              <w:rPr>
                <w:noProof/>
                <w:webHidden/>
              </w:rPr>
              <w:fldChar w:fldCharType="begin"/>
            </w:r>
            <w:r w:rsidR="00F6079D">
              <w:rPr>
                <w:noProof/>
                <w:webHidden/>
              </w:rPr>
              <w:instrText xml:space="preserve"> PAGEREF _Toc22630728 \h </w:instrText>
            </w:r>
            <w:r w:rsidR="00F6079D">
              <w:rPr>
                <w:noProof/>
                <w:webHidden/>
              </w:rPr>
            </w:r>
            <w:r w:rsidR="00F6079D">
              <w:rPr>
                <w:noProof/>
                <w:webHidden/>
              </w:rPr>
              <w:fldChar w:fldCharType="separate"/>
            </w:r>
            <w:r w:rsidR="00F6079D">
              <w:rPr>
                <w:noProof/>
                <w:webHidden/>
              </w:rPr>
              <w:t>1</w:t>
            </w:r>
            <w:r w:rsidR="00F6079D">
              <w:rPr>
                <w:noProof/>
                <w:webHidden/>
              </w:rPr>
              <w:fldChar w:fldCharType="end"/>
            </w:r>
          </w:hyperlink>
        </w:p>
        <w:p w14:paraId="1648F9B1" w14:textId="77777777" w:rsidR="00F6079D" w:rsidRDefault="001C1EBF">
          <w:pPr>
            <w:pStyle w:val="TOC1"/>
            <w:tabs>
              <w:tab w:val="left" w:pos="440"/>
              <w:tab w:val="right" w:leader="dot" w:pos="9016"/>
            </w:tabs>
            <w:rPr>
              <w:rFonts w:eastAsiaTheme="minorEastAsia"/>
              <w:noProof/>
              <w:lang w:val="en-IN" w:eastAsia="en-IN"/>
            </w:rPr>
          </w:pPr>
          <w:hyperlink w:anchor="_Toc22630729" w:history="1">
            <w:r w:rsidR="00F6079D" w:rsidRPr="0073646F">
              <w:rPr>
                <w:rStyle w:val="Hyperlink"/>
                <w:rFonts w:ascii="Times New Roman" w:hAnsi="Times New Roman" w:cs="Times New Roman"/>
                <w:b/>
                <w:noProof/>
                <w:lang w:bidi="hi-IN"/>
              </w:rPr>
              <w:t>1.</w:t>
            </w:r>
            <w:r w:rsidR="00F6079D">
              <w:rPr>
                <w:rFonts w:eastAsiaTheme="minorEastAsia"/>
                <w:noProof/>
                <w:lang w:val="en-IN" w:eastAsia="en-IN"/>
              </w:rPr>
              <w:tab/>
            </w:r>
            <w:r w:rsidR="00F6079D" w:rsidRPr="0073646F">
              <w:rPr>
                <w:rStyle w:val="Hyperlink"/>
                <w:rFonts w:ascii="Times New Roman" w:hAnsi="Times New Roman" w:cs="Times New Roman"/>
                <w:b/>
                <w:noProof/>
                <w:lang w:bidi="hi-IN"/>
              </w:rPr>
              <w:t>Air pollution in Indian cities</w:t>
            </w:r>
            <w:r w:rsidR="00F6079D">
              <w:rPr>
                <w:noProof/>
                <w:webHidden/>
              </w:rPr>
              <w:tab/>
            </w:r>
            <w:r w:rsidR="00F6079D">
              <w:rPr>
                <w:noProof/>
                <w:webHidden/>
              </w:rPr>
              <w:fldChar w:fldCharType="begin"/>
            </w:r>
            <w:r w:rsidR="00F6079D">
              <w:rPr>
                <w:noProof/>
                <w:webHidden/>
              </w:rPr>
              <w:instrText xml:space="preserve"> PAGEREF _Toc22630729 \h </w:instrText>
            </w:r>
            <w:r w:rsidR="00F6079D">
              <w:rPr>
                <w:noProof/>
                <w:webHidden/>
              </w:rPr>
            </w:r>
            <w:r w:rsidR="00F6079D">
              <w:rPr>
                <w:noProof/>
                <w:webHidden/>
              </w:rPr>
              <w:fldChar w:fldCharType="separate"/>
            </w:r>
            <w:r w:rsidR="00F6079D">
              <w:rPr>
                <w:noProof/>
                <w:webHidden/>
              </w:rPr>
              <w:t>3</w:t>
            </w:r>
            <w:r w:rsidR="00F6079D">
              <w:rPr>
                <w:noProof/>
                <w:webHidden/>
              </w:rPr>
              <w:fldChar w:fldCharType="end"/>
            </w:r>
          </w:hyperlink>
        </w:p>
        <w:p w14:paraId="089FBB98" w14:textId="77777777" w:rsidR="00F6079D" w:rsidRDefault="001C1EBF">
          <w:pPr>
            <w:pStyle w:val="TOC1"/>
            <w:tabs>
              <w:tab w:val="left" w:pos="440"/>
              <w:tab w:val="right" w:leader="dot" w:pos="9016"/>
            </w:tabs>
            <w:rPr>
              <w:rFonts w:eastAsiaTheme="minorEastAsia"/>
              <w:noProof/>
              <w:lang w:val="en-IN" w:eastAsia="en-IN"/>
            </w:rPr>
          </w:pPr>
          <w:hyperlink w:anchor="_Toc22630730" w:history="1">
            <w:r w:rsidR="00F6079D" w:rsidRPr="0073646F">
              <w:rPr>
                <w:rStyle w:val="Hyperlink"/>
                <w:rFonts w:ascii="Times New Roman" w:hAnsi="Times New Roman" w:cs="Times New Roman"/>
                <w:b/>
                <w:noProof/>
                <w:lang w:bidi="hi-IN"/>
              </w:rPr>
              <w:t>2.</w:t>
            </w:r>
            <w:r w:rsidR="00F6079D">
              <w:rPr>
                <w:rFonts w:eastAsiaTheme="minorEastAsia"/>
                <w:noProof/>
                <w:lang w:val="en-IN" w:eastAsia="en-IN"/>
              </w:rPr>
              <w:tab/>
            </w:r>
            <w:r w:rsidR="00F6079D" w:rsidRPr="0073646F">
              <w:rPr>
                <w:rStyle w:val="Hyperlink"/>
                <w:rFonts w:ascii="Times New Roman" w:hAnsi="Times New Roman" w:cs="Times New Roman"/>
                <w:b/>
                <w:noProof/>
                <w:lang w:bidi="hi-IN"/>
              </w:rPr>
              <w:t>Revised National Ambient Air Quality Standard  (NAAQS)</w:t>
            </w:r>
            <w:r w:rsidR="00F6079D">
              <w:rPr>
                <w:noProof/>
                <w:webHidden/>
              </w:rPr>
              <w:tab/>
            </w:r>
            <w:r w:rsidR="00F6079D">
              <w:rPr>
                <w:noProof/>
                <w:webHidden/>
              </w:rPr>
              <w:fldChar w:fldCharType="begin"/>
            </w:r>
            <w:r w:rsidR="00F6079D">
              <w:rPr>
                <w:noProof/>
                <w:webHidden/>
              </w:rPr>
              <w:instrText xml:space="preserve"> PAGEREF _Toc22630730 \h </w:instrText>
            </w:r>
            <w:r w:rsidR="00F6079D">
              <w:rPr>
                <w:noProof/>
                <w:webHidden/>
              </w:rPr>
            </w:r>
            <w:r w:rsidR="00F6079D">
              <w:rPr>
                <w:noProof/>
                <w:webHidden/>
              </w:rPr>
              <w:fldChar w:fldCharType="separate"/>
            </w:r>
            <w:r w:rsidR="00F6079D">
              <w:rPr>
                <w:noProof/>
                <w:webHidden/>
              </w:rPr>
              <w:t>6</w:t>
            </w:r>
            <w:r w:rsidR="00F6079D">
              <w:rPr>
                <w:noProof/>
                <w:webHidden/>
              </w:rPr>
              <w:fldChar w:fldCharType="end"/>
            </w:r>
          </w:hyperlink>
        </w:p>
        <w:p w14:paraId="72EC63D9" w14:textId="77777777" w:rsidR="00F6079D" w:rsidRDefault="001C1EBF">
          <w:pPr>
            <w:pStyle w:val="TOC1"/>
            <w:tabs>
              <w:tab w:val="left" w:pos="440"/>
              <w:tab w:val="right" w:leader="dot" w:pos="9016"/>
            </w:tabs>
            <w:rPr>
              <w:rFonts w:eastAsiaTheme="minorEastAsia"/>
              <w:noProof/>
              <w:lang w:val="en-IN" w:eastAsia="en-IN"/>
            </w:rPr>
          </w:pPr>
          <w:hyperlink w:anchor="_Toc22630731" w:history="1">
            <w:r w:rsidR="00F6079D" w:rsidRPr="0073646F">
              <w:rPr>
                <w:rStyle w:val="Hyperlink"/>
                <w:rFonts w:ascii="Times New Roman" w:hAnsi="Times New Roman" w:cs="Times New Roman"/>
                <w:b/>
                <w:noProof/>
                <w:lang w:bidi="hi-IN"/>
              </w:rPr>
              <w:t>3.</w:t>
            </w:r>
            <w:r w:rsidR="00F6079D">
              <w:rPr>
                <w:rFonts w:eastAsiaTheme="minorEastAsia"/>
                <w:noProof/>
                <w:lang w:val="en-IN" w:eastAsia="en-IN"/>
              </w:rPr>
              <w:tab/>
            </w:r>
            <w:r w:rsidR="00F6079D" w:rsidRPr="0073646F">
              <w:rPr>
                <w:rStyle w:val="Hyperlink"/>
                <w:rFonts w:ascii="Times New Roman" w:hAnsi="Times New Roman" w:cs="Times New Roman"/>
                <w:b/>
                <w:noProof/>
                <w:lang w:bidi="hi-IN"/>
              </w:rPr>
              <w:t>Air Quality in Kolkata</w:t>
            </w:r>
            <w:r w:rsidR="00F6079D">
              <w:rPr>
                <w:noProof/>
                <w:webHidden/>
              </w:rPr>
              <w:tab/>
            </w:r>
            <w:r w:rsidR="00F6079D">
              <w:rPr>
                <w:noProof/>
                <w:webHidden/>
              </w:rPr>
              <w:fldChar w:fldCharType="begin"/>
            </w:r>
            <w:r w:rsidR="00F6079D">
              <w:rPr>
                <w:noProof/>
                <w:webHidden/>
              </w:rPr>
              <w:instrText xml:space="preserve"> PAGEREF _Toc22630731 \h </w:instrText>
            </w:r>
            <w:r w:rsidR="00F6079D">
              <w:rPr>
                <w:noProof/>
                <w:webHidden/>
              </w:rPr>
            </w:r>
            <w:r w:rsidR="00F6079D">
              <w:rPr>
                <w:noProof/>
                <w:webHidden/>
              </w:rPr>
              <w:fldChar w:fldCharType="separate"/>
            </w:r>
            <w:r w:rsidR="00F6079D">
              <w:rPr>
                <w:noProof/>
                <w:webHidden/>
              </w:rPr>
              <w:t>7</w:t>
            </w:r>
            <w:r w:rsidR="00F6079D">
              <w:rPr>
                <w:noProof/>
                <w:webHidden/>
              </w:rPr>
              <w:fldChar w:fldCharType="end"/>
            </w:r>
          </w:hyperlink>
        </w:p>
        <w:p w14:paraId="71BF6D6C" w14:textId="77777777" w:rsidR="00F6079D" w:rsidRDefault="001C1EBF">
          <w:pPr>
            <w:pStyle w:val="TOC1"/>
            <w:tabs>
              <w:tab w:val="left" w:pos="440"/>
              <w:tab w:val="right" w:leader="dot" w:pos="9016"/>
            </w:tabs>
            <w:rPr>
              <w:rFonts w:eastAsiaTheme="minorEastAsia"/>
              <w:noProof/>
              <w:lang w:val="en-IN" w:eastAsia="en-IN"/>
            </w:rPr>
          </w:pPr>
          <w:hyperlink w:anchor="_Toc22630732" w:history="1">
            <w:r w:rsidR="00F6079D" w:rsidRPr="0073646F">
              <w:rPr>
                <w:rStyle w:val="Hyperlink"/>
                <w:rFonts w:ascii="Times New Roman" w:hAnsi="Times New Roman" w:cs="Times New Roman"/>
                <w:b/>
                <w:noProof/>
                <w:lang w:bidi="hi-IN"/>
              </w:rPr>
              <w:t>4.</w:t>
            </w:r>
            <w:r w:rsidR="00F6079D">
              <w:rPr>
                <w:rFonts w:eastAsiaTheme="minorEastAsia"/>
                <w:noProof/>
                <w:lang w:val="en-IN" w:eastAsia="en-IN"/>
              </w:rPr>
              <w:tab/>
            </w:r>
            <w:r w:rsidR="00F6079D" w:rsidRPr="0073646F">
              <w:rPr>
                <w:rStyle w:val="Hyperlink"/>
                <w:rFonts w:ascii="Times New Roman" w:hAnsi="Times New Roman" w:cs="Times New Roman"/>
                <w:b/>
                <w:noProof/>
                <w:lang w:bidi="hi-IN"/>
              </w:rPr>
              <w:t>The GAINS model</w:t>
            </w:r>
            <w:r w:rsidR="00F6079D">
              <w:rPr>
                <w:noProof/>
                <w:webHidden/>
              </w:rPr>
              <w:tab/>
            </w:r>
            <w:r w:rsidR="00F6079D">
              <w:rPr>
                <w:noProof/>
                <w:webHidden/>
              </w:rPr>
              <w:fldChar w:fldCharType="begin"/>
            </w:r>
            <w:r w:rsidR="00F6079D">
              <w:rPr>
                <w:noProof/>
                <w:webHidden/>
              </w:rPr>
              <w:instrText xml:space="preserve"> PAGEREF _Toc22630732 \h </w:instrText>
            </w:r>
            <w:r w:rsidR="00F6079D">
              <w:rPr>
                <w:noProof/>
                <w:webHidden/>
              </w:rPr>
            </w:r>
            <w:r w:rsidR="00F6079D">
              <w:rPr>
                <w:noProof/>
                <w:webHidden/>
              </w:rPr>
              <w:fldChar w:fldCharType="separate"/>
            </w:r>
            <w:r w:rsidR="00F6079D">
              <w:rPr>
                <w:noProof/>
                <w:webHidden/>
              </w:rPr>
              <w:t>8</w:t>
            </w:r>
            <w:r w:rsidR="00F6079D">
              <w:rPr>
                <w:noProof/>
                <w:webHidden/>
              </w:rPr>
              <w:fldChar w:fldCharType="end"/>
            </w:r>
          </w:hyperlink>
        </w:p>
        <w:p w14:paraId="57D5B029" w14:textId="77777777" w:rsidR="00F6079D" w:rsidRDefault="001C1EBF">
          <w:pPr>
            <w:pStyle w:val="TOC1"/>
            <w:tabs>
              <w:tab w:val="left" w:pos="440"/>
              <w:tab w:val="right" w:leader="dot" w:pos="9016"/>
            </w:tabs>
            <w:rPr>
              <w:rFonts w:eastAsiaTheme="minorEastAsia"/>
              <w:noProof/>
              <w:lang w:val="en-IN" w:eastAsia="en-IN"/>
            </w:rPr>
          </w:pPr>
          <w:hyperlink w:anchor="_Toc22630733" w:history="1">
            <w:r w:rsidR="00F6079D" w:rsidRPr="0073646F">
              <w:rPr>
                <w:rStyle w:val="Hyperlink"/>
                <w:rFonts w:ascii="Times New Roman" w:hAnsi="Times New Roman" w:cs="Times New Roman"/>
                <w:b/>
                <w:noProof/>
                <w:lang w:bidi="hi-IN"/>
              </w:rPr>
              <w:t>5.</w:t>
            </w:r>
            <w:r w:rsidR="00F6079D">
              <w:rPr>
                <w:rFonts w:eastAsiaTheme="minorEastAsia"/>
                <w:noProof/>
                <w:lang w:val="en-IN" w:eastAsia="en-IN"/>
              </w:rPr>
              <w:tab/>
            </w:r>
            <w:r w:rsidR="00F6079D" w:rsidRPr="0073646F">
              <w:rPr>
                <w:rStyle w:val="Hyperlink"/>
                <w:rFonts w:ascii="Times New Roman" w:hAnsi="Times New Roman" w:cs="Times New Roman"/>
                <w:b/>
                <w:noProof/>
                <w:lang w:bidi="hi-IN"/>
              </w:rPr>
              <w:t>Major city-specific policies in place for Kolkata</w:t>
            </w:r>
            <w:r w:rsidR="00F6079D">
              <w:rPr>
                <w:noProof/>
                <w:webHidden/>
              </w:rPr>
              <w:tab/>
            </w:r>
            <w:r w:rsidR="00F6079D">
              <w:rPr>
                <w:noProof/>
                <w:webHidden/>
              </w:rPr>
              <w:fldChar w:fldCharType="begin"/>
            </w:r>
            <w:r w:rsidR="00F6079D">
              <w:rPr>
                <w:noProof/>
                <w:webHidden/>
              </w:rPr>
              <w:instrText xml:space="preserve"> PAGEREF _Toc22630733 \h </w:instrText>
            </w:r>
            <w:r w:rsidR="00F6079D">
              <w:rPr>
                <w:noProof/>
                <w:webHidden/>
              </w:rPr>
            </w:r>
            <w:r w:rsidR="00F6079D">
              <w:rPr>
                <w:noProof/>
                <w:webHidden/>
              </w:rPr>
              <w:fldChar w:fldCharType="separate"/>
            </w:r>
            <w:r w:rsidR="00F6079D">
              <w:rPr>
                <w:noProof/>
                <w:webHidden/>
              </w:rPr>
              <w:t>9</w:t>
            </w:r>
            <w:r w:rsidR="00F6079D">
              <w:rPr>
                <w:noProof/>
                <w:webHidden/>
              </w:rPr>
              <w:fldChar w:fldCharType="end"/>
            </w:r>
          </w:hyperlink>
        </w:p>
        <w:p w14:paraId="3BD3EC56" w14:textId="77777777" w:rsidR="00F6079D" w:rsidRDefault="001C1EBF">
          <w:pPr>
            <w:pStyle w:val="TOC1"/>
            <w:tabs>
              <w:tab w:val="left" w:pos="440"/>
              <w:tab w:val="right" w:leader="dot" w:pos="9016"/>
            </w:tabs>
            <w:rPr>
              <w:rFonts w:eastAsiaTheme="minorEastAsia"/>
              <w:noProof/>
              <w:lang w:val="en-IN" w:eastAsia="en-IN"/>
            </w:rPr>
          </w:pPr>
          <w:hyperlink w:anchor="_Toc22630734" w:history="1">
            <w:r w:rsidR="00F6079D" w:rsidRPr="0073646F">
              <w:rPr>
                <w:rStyle w:val="Hyperlink"/>
                <w:rFonts w:ascii="Times New Roman" w:hAnsi="Times New Roman" w:cs="Times New Roman"/>
                <w:b/>
                <w:noProof/>
                <w:lang w:bidi="hi-IN"/>
              </w:rPr>
              <w:t>6.</w:t>
            </w:r>
            <w:r w:rsidR="00F6079D">
              <w:rPr>
                <w:rFonts w:eastAsiaTheme="minorEastAsia"/>
                <w:noProof/>
                <w:lang w:val="en-IN" w:eastAsia="en-IN"/>
              </w:rPr>
              <w:tab/>
            </w:r>
            <w:r w:rsidR="00F6079D" w:rsidRPr="0073646F">
              <w:rPr>
                <w:rStyle w:val="Hyperlink"/>
                <w:rFonts w:ascii="Times New Roman" w:hAnsi="Times New Roman" w:cs="Times New Roman"/>
                <w:b/>
                <w:noProof/>
                <w:lang w:bidi="hi-IN"/>
              </w:rPr>
              <w:t>Multi-pollutant emissions inventory for Kolkata Metropolitan City (KMC)</w:t>
            </w:r>
            <w:r w:rsidR="00F6079D">
              <w:rPr>
                <w:noProof/>
                <w:webHidden/>
              </w:rPr>
              <w:tab/>
            </w:r>
            <w:r w:rsidR="00F6079D">
              <w:rPr>
                <w:noProof/>
                <w:webHidden/>
              </w:rPr>
              <w:fldChar w:fldCharType="begin"/>
            </w:r>
            <w:r w:rsidR="00F6079D">
              <w:rPr>
                <w:noProof/>
                <w:webHidden/>
              </w:rPr>
              <w:instrText xml:space="preserve"> PAGEREF _Toc22630734 \h </w:instrText>
            </w:r>
            <w:r w:rsidR="00F6079D">
              <w:rPr>
                <w:noProof/>
                <w:webHidden/>
              </w:rPr>
            </w:r>
            <w:r w:rsidR="00F6079D">
              <w:rPr>
                <w:noProof/>
                <w:webHidden/>
              </w:rPr>
              <w:fldChar w:fldCharType="separate"/>
            </w:r>
            <w:r w:rsidR="00F6079D">
              <w:rPr>
                <w:noProof/>
                <w:webHidden/>
              </w:rPr>
              <w:t>10</w:t>
            </w:r>
            <w:r w:rsidR="00F6079D">
              <w:rPr>
                <w:noProof/>
                <w:webHidden/>
              </w:rPr>
              <w:fldChar w:fldCharType="end"/>
            </w:r>
          </w:hyperlink>
        </w:p>
        <w:p w14:paraId="4C1E781B" w14:textId="77777777" w:rsidR="00F6079D" w:rsidRDefault="001C1EBF">
          <w:pPr>
            <w:pStyle w:val="TOC2"/>
            <w:tabs>
              <w:tab w:val="left" w:pos="880"/>
              <w:tab w:val="right" w:leader="dot" w:pos="9016"/>
            </w:tabs>
            <w:rPr>
              <w:rFonts w:cstheme="minorBidi"/>
              <w:noProof/>
              <w:lang w:val="en-IN" w:eastAsia="en-IN"/>
            </w:rPr>
          </w:pPr>
          <w:hyperlink w:anchor="_Toc22630735" w:history="1">
            <w:r w:rsidR="00F6079D" w:rsidRPr="0073646F">
              <w:rPr>
                <w:rStyle w:val="Hyperlink"/>
                <w:rFonts w:ascii="Times New Roman" w:hAnsi="Times New Roman"/>
                <w:noProof/>
                <w:lang w:bidi="hi-IN"/>
              </w:rPr>
              <w:t>6.1</w:t>
            </w:r>
            <w:r w:rsidR="00F6079D">
              <w:rPr>
                <w:rFonts w:cstheme="minorBidi"/>
                <w:noProof/>
                <w:lang w:val="en-IN" w:eastAsia="en-IN"/>
              </w:rPr>
              <w:tab/>
            </w:r>
            <w:r w:rsidR="00F6079D" w:rsidRPr="0073646F">
              <w:rPr>
                <w:rStyle w:val="Hyperlink"/>
                <w:rFonts w:ascii="Times New Roman" w:hAnsi="Times New Roman"/>
                <w:noProof/>
                <w:lang w:bidi="hi-IN"/>
              </w:rPr>
              <w:t>Industrial Sector</w:t>
            </w:r>
            <w:r w:rsidR="00F6079D">
              <w:rPr>
                <w:noProof/>
                <w:webHidden/>
              </w:rPr>
              <w:tab/>
            </w:r>
            <w:r w:rsidR="00F6079D">
              <w:rPr>
                <w:noProof/>
                <w:webHidden/>
              </w:rPr>
              <w:fldChar w:fldCharType="begin"/>
            </w:r>
            <w:r w:rsidR="00F6079D">
              <w:rPr>
                <w:noProof/>
                <w:webHidden/>
              </w:rPr>
              <w:instrText xml:space="preserve"> PAGEREF _Toc22630735 \h </w:instrText>
            </w:r>
            <w:r w:rsidR="00F6079D">
              <w:rPr>
                <w:noProof/>
                <w:webHidden/>
              </w:rPr>
            </w:r>
            <w:r w:rsidR="00F6079D">
              <w:rPr>
                <w:noProof/>
                <w:webHidden/>
              </w:rPr>
              <w:fldChar w:fldCharType="separate"/>
            </w:r>
            <w:r w:rsidR="00F6079D">
              <w:rPr>
                <w:noProof/>
                <w:webHidden/>
              </w:rPr>
              <w:t>10</w:t>
            </w:r>
            <w:r w:rsidR="00F6079D">
              <w:rPr>
                <w:noProof/>
                <w:webHidden/>
              </w:rPr>
              <w:fldChar w:fldCharType="end"/>
            </w:r>
          </w:hyperlink>
        </w:p>
        <w:p w14:paraId="47F28DFB" w14:textId="77777777" w:rsidR="00F6079D" w:rsidRDefault="001C1EBF">
          <w:pPr>
            <w:pStyle w:val="TOC2"/>
            <w:tabs>
              <w:tab w:val="left" w:pos="880"/>
              <w:tab w:val="right" w:leader="dot" w:pos="9016"/>
            </w:tabs>
            <w:rPr>
              <w:rFonts w:cstheme="minorBidi"/>
              <w:noProof/>
              <w:lang w:val="en-IN" w:eastAsia="en-IN"/>
            </w:rPr>
          </w:pPr>
          <w:hyperlink w:anchor="_Toc22630736" w:history="1">
            <w:r w:rsidR="00F6079D" w:rsidRPr="0073646F">
              <w:rPr>
                <w:rStyle w:val="Hyperlink"/>
                <w:rFonts w:ascii="Times New Roman" w:hAnsi="Times New Roman"/>
                <w:noProof/>
                <w:lang w:bidi="hi-IN"/>
              </w:rPr>
              <w:t>6.2</w:t>
            </w:r>
            <w:r w:rsidR="00F6079D">
              <w:rPr>
                <w:rFonts w:cstheme="minorBidi"/>
                <w:noProof/>
                <w:lang w:val="en-IN" w:eastAsia="en-IN"/>
              </w:rPr>
              <w:tab/>
            </w:r>
            <w:r w:rsidR="00F6079D" w:rsidRPr="0073646F">
              <w:rPr>
                <w:rStyle w:val="Hyperlink"/>
                <w:rFonts w:ascii="Times New Roman" w:hAnsi="Times New Roman"/>
                <w:noProof/>
                <w:lang w:bidi="hi-IN"/>
              </w:rPr>
              <w:t>Power sector</w:t>
            </w:r>
            <w:r w:rsidR="00F6079D">
              <w:rPr>
                <w:noProof/>
                <w:webHidden/>
              </w:rPr>
              <w:tab/>
            </w:r>
            <w:r w:rsidR="00F6079D">
              <w:rPr>
                <w:noProof/>
                <w:webHidden/>
              </w:rPr>
              <w:fldChar w:fldCharType="begin"/>
            </w:r>
            <w:r w:rsidR="00F6079D">
              <w:rPr>
                <w:noProof/>
                <w:webHidden/>
              </w:rPr>
              <w:instrText xml:space="preserve"> PAGEREF _Toc22630736 \h </w:instrText>
            </w:r>
            <w:r w:rsidR="00F6079D">
              <w:rPr>
                <w:noProof/>
                <w:webHidden/>
              </w:rPr>
            </w:r>
            <w:r w:rsidR="00F6079D">
              <w:rPr>
                <w:noProof/>
                <w:webHidden/>
              </w:rPr>
              <w:fldChar w:fldCharType="separate"/>
            </w:r>
            <w:r w:rsidR="00F6079D">
              <w:rPr>
                <w:noProof/>
                <w:webHidden/>
              </w:rPr>
              <w:t>10</w:t>
            </w:r>
            <w:r w:rsidR="00F6079D">
              <w:rPr>
                <w:noProof/>
                <w:webHidden/>
              </w:rPr>
              <w:fldChar w:fldCharType="end"/>
            </w:r>
          </w:hyperlink>
        </w:p>
        <w:p w14:paraId="3F3DBEC9" w14:textId="77777777" w:rsidR="00F6079D" w:rsidRDefault="001C1EBF">
          <w:pPr>
            <w:pStyle w:val="TOC2"/>
            <w:tabs>
              <w:tab w:val="left" w:pos="880"/>
              <w:tab w:val="right" w:leader="dot" w:pos="9016"/>
            </w:tabs>
            <w:rPr>
              <w:rFonts w:cstheme="minorBidi"/>
              <w:noProof/>
              <w:lang w:val="en-IN" w:eastAsia="en-IN"/>
            </w:rPr>
          </w:pPr>
          <w:hyperlink w:anchor="_Toc22630737" w:history="1">
            <w:r w:rsidR="00F6079D" w:rsidRPr="0073646F">
              <w:rPr>
                <w:rStyle w:val="Hyperlink"/>
                <w:rFonts w:ascii="Times New Roman" w:hAnsi="Times New Roman"/>
                <w:noProof/>
                <w:lang w:bidi="hi-IN"/>
              </w:rPr>
              <w:t>6.3</w:t>
            </w:r>
            <w:r w:rsidR="00F6079D">
              <w:rPr>
                <w:rFonts w:cstheme="minorBidi"/>
                <w:noProof/>
                <w:lang w:val="en-IN" w:eastAsia="en-IN"/>
              </w:rPr>
              <w:tab/>
            </w:r>
            <w:r w:rsidR="00F6079D" w:rsidRPr="0073646F">
              <w:rPr>
                <w:rStyle w:val="Hyperlink"/>
                <w:rFonts w:ascii="Times New Roman" w:hAnsi="Times New Roman"/>
                <w:noProof/>
                <w:lang w:bidi="hi-IN"/>
              </w:rPr>
              <w:t>Domestic sector</w:t>
            </w:r>
            <w:r w:rsidR="00F6079D">
              <w:rPr>
                <w:noProof/>
                <w:webHidden/>
              </w:rPr>
              <w:tab/>
            </w:r>
            <w:r w:rsidR="00F6079D">
              <w:rPr>
                <w:noProof/>
                <w:webHidden/>
              </w:rPr>
              <w:fldChar w:fldCharType="begin"/>
            </w:r>
            <w:r w:rsidR="00F6079D">
              <w:rPr>
                <w:noProof/>
                <w:webHidden/>
              </w:rPr>
              <w:instrText xml:space="preserve"> PAGEREF _Toc22630737 \h </w:instrText>
            </w:r>
            <w:r w:rsidR="00F6079D">
              <w:rPr>
                <w:noProof/>
                <w:webHidden/>
              </w:rPr>
            </w:r>
            <w:r w:rsidR="00F6079D">
              <w:rPr>
                <w:noProof/>
                <w:webHidden/>
              </w:rPr>
              <w:fldChar w:fldCharType="separate"/>
            </w:r>
            <w:r w:rsidR="00F6079D">
              <w:rPr>
                <w:noProof/>
                <w:webHidden/>
              </w:rPr>
              <w:t>11</w:t>
            </w:r>
            <w:r w:rsidR="00F6079D">
              <w:rPr>
                <w:noProof/>
                <w:webHidden/>
              </w:rPr>
              <w:fldChar w:fldCharType="end"/>
            </w:r>
          </w:hyperlink>
        </w:p>
        <w:p w14:paraId="3ECCEE60" w14:textId="77777777" w:rsidR="00F6079D" w:rsidRDefault="001C1EBF">
          <w:pPr>
            <w:pStyle w:val="TOC2"/>
            <w:tabs>
              <w:tab w:val="left" w:pos="880"/>
              <w:tab w:val="right" w:leader="dot" w:pos="9016"/>
            </w:tabs>
            <w:rPr>
              <w:rFonts w:cstheme="minorBidi"/>
              <w:noProof/>
              <w:lang w:val="en-IN" w:eastAsia="en-IN"/>
            </w:rPr>
          </w:pPr>
          <w:hyperlink w:anchor="_Toc22630738" w:history="1">
            <w:r w:rsidR="00F6079D" w:rsidRPr="0073646F">
              <w:rPr>
                <w:rStyle w:val="Hyperlink"/>
                <w:rFonts w:ascii="Times New Roman" w:hAnsi="Times New Roman"/>
                <w:noProof/>
                <w:lang w:bidi="hi-IN"/>
              </w:rPr>
              <w:t>6.4</w:t>
            </w:r>
            <w:r w:rsidR="00F6079D">
              <w:rPr>
                <w:rFonts w:cstheme="minorBidi"/>
                <w:noProof/>
                <w:lang w:val="en-IN" w:eastAsia="en-IN"/>
              </w:rPr>
              <w:tab/>
            </w:r>
            <w:r w:rsidR="00F6079D" w:rsidRPr="0073646F">
              <w:rPr>
                <w:rStyle w:val="Hyperlink"/>
                <w:rFonts w:ascii="Times New Roman" w:hAnsi="Times New Roman"/>
                <w:noProof/>
                <w:lang w:bidi="hi-IN"/>
              </w:rPr>
              <w:t>Waste sector</w:t>
            </w:r>
            <w:r w:rsidR="00F6079D">
              <w:rPr>
                <w:noProof/>
                <w:webHidden/>
              </w:rPr>
              <w:tab/>
            </w:r>
            <w:r w:rsidR="00F6079D">
              <w:rPr>
                <w:noProof/>
                <w:webHidden/>
              </w:rPr>
              <w:fldChar w:fldCharType="begin"/>
            </w:r>
            <w:r w:rsidR="00F6079D">
              <w:rPr>
                <w:noProof/>
                <w:webHidden/>
              </w:rPr>
              <w:instrText xml:space="preserve"> PAGEREF _Toc22630738 \h </w:instrText>
            </w:r>
            <w:r w:rsidR="00F6079D">
              <w:rPr>
                <w:noProof/>
                <w:webHidden/>
              </w:rPr>
            </w:r>
            <w:r w:rsidR="00F6079D">
              <w:rPr>
                <w:noProof/>
                <w:webHidden/>
              </w:rPr>
              <w:fldChar w:fldCharType="separate"/>
            </w:r>
            <w:r w:rsidR="00F6079D">
              <w:rPr>
                <w:noProof/>
                <w:webHidden/>
              </w:rPr>
              <w:t>12</w:t>
            </w:r>
            <w:r w:rsidR="00F6079D">
              <w:rPr>
                <w:noProof/>
                <w:webHidden/>
              </w:rPr>
              <w:fldChar w:fldCharType="end"/>
            </w:r>
          </w:hyperlink>
        </w:p>
        <w:p w14:paraId="56E1AC0B" w14:textId="77777777" w:rsidR="00F6079D" w:rsidRDefault="001C1EBF">
          <w:pPr>
            <w:pStyle w:val="TOC2"/>
            <w:tabs>
              <w:tab w:val="left" w:pos="880"/>
              <w:tab w:val="right" w:leader="dot" w:pos="9016"/>
            </w:tabs>
            <w:rPr>
              <w:rFonts w:cstheme="minorBidi"/>
              <w:noProof/>
              <w:lang w:val="en-IN" w:eastAsia="en-IN"/>
            </w:rPr>
          </w:pPr>
          <w:hyperlink w:anchor="_Toc22630739" w:history="1">
            <w:r w:rsidR="00F6079D" w:rsidRPr="0073646F">
              <w:rPr>
                <w:rStyle w:val="Hyperlink"/>
                <w:rFonts w:ascii="Times New Roman" w:hAnsi="Times New Roman"/>
                <w:noProof/>
                <w:lang w:bidi="hi-IN"/>
              </w:rPr>
              <w:t>6.5</w:t>
            </w:r>
            <w:r w:rsidR="00F6079D">
              <w:rPr>
                <w:rFonts w:cstheme="minorBidi"/>
                <w:noProof/>
                <w:lang w:val="en-IN" w:eastAsia="en-IN"/>
              </w:rPr>
              <w:tab/>
            </w:r>
            <w:r w:rsidR="00F6079D" w:rsidRPr="0073646F">
              <w:rPr>
                <w:rStyle w:val="Hyperlink"/>
                <w:rFonts w:ascii="Times New Roman" w:hAnsi="Times New Roman"/>
                <w:noProof/>
                <w:lang w:bidi="hi-IN"/>
              </w:rPr>
              <w:t>Construction sector</w:t>
            </w:r>
            <w:r w:rsidR="00F6079D">
              <w:rPr>
                <w:noProof/>
                <w:webHidden/>
              </w:rPr>
              <w:tab/>
            </w:r>
            <w:r w:rsidR="00F6079D">
              <w:rPr>
                <w:noProof/>
                <w:webHidden/>
              </w:rPr>
              <w:fldChar w:fldCharType="begin"/>
            </w:r>
            <w:r w:rsidR="00F6079D">
              <w:rPr>
                <w:noProof/>
                <w:webHidden/>
              </w:rPr>
              <w:instrText xml:space="preserve"> PAGEREF _Toc22630739 \h </w:instrText>
            </w:r>
            <w:r w:rsidR="00F6079D">
              <w:rPr>
                <w:noProof/>
                <w:webHidden/>
              </w:rPr>
            </w:r>
            <w:r w:rsidR="00F6079D">
              <w:rPr>
                <w:noProof/>
                <w:webHidden/>
              </w:rPr>
              <w:fldChar w:fldCharType="separate"/>
            </w:r>
            <w:r w:rsidR="00F6079D">
              <w:rPr>
                <w:noProof/>
                <w:webHidden/>
              </w:rPr>
              <w:t>12</w:t>
            </w:r>
            <w:r w:rsidR="00F6079D">
              <w:rPr>
                <w:noProof/>
                <w:webHidden/>
              </w:rPr>
              <w:fldChar w:fldCharType="end"/>
            </w:r>
          </w:hyperlink>
        </w:p>
        <w:p w14:paraId="2A9213AA" w14:textId="77777777" w:rsidR="00F6079D" w:rsidRDefault="001C1EBF">
          <w:pPr>
            <w:pStyle w:val="TOC2"/>
            <w:tabs>
              <w:tab w:val="left" w:pos="880"/>
              <w:tab w:val="right" w:leader="dot" w:pos="9016"/>
            </w:tabs>
            <w:rPr>
              <w:rFonts w:cstheme="minorBidi"/>
              <w:noProof/>
              <w:lang w:val="en-IN" w:eastAsia="en-IN"/>
            </w:rPr>
          </w:pPr>
          <w:hyperlink w:anchor="_Toc22630740" w:history="1">
            <w:r w:rsidR="00F6079D" w:rsidRPr="0073646F">
              <w:rPr>
                <w:rStyle w:val="Hyperlink"/>
                <w:rFonts w:ascii="Times New Roman" w:hAnsi="Times New Roman"/>
                <w:noProof/>
                <w:lang w:bidi="hi-IN"/>
              </w:rPr>
              <w:t>6.6</w:t>
            </w:r>
            <w:r w:rsidR="00F6079D">
              <w:rPr>
                <w:rFonts w:cstheme="minorBidi"/>
                <w:noProof/>
                <w:lang w:val="en-IN" w:eastAsia="en-IN"/>
              </w:rPr>
              <w:tab/>
            </w:r>
            <w:r w:rsidR="00F6079D" w:rsidRPr="0073646F">
              <w:rPr>
                <w:rStyle w:val="Hyperlink"/>
                <w:rFonts w:ascii="Times New Roman" w:hAnsi="Times New Roman"/>
                <w:noProof/>
                <w:lang w:bidi="hi-IN"/>
              </w:rPr>
              <w:t>Agriculture sector</w:t>
            </w:r>
            <w:r w:rsidR="00F6079D">
              <w:rPr>
                <w:noProof/>
                <w:webHidden/>
              </w:rPr>
              <w:tab/>
            </w:r>
            <w:r w:rsidR="00F6079D">
              <w:rPr>
                <w:noProof/>
                <w:webHidden/>
              </w:rPr>
              <w:fldChar w:fldCharType="begin"/>
            </w:r>
            <w:r w:rsidR="00F6079D">
              <w:rPr>
                <w:noProof/>
                <w:webHidden/>
              </w:rPr>
              <w:instrText xml:space="preserve"> PAGEREF _Toc22630740 \h </w:instrText>
            </w:r>
            <w:r w:rsidR="00F6079D">
              <w:rPr>
                <w:noProof/>
                <w:webHidden/>
              </w:rPr>
            </w:r>
            <w:r w:rsidR="00F6079D">
              <w:rPr>
                <w:noProof/>
                <w:webHidden/>
              </w:rPr>
              <w:fldChar w:fldCharType="separate"/>
            </w:r>
            <w:r w:rsidR="00F6079D">
              <w:rPr>
                <w:noProof/>
                <w:webHidden/>
              </w:rPr>
              <w:t>13</w:t>
            </w:r>
            <w:r w:rsidR="00F6079D">
              <w:rPr>
                <w:noProof/>
                <w:webHidden/>
              </w:rPr>
              <w:fldChar w:fldCharType="end"/>
            </w:r>
          </w:hyperlink>
        </w:p>
        <w:p w14:paraId="4109294A" w14:textId="77777777" w:rsidR="00F6079D" w:rsidRDefault="001C1EBF">
          <w:pPr>
            <w:pStyle w:val="TOC2"/>
            <w:tabs>
              <w:tab w:val="left" w:pos="880"/>
              <w:tab w:val="right" w:leader="dot" w:pos="9016"/>
            </w:tabs>
            <w:rPr>
              <w:rFonts w:cstheme="minorBidi"/>
              <w:noProof/>
              <w:lang w:val="en-IN" w:eastAsia="en-IN"/>
            </w:rPr>
          </w:pPr>
          <w:hyperlink w:anchor="_Toc22630742" w:history="1">
            <w:r w:rsidR="00F6079D" w:rsidRPr="0073646F">
              <w:rPr>
                <w:rStyle w:val="Hyperlink"/>
                <w:rFonts w:ascii="Times New Roman" w:hAnsi="Times New Roman"/>
                <w:noProof/>
                <w:lang w:bidi="hi-IN"/>
              </w:rPr>
              <w:t>6.7</w:t>
            </w:r>
            <w:r w:rsidR="00F6079D">
              <w:rPr>
                <w:rFonts w:cstheme="minorBidi"/>
                <w:noProof/>
                <w:lang w:val="en-IN" w:eastAsia="en-IN"/>
              </w:rPr>
              <w:tab/>
            </w:r>
            <w:r w:rsidR="00F6079D" w:rsidRPr="0073646F">
              <w:rPr>
                <w:rStyle w:val="Hyperlink"/>
                <w:rFonts w:ascii="Times New Roman" w:hAnsi="Times New Roman"/>
                <w:noProof/>
                <w:lang w:bidi="hi-IN"/>
              </w:rPr>
              <w:t>Non-road mobile sector</w:t>
            </w:r>
            <w:r w:rsidR="00F6079D">
              <w:rPr>
                <w:noProof/>
                <w:webHidden/>
              </w:rPr>
              <w:tab/>
            </w:r>
            <w:r w:rsidR="00F6079D">
              <w:rPr>
                <w:noProof/>
                <w:webHidden/>
              </w:rPr>
              <w:fldChar w:fldCharType="begin"/>
            </w:r>
            <w:r w:rsidR="00F6079D">
              <w:rPr>
                <w:noProof/>
                <w:webHidden/>
              </w:rPr>
              <w:instrText xml:space="preserve"> PAGEREF _Toc22630742 \h </w:instrText>
            </w:r>
            <w:r w:rsidR="00F6079D">
              <w:rPr>
                <w:noProof/>
                <w:webHidden/>
              </w:rPr>
            </w:r>
            <w:r w:rsidR="00F6079D">
              <w:rPr>
                <w:noProof/>
                <w:webHidden/>
              </w:rPr>
              <w:fldChar w:fldCharType="separate"/>
            </w:r>
            <w:r w:rsidR="00F6079D">
              <w:rPr>
                <w:noProof/>
                <w:webHidden/>
              </w:rPr>
              <w:t>13</w:t>
            </w:r>
            <w:r w:rsidR="00F6079D">
              <w:rPr>
                <w:noProof/>
                <w:webHidden/>
              </w:rPr>
              <w:fldChar w:fldCharType="end"/>
            </w:r>
          </w:hyperlink>
        </w:p>
        <w:p w14:paraId="1781CF22" w14:textId="77777777" w:rsidR="00F6079D" w:rsidRDefault="001C1EBF">
          <w:pPr>
            <w:pStyle w:val="TOC2"/>
            <w:tabs>
              <w:tab w:val="left" w:pos="880"/>
              <w:tab w:val="right" w:leader="dot" w:pos="9016"/>
            </w:tabs>
            <w:rPr>
              <w:rFonts w:cstheme="minorBidi"/>
              <w:noProof/>
              <w:lang w:val="en-IN" w:eastAsia="en-IN"/>
            </w:rPr>
          </w:pPr>
          <w:hyperlink w:anchor="_Toc22630743" w:history="1">
            <w:r w:rsidR="00F6079D" w:rsidRPr="0073646F">
              <w:rPr>
                <w:rStyle w:val="Hyperlink"/>
                <w:rFonts w:ascii="Times New Roman" w:hAnsi="Times New Roman"/>
                <w:noProof/>
                <w:lang w:bidi="hi-IN"/>
              </w:rPr>
              <w:t>6.8</w:t>
            </w:r>
            <w:r w:rsidR="00F6079D">
              <w:rPr>
                <w:rFonts w:cstheme="minorBidi"/>
                <w:noProof/>
                <w:lang w:val="en-IN" w:eastAsia="en-IN"/>
              </w:rPr>
              <w:tab/>
            </w:r>
            <w:r w:rsidR="00F6079D" w:rsidRPr="0073646F">
              <w:rPr>
                <w:rStyle w:val="Hyperlink"/>
                <w:rFonts w:ascii="Times New Roman" w:hAnsi="Times New Roman"/>
                <w:noProof/>
                <w:lang w:bidi="hi-IN"/>
              </w:rPr>
              <w:t>On-road vehicle exhaust</w:t>
            </w:r>
            <w:r w:rsidR="00F6079D">
              <w:rPr>
                <w:noProof/>
                <w:webHidden/>
              </w:rPr>
              <w:tab/>
            </w:r>
            <w:r w:rsidR="00F6079D">
              <w:rPr>
                <w:noProof/>
                <w:webHidden/>
              </w:rPr>
              <w:fldChar w:fldCharType="begin"/>
            </w:r>
            <w:r w:rsidR="00F6079D">
              <w:rPr>
                <w:noProof/>
                <w:webHidden/>
              </w:rPr>
              <w:instrText xml:space="preserve"> PAGEREF _Toc22630743 \h </w:instrText>
            </w:r>
            <w:r w:rsidR="00F6079D">
              <w:rPr>
                <w:noProof/>
                <w:webHidden/>
              </w:rPr>
            </w:r>
            <w:r w:rsidR="00F6079D">
              <w:rPr>
                <w:noProof/>
                <w:webHidden/>
              </w:rPr>
              <w:fldChar w:fldCharType="separate"/>
            </w:r>
            <w:r w:rsidR="00F6079D">
              <w:rPr>
                <w:noProof/>
                <w:webHidden/>
              </w:rPr>
              <w:t>13</w:t>
            </w:r>
            <w:r w:rsidR="00F6079D">
              <w:rPr>
                <w:noProof/>
                <w:webHidden/>
              </w:rPr>
              <w:fldChar w:fldCharType="end"/>
            </w:r>
          </w:hyperlink>
        </w:p>
        <w:p w14:paraId="69F3F742" w14:textId="77777777" w:rsidR="00F6079D" w:rsidRDefault="001C1EBF">
          <w:pPr>
            <w:pStyle w:val="TOC1"/>
            <w:tabs>
              <w:tab w:val="left" w:pos="440"/>
              <w:tab w:val="right" w:leader="dot" w:pos="9016"/>
            </w:tabs>
            <w:rPr>
              <w:rFonts w:eastAsiaTheme="minorEastAsia"/>
              <w:noProof/>
              <w:lang w:val="en-IN" w:eastAsia="en-IN"/>
            </w:rPr>
          </w:pPr>
          <w:hyperlink w:anchor="_Toc22630744" w:history="1">
            <w:r w:rsidR="00F6079D" w:rsidRPr="0073646F">
              <w:rPr>
                <w:rStyle w:val="Hyperlink"/>
                <w:rFonts w:ascii="Times New Roman" w:hAnsi="Times New Roman" w:cs="Times New Roman"/>
                <w:b/>
                <w:noProof/>
                <w:lang w:bidi="hi-IN"/>
              </w:rPr>
              <w:t>7.</w:t>
            </w:r>
            <w:r w:rsidR="00F6079D">
              <w:rPr>
                <w:rFonts w:eastAsiaTheme="minorEastAsia"/>
                <w:noProof/>
                <w:lang w:val="en-IN" w:eastAsia="en-IN"/>
              </w:rPr>
              <w:tab/>
            </w:r>
            <w:r w:rsidR="00F6079D" w:rsidRPr="0073646F">
              <w:rPr>
                <w:rStyle w:val="Hyperlink"/>
                <w:rFonts w:ascii="Times New Roman" w:hAnsi="Times New Roman" w:cs="Times New Roman"/>
                <w:b/>
                <w:noProof/>
                <w:lang w:bidi="hi-IN"/>
              </w:rPr>
              <w:t>Emission factors</w:t>
            </w:r>
            <w:r w:rsidR="00F6079D">
              <w:rPr>
                <w:noProof/>
                <w:webHidden/>
              </w:rPr>
              <w:tab/>
            </w:r>
            <w:r w:rsidR="00F6079D">
              <w:rPr>
                <w:noProof/>
                <w:webHidden/>
              </w:rPr>
              <w:fldChar w:fldCharType="begin"/>
            </w:r>
            <w:r w:rsidR="00F6079D">
              <w:rPr>
                <w:noProof/>
                <w:webHidden/>
              </w:rPr>
              <w:instrText xml:space="preserve"> PAGEREF _Toc22630744 \h </w:instrText>
            </w:r>
            <w:r w:rsidR="00F6079D">
              <w:rPr>
                <w:noProof/>
                <w:webHidden/>
              </w:rPr>
            </w:r>
            <w:r w:rsidR="00F6079D">
              <w:rPr>
                <w:noProof/>
                <w:webHidden/>
              </w:rPr>
              <w:fldChar w:fldCharType="separate"/>
            </w:r>
            <w:r w:rsidR="00F6079D">
              <w:rPr>
                <w:noProof/>
                <w:webHidden/>
              </w:rPr>
              <w:t>15</w:t>
            </w:r>
            <w:r w:rsidR="00F6079D">
              <w:rPr>
                <w:noProof/>
                <w:webHidden/>
              </w:rPr>
              <w:fldChar w:fldCharType="end"/>
            </w:r>
          </w:hyperlink>
        </w:p>
        <w:p w14:paraId="4F6189C0" w14:textId="77777777" w:rsidR="00F6079D" w:rsidRDefault="001C1EBF">
          <w:pPr>
            <w:pStyle w:val="TOC1"/>
            <w:tabs>
              <w:tab w:val="left" w:pos="440"/>
              <w:tab w:val="right" w:leader="dot" w:pos="9016"/>
            </w:tabs>
            <w:rPr>
              <w:rFonts w:eastAsiaTheme="minorEastAsia"/>
              <w:noProof/>
              <w:lang w:val="en-IN" w:eastAsia="en-IN"/>
            </w:rPr>
          </w:pPr>
          <w:hyperlink w:anchor="_Toc22630745" w:history="1">
            <w:r w:rsidR="00F6079D" w:rsidRPr="0073646F">
              <w:rPr>
                <w:rStyle w:val="Hyperlink"/>
                <w:rFonts w:ascii="Times New Roman" w:hAnsi="Times New Roman" w:cs="Times New Roman"/>
                <w:b/>
                <w:noProof/>
                <w:lang w:bidi="hi-IN"/>
              </w:rPr>
              <w:t>8.</w:t>
            </w:r>
            <w:r w:rsidR="00F6079D">
              <w:rPr>
                <w:rFonts w:eastAsiaTheme="minorEastAsia"/>
                <w:noProof/>
                <w:lang w:val="en-IN" w:eastAsia="en-IN"/>
              </w:rPr>
              <w:tab/>
            </w:r>
            <w:r w:rsidR="00F6079D" w:rsidRPr="0073646F">
              <w:rPr>
                <w:rStyle w:val="Hyperlink"/>
                <w:rFonts w:ascii="Times New Roman" w:hAnsi="Times New Roman" w:cs="Times New Roman"/>
                <w:b/>
                <w:noProof/>
                <w:lang w:bidi="hi-IN"/>
              </w:rPr>
              <w:t>Drivers of future projections for Kolkata</w:t>
            </w:r>
            <w:r w:rsidR="00F6079D">
              <w:rPr>
                <w:noProof/>
                <w:webHidden/>
              </w:rPr>
              <w:tab/>
            </w:r>
            <w:r w:rsidR="00F6079D">
              <w:rPr>
                <w:noProof/>
                <w:webHidden/>
              </w:rPr>
              <w:fldChar w:fldCharType="begin"/>
            </w:r>
            <w:r w:rsidR="00F6079D">
              <w:rPr>
                <w:noProof/>
                <w:webHidden/>
              </w:rPr>
              <w:instrText xml:space="preserve"> PAGEREF _Toc22630745 \h </w:instrText>
            </w:r>
            <w:r w:rsidR="00F6079D">
              <w:rPr>
                <w:noProof/>
                <w:webHidden/>
              </w:rPr>
            </w:r>
            <w:r w:rsidR="00F6079D">
              <w:rPr>
                <w:noProof/>
                <w:webHidden/>
              </w:rPr>
              <w:fldChar w:fldCharType="separate"/>
            </w:r>
            <w:r w:rsidR="00F6079D">
              <w:rPr>
                <w:noProof/>
                <w:webHidden/>
              </w:rPr>
              <w:t>16</w:t>
            </w:r>
            <w:r w:rsidR="00F6079D">
              <w:rPr>
                <w:noProof/>
                <w:webHidden/>
              </w:rPr>
              <w:fldChar w:fldCharType="end"/>
            </w:r>
          </w:hyperlink>
        </w:p>
        <w:p w14:paraId="6BEE5E5E" w14:textId="77777777" w:rsidR="00F6079D" w:rsidRDefault="001C1EBF">
          <w:pPr>
            <w:pStyle w:val="TOC2"/>
            <w:tabs>
              <w:tab w:val="left" w:pos="880"/>
              <w:tab w:val="right" w:leader="dot" w:pos="9016"/>
            </w:tabs>
            <w:rPr>
              <w:rFonts w:cstheme="minorBidi"/>
              <w:noProof/>
              <w:lang w:val="en-IN" w:eastAsia="en-IN"/>
            </w:rPr>
          </w:pPr>
          <w:hyperlink w:anchor="_Toc22630746" w:history="1">
            <w:r w:rsidR="00F6079D" w:rsidRPr="0073646F">
              <w:rPr>
                <w:rStyle w:val="Hyperlink"/>
                <w:rFonts w:ascii="Times New Roman" w:hAnsi="Times New Roman"/>
                <w:noProof/>
                <w:lang w:bidi="hi-IN"/>
              </w:rPr>
              <w:t>8.1</w:t>
            </w:r>
            <w:r w:rsidR="00F6079D">
              <w:rPr>
                <w:rFonts w:cstheme="minorBidi"/>
                <w:noProof/>
                <w:lang w:val="en-IN" w:eastAsia="en-IN"/>
              </w:rPr>
              <w:tab/>
            </w:r>
            <w:r w:rsidR="00F6079D" w:rsidRPr="0073646F">
              <w:rPr>
                <w:rStyle w:val="Hyperlink"/>
                <w:rFonts w:ascii="Times New Roman" w:hAnsi="Times New Roman"/>
                <w:noProof/>
                <w:lang w:bidi="hi-IN"/>
              </w:rPr>
              <w:t>General assumptions:</w:t>
            </w:r>
            <w:r w:rsidR="00F6079D">
              <w:rPr>
                <w:noProof/>
                <w:webHidden/>
              </w:rPr>
              <w:tab/>
            </w:r>
            <w:r w:rsidR="00F6079D">
              <w:rPr>
                <w:noProof/>
                <w:webHidden/>
              </w:rPr>
              <w:fldChar w:fldCharType="begin"/>
            </w:r>
            <w:r w:rsidR="00F6079D">
              <w:rPr>
                <w:noProof/>
                <w:webHidden/>
              </w:rPr>
              <w:instrText xml:space="preserve"> PAGEREF _Toc22630746 \h </w:instrText>
            </w:r>
            <w:r w:rsidR="00F6079D">
              <w:rPr>
                <w:noProof/>
                <w:webHidden/>
              </w:rPr>
            </w:r>
            <w:r w:rsidR="00F6079D">
              <w:rPr>
                <w:noProof/>
                <w:webHidden/>
              </w:rPr>
              <w:fldChar w:fldCharType="separate"/>
            </w:r>
            <w:r w:rsidR="00F6079D">
              <w:rPr>
                <w:noProof/>
                <w:webHidden/>
              </w:rPr>
              <w:t>16</w:t>
            </w:r>
            <w:r w:rsidR="00F6079D">
              <w:rPr>
                <w:noProof/>
                <w:webHidden/>
              </w:rPr>
              <w:fldChar w:fldCharType="end"/>
            </w:r>
          </w:hyperlink>
        </w:p>
        <w:p w14:paraId="32A73143" w14:textId="77777777" w:rsidR="00F6079D" w:rsidRDefault="001C1EBF">
          <w:pPr>
            <w:pStyle w:val="TOC2"/>
            <w:tabs>
              <w:tab w:val="left" w:pos="880"/>
              <w:tab w:val="right" w:leader="dot" w:pos="9016"/>
            </w:tabs>
            <w:rPr>
              <w:rFonts w:cstheme="minorBidi"/>
              <w:noProof/>
              <w:lang w:val="en-IN" w:eastAsia="en-IN"/>
            </w:rPr>
          </w:pPr>
          <w:hyperlink w:anchor="_Toc22630747" w:history="1">
            <w:r w:rsidR="00F6079D" w:rsidRPr="0073646F">
              <w:rPr>
                <w:rStyle w:val="Hyperlink"/>
                <w:rFonts w:ascii="Times New Roman" w:hAnsi="Times New Roman"/>
                <w:noProof/>
                <w:lang w:bidi="hi-IN"/>
              </w:rPr>
              <w:t>8.2</w:t>
            </w:r>
            <w:r w:rsidR="00F6079D">
              <w:rPr>
                <w:rFonts w:cstheme="minorBidi"/>
                <w:noProof/>
                <w:lang w:val="en-IN" w:eastAsia="en-IN"/>
              </w:rPr>
              <w:tab/>
            </w:r>
            <w:r w:rsidR="00F6079D" w:rsidRPr="0073646F">
              <w:rPr>
                <w:rStyle w:val="Hyperlink"/>
                <w:rFonts w:ascii="Times New Roman" w:hAnsi="Times New Roman"/>
                <w:noProof/>
                <w:lang w:bidi="hi-IN"/>
              </w:rPr>
              <w:t>Area sources</w:t>
            </w:r>
            <w:r w:rsidR="00F6079D">
              <w:rPr>
                <w:noProof/>
                <w:webHidden/>
              </w:rPr>
              <w:tab/>
            </w:r>
            <w:r w:rsidR="00F6079D">
              <w:rPr>
                <w:noProof/>
                <w:webHidden/>
              </w:rPr>
              <w:fldChar w:fldCharType="begin"/>
            </w:r>
            <w:r w:rsidR="00F6079D">
              <w:rPr>
                <w:noProof/>
                <w:webHidden/>
              </w:rPr>
              <w:instrText xml:space="preserve"> PAGEREF _Toc22630747 \h </w:instrText>
            </w:r>
            <w:r w:rsidR="00F6079D">
              <w:rPr>
                <w:noProof/>
                <w:webHidden/>
              </w:rPr>
            </w:r>
            <w:r w:rsidR="00F6079D">
              <w:rPr>
                <w:noProof/>
                <w:webHidden/>
              </w:rPr>
              <w:fldChar w:fldCharType="separate"/>
            </w:r>
            <w:r w:rsidR="00F6079D">
              <w:rPr>
                <w:noProof/>
                <w:webHidden/>
              </w:rPr>
              <w:t>17</w:t>
            </w:r>
            <w:r w:rsidR="00F6079D">
              <w:rPr>
                <w:noProof/>
                <w:webHidden/>
              </w:rPr>
              <w:fldChar w:fldCharType="end"/>
            </w:r>
          </w:hyperlink>
        </w:p>
        <w:p w14:paraId="5319AD95" w14:textId="77777777" w:rsidR="00F6079D" w:rsidRDefault="001C1EBF">
          <w:pPr>
            <w:pStyle w:val="TOC2"/>
            <w:tabs>
              <w:tab w:val="left" w:pos="880"/>
              <w:tab w:val="right" w:leader="dot" w:pos="9016"/>
            </w:tabs>
            <w:rPr>
              <w:rFonts w:cstheme="minorBidi"/>
              <w:noProof/>
              <w:lang w:val="en-IN" w:eastAsia="en-IN"/>
            </w:rPr>
          </w:pPr>
          <w:hyperlink w:anchor="_Toc22630749" w:history="1">
            <w:r w:rsidR="00F6079D" w:rsidRPr="0073646F">
              <w:rPr>
                <w:rStyle w:val="Hyperlink"/>
                <w:rFonts w:ascii="Times New Roman" w:hAnsi="Times New Roman"/>
                <w:noProof/>
                <w:lang w:bidi="hi-IN"/>
              </w:rPr>
              <w:t>8.3</w:t>
            </w:r>
            <w:r w:rsidR="00F6079D">
              <w:rPr>
                <w:rFonts w:cstheme="minorBidi"/>
                <w:noProof/>
                <w:lang w:val="en-IN" w:eastAsia="en-IN"/>
              </w:rPr>
              <w:tab/>
            </w:r>
            <w:r w:rsidR="00F6079D" w:rsidRPr="0073646F">
              <w:rPr>
                <w:rStyle w:val="Hyperlink"/>
                <w:rFonts w:ascii="Times New Roman" w:hAnsi="Times New Roman"/>
                <w:noProof/>
                <w:lang w:bidi="hi-IN"/>
              </w:rPr>
              <w:t>Point sources</w:t>
            </w:r>
            <w:r w:rsidR="00F6079D">
              <w:rPr>
                <w:noProof/>
                <w:webHidden/>
              </w:rPr>
              <w:tab/>
            </w:r>
            <w:r w:rsidR="00F6079D">
              <w:rPr>
                <w:noProof/>
                <w:webHidden/>
              </w:rPr>
              <w:fldChar w:fldCharType="begin"/>
            </w:r>
            <w:r w:rsidR="00F6079D">
              <w:rPr>
                <w:noProof/>
                <w:webHidden/>
              </w:rPr>
              <w:instrText xml:space="preserve"> PAGEREF _Toc22630749 \h </w:instrText>
            </w:r>
            <w:r w:rsidR="00F6079D">
              <w:rPr>
                <w:noProof/>
                <w:webHidden/>
              </w:rPr>
            </w:r>
            <w:r w:rsidR="00F6079D">
              <w:rPr>
                <w:noProof/>
                <w:webHidden/>
              </w:rPr>
              <w:fldChar w:fldCharType="separate"/>
            </w:r>
            <w:r w:rsidR="00F6079D">
              <w:rPr>
                <w:noProof/>
                <w:webHidden/>
              </w:rPr>
              <w:t>17</w:t>
            </w:r>
            <w:r w:rsidR="00F6079D">
              <w:rPr>
                <w:noProof/>
                <w:webHidden/>
              </w:rPr>
              <w:fldChar w:fldCharType="end"/>
            </w:r>
          </w:hyperlink>
        </w:p>
        <w:p w14:paraId="1B250998" w14:textId="77777777" w:rsidR="00F6079D" w:rsidRDefault="001C1EBF">
          <w:pPr>
            <w:pStyle w:val="TOC2"/>
            <w:tabs>
              <w:tab w:val="left" w:pos="880"/>
              <w:tab w:val="right" w:leader="dot" w:pos="9016"/>
            </w:tabs>
            <w:rPr>
              <w:rFonts w:cstheme="minorBidi"/>
              <w:noProof/>
              <w:lang w:val="en-IN" w:eastAsia="en-IN"/>
            </w:rPr>
          </w:pPr>
          <w:hyperlink w:anchor="_Toc22630750" w:history="1">
            <w:r w:rsidR="00F6079D" w:rsidRPr="0073646F">
              <w:rPr>
                <w:rStyle w:val="Hyperlink"/>
                <w:rFonts w:ascii="Times New Roman" w:hAnsi="Times New Roman"/>
                <w:noProof/>
                <w:lang w:bidi="hi-IN"/>
              </w:rPr>
              <w:t>8.4</w:t>
            </w:r>
            <w:r w:rsidR="00F6079D">
              <w:rPr>
                <w:rFonts w:cstheme="minorBidi"/>
                <w:noProof/>
                <w:lang w:val="en-IN" w:eastAsia="en-IN"/>
              </w:rPr>
              <w:tab/>
            </w:r>
            <w:r w:rsidR="00F6079D" w:rsidRPr="0073646F">
              <w:rPr>
                <w:rStyle w:val="Hyperlink"/>
                <w:rFonts w:ascii="Times New Roman" w:hAnsi="Times New Roman"/>
                <w:noProof/>
                <w:lang w:bidi="hi-IN"/>
              </w:rPr>
              <w:t>Line source</w:t>
            </w:r>
            <w:r w:rsidR="00F6079D">
              <w:rPr>
                <w:noProof/>
                <w:webHidden/>
              </w:rPr>
              <w:tab/>
            </w:r>
            <w:r w:rsidR="00F6079D">
              <w:rPr>
                <w:noProof/>
                <w:webHidden/>
              </w:rPr>
              <w:fldChar w:fldCharType="begin"/>
            </w:r>
            <w:r w:rsidR="00F6079D">
              <w:rPr>
                <w:noProof/>
                <w:webHidden/>
              </w:rPr>
              <w:instrText xml:space="preserve"> PAGEREF _Toc22630750 \h </w:instrText>
            </w:r>
            <w:r w:rsidR="00F6079D">
              <w:rPr>
                <w:noProof/>
                <w:webHidden/>
              </w:rPr>
            </w:r>
            <w:r w:rsidR="00F6079D">
              <w:rPr>
                <w:noProof/>
                <w:webHidden/>
              </w:rPr>
              <w:fldChar w:fldCharType="separate"/>
            </w:r>
            <w:r w:rsidR="00F6079D">
              <w:rPr>
                <w:noProof/>
                <w:webHidden/>
              </w:rPr>
              <w:t>17</w:t>
            </w:r>
            <w:r w:rsidR="00F6079D">
              <w:rPr>
                <w:noProof/>
                <w:webHidden/>
              </w:rPr>
              <w:fldChar w:fldCharType="end"/>
            </w:r>
          </w:hyperlink>
        </w:p>
        <w:p w14:paraId="76EDC53C" w14:textId="77777777" w:rsidR="00F6079D" w:rsidRDefault="001C1EBF">
          <w:pPr>
            <w:pStyle w:val="TOC2"/>
            <w:tabs>
              <w:tab w:val="left" w:pos="880"/>
              <w:tab w:val="right" w:leader="dot" w:pos="9016"/>
            </w:tabs>
            <w:rPr>
              <w:rFonts w:cstheme="minorBidi"/>
              <w:noProof/>
              <w:lang w:val="en-IN" w:eastAsia="en-IN"/>
            </w:rPr>
          </w:pPr>
          <w:hyperlink w:anchor="_Toc22630751" w:history="1">
            <w:r w:rsidR="00F6079D" w:rsidRPr="0073646F">
              <w:rPr>
                <w:rStyle w:val="Hyperlink"/>
                <w:rFonts w:ascii="Times New Roman" w:hAnsi="Times New Roman"/>
                <w:noProof/>
                <w:lang w:bidi="hi-IN"/>
              </w:rPr>
              <w:t>8.5</w:t>
            </w:r>
            <w:r w:rsidR="00F6079D">
              <w:rPr>
                <w:rFonts w:cstheme="minorBidi"/>
                <w:noProof/>
                <w:lang w:val="en-IN" w:eastAsia="en-IN"/>
              </w:rPr>
              <w:tab/>
            </w:r>
            <w:r w:rsidR="00F6079D" w:rsidRPr="0073646F">
              <w:rPr>
                <w:rStyle w:val="Hyperlink"/>
                <w:rFonts w:ascii="Times New Roman" w:hAnsi="Times New Roman"/>
                <w:noProof/>
                <w:lang w:bidi="hi-IN"/>
              </w:rPr>
              <w:t>Existing control strategies and future projection</w:t>
            </w:r>
            <w:r w:rsidR="00F6079D">
              <w:rPr>
                <w:noProof/>
                <w:webHidden/>
              </w:rPr>
              <w:tab/>
            </w:r>
            <w:r w:rsidR="00F6079D">
              <w:rPr>
                <w:noProof/>
                <w:webHidden/>
              </w:rPr>
              <w:fldChar w:fldCharType="begin"/>
            </w:r>
            <w:r w:rsidR="00F6079D">
              <w:rPr>
                <w:noProof/>
                <w:webHidden/>
              </w:rPr>
              <w:instrText xml:space="preserve"> PAGEREF _Toc22630751 \h </w:instrText>
            </w:r>
            <w:r w:rsidR="00F6079D">
              <w:rPr>
                <w:noProof/>
                <w:webHidden/>
              </w:rPr>
            </w:r>
            <w:r w:rsidR="00F6079D">
              <w:rPr>
                <w:noProof/>
                <w:webHidden/>
              </w:rPr>
              <w:fldChar w:fldCharType="separate"/>
            </w:r>
            <w:r w:rsidR="00F6079D">
              <w:rPr>
                <w:noProof/>
                <w:webHidden/>
              </w:rPr>
              <w:t>18</w:t>
            </w:r>
            <w:r w:rsidR="00F6079D">
              <w:rPr>
                <w:noProof/>
                <w:webHidden/>
              </w:rPr>
              <w:fldChar w:fldCharType="end"/>
            </w:r>
          </w:hyperlink>
        </w:p>
        <w:p w14:paraId="1AB497C5" w14:textId="77777777" w:rsidR="00F6079D" w:rsidRDefault="001C1EBF">
          <w:pPr>
            <w:pStyle w:val="TOC1"/>
            <w:tabs>
              <w:tab w:val="left" w:pos="440"/>
              <w:tab w:val="right" w:leader="dot" w:pos="9016"/>
            </w:tabs>
            <w:rPr>
              <w:rFonts w:eastAsiaTheme="minorEastAsia"/>
              <w:noProof/>
              <w:lang w:val="en-IN" w:eastAsia="en-IN"/>
            </w:rPr>
          </w:pPr>
          <w:hyperlink w:anchor="_Toc22630752" w:history="1">
            <w:r w:rsidR="00F6079D" w:rsidRPr="0073646F">
              <w:rPr>
                <w:rStyle w:val="Hyperlink"/>
                <w:rFonts w:ascii="Times New Roman" w:hAnsi="Times New Roman" w:cs="Times New Roman"/>
                <w:b/>
                <w:noProof/>
                <w:lang w:bidi="hi-IN"/>
              </w:rPr>
              <w:t>9.</w:t>
            </w:r>
            <w:r w:rsidR="00F6079D">
              <w:rPr>
                <w:rFonts w:eastAsiaTheme="minorEastAsia"/>
                <w:noProof/>
                <w:lang w:val="en-IN" w:eastAsia="en-IN"/>
              </w:rPr>
              <w:tab/>
            </w:r>
            <w:r w:rsidR="00F6079D" w:rsidRPr="0073646F">
              <w:rPr>
                <w:rStyle w:val="Hyperlink"/>
                <w:rFonts w:ascii="Times New Roman" w:hAnsi="Times New Roman" w:cs="Times New Roman"/>
                <w:b/>
                <w:noProof/>
                <w:lang w:bidi="hi-IN"/>
              </w:rPr>
              <w:t>Policy consideration under different alternate scenarios.</w:t>
            </w:r>
            <w:r w:rsidR="00F6079D">
              <w:rPr>
                <w:noProof/>
                <w:webHidden/>
              </w:rPr>
              <w:tab/>
            </w:r>
            <w:r w:rsidR="00F6079D">
              <w:rPr>
                <w:noProof/>
                <w:webHidden/>
              </w:rPr>
              <w:fldChar w:fldCharType="begin"/>
            </w:r>
            <w:r w:rsidR="00F6079D">
              <w:rPr>
                <w:noProof/>
                <w:webHidden/>
              </w:rPr>
              <w:instrText xml:space="preserve"> PAGEREF _Toc22630752 \h </w:instrText>
            </w:r>
            <w:r w:rsidR="00F6079D">
              <w:rPr>
                <w:noProof/>
                <w:webHidden/>
              </w:rPr>
            </w:r>
            <w:r w:rsidR="00F6079D">
              <w:rPr>
                <w:noProof/>
                <w:webHidden/>
              </w:rPr>
              <w:fldChar w:fldCharType="separate"/>
            </w:r>
            <w:r w:rsidR="00F6079D">
              <w:rPr>
                <w:noProof/>
                <w:webHidden/>
              </w:rPr>
              <w:t>19</w:t>
            </w:r>
            <w:r w:rsidR="00F6079D">
              <w:rPr>
                <w:noProof/>
                <w:webHidden/>
              </w:rPr>
              <w:fldChar w:fldCharType="end"/>
            </w:r>
          </w:hyperlink>
        </w:p>
        <w:p w14:paraId="1D2F158B" w14:textId="77777777" w:rsidR="00F6079D" w:rsidRDefault="001C1EBF">
          <w:pPr>
            <w:pStyle w:val="TOC1"/>
            <w:tabs>
              <w:tab w:val="left" w:pos="660"/>
              <w:tab w:val="right" w:leader="dot" w:pos="9016"/>
            </w:tabs>
            <w:rPr>
              <w:rFonts w:eastAsiaTheme="minorEastAsia"/>
              <w:noProof/>
              <w:lang w:val="en-IN" w:eastAsia="en-IN"/>
            </w:rPr>
          </w:pPr>
          <w:hyperlink w:anchor="_Toc22630753" w:history="1">
            <w:r w:rsidR="00F6079D" w:rsidRPr="0073646F">
              <w:rPr>
                <w:rStyle w:val="Hyperlink"/>
                <w:rFonts w:ascii="Times New Roman" w:hAnsi="Times New Roman" w:cs="Times New Roman"/>
                <w:b/>
                <w:noProof/>
                <w:lang w:bidi="hi-IN"/>
              </w:rPr>
              <w:t>10.</w:t>
            </w:r>
            <w:r w:rsidR="00F6079D">
              <w:rPr>
                <w:rFonts w:eastAsiaTheme="minorEastAsia"/>
                <w:noProof/>
                <w:lang w:val="en-IN" w:eastAsia="en-IN"/>
              </w:rPr>
              <w:tab/>
            </w:r>
            <w:r w:rsidR="00F6079D" w:rsidRPr="0073646F">
              <w:rPr>
                <w:rStyle w:val="Hyperlink"/>
                <w:rFonts w:ascii="Times New Roman" w:hAnsi="Times New Roman" w:cs="Times New Roman"/>
                <w:b/>
                <w:noProof/>
                <w:lang w:bidi="hi-IN"/>
              </w:rPr>
              <w:t>Comparison of 2015 emissions inventory</w:t>
            </w:r>
            <w:r w:rsidR="00F6079D">
              <w:rPr>
                <w:noProof/>
                <w:webHidden/>
              </w:rPr>
              <w:tab/>
            </w:r>
            <w:r w:rsidR="00F6079D">
              <w:rPr>
                <w:noProof/>
                <w:webHidden/>
              </w:rPr>
              <w:fldChar w:fldCharType="begin"/>
            </w:r>
            <w:r w:rsidR="00F6079D">
              <w:rPr>
                <w:noProof/>
                <w:webHidden/>
              </w:rPr>
              <w:instrText xml:space="preserve"> PAGEREF _Toc22630753 \h </w:instrText>
            </w:r>
            <w:r w:rsidR="00F6079D">
              <w:rPr>
                <w:noProof/>
                <w:webHidden/>
              </w:rPr>
            </w:r>
            <w:r w:rsidR="00F6079D">
              <w:rPr>
                <w:noProof/>
                <w:webHidden/>
              </w:rPr>
              <w:fldChar w:fldCharType="separate"/>
            </w:r>
            <w:r w:rsidR="00F6079D">
              <w:rPr>
                <w:noProof/>
                <w:webHidden/>
              </w:rPr>
              <w:t>21</w:t>
            </w:r>
            <w:r w:rsidR="00F6079D">
              <w:rPr>
                <w:noProof/>
                <w:webHidden/>
              </w:rPr>
              <w:fldChar w:fldCharType="end"/>
            </w:r>
          </w:hyperlink>
        </w:p>
        <w:p w14:paraId="325A3915" w14:textId="77777777" w:rsidR="00F6079D" w:rsidRDefault="001C1EBF">
          <w:pPr>
            <w:pStyle w:val="TOC1"/>
            <w:tabs>
              <w:tab w:val="left" w:pos="660"/>
              <w:tab w:val="right" w:leader="dot" w:pos="9016"/>
            </w:tabs>
            <w:rPr>
              <w:rFonts w:eastAsiaTheme="minorEastAsia"/>
              <w:noProof/>
              <w:lang w:val="en-IN" w:eastAsia="en-IN"/>
            </w:rPr>
          </w:pPr>
          <w:hyperlink w:anchor="_Toc22630754" w:history="1">
            <w:r w:rsidR="00F6079D" w:rsidRPr="0073646F">
              <w:rPr>
                <w:rStyle w:val="Hyperlink"/>
                <w:rFonts w:ascii="Times New Roman" w:hAnsi="Times New Roman" w:cs="Times New Roman"/>
                <w:b/>
                <w:noProof/>
                <w:lang w:bidi="hi-IN"/>
              </w:rPr>
              <w:t>11.</w:t>
            </w:r>
            <w:r w:rsidR="00F6079D">
              <w:rPr>
                <w:rFonts w:eastAsiaTheme="minorEastAsia"/>
                <w:noProof/>
                <w:lang w:val="en-IN" w:eastAsia="en-IN"/>
              </w:rPr>
              <w:tab/>
            </w:r>
            <w:r w:rsidR="00F6079D" w:rsidRPr="0073646F">
              <w:rPr>
                <w:rStyle w:val="Hyperlink"/>
                <w:rFonts w:ascii="Times New Roman" w:hAnsi="Times New Roman" w:cs="Times New Roman"/>
                <w:b/>
                <w:noProof/>
                <w:lang w:bidi="hi-IN"/>
              </w:rPr>
              <w:t>Air pollutant and GHG emissions projected for Kolkata in 2030</w:t>
            </w:r>
            <w:r w:rsidR="00F6079D">
              <w:rPr>
                <w:noProof/>
                <w:webHidden/>
              </w:rPr>
              <w:tab/>
            </w:r>
            <w:r w:rsidR="00F6079D">
              <w:rPr>
                <w:noProof/>
                <w:webHidden/>
              </w:rPr>
              <w:fldChar w:fldCharType="begin"/>
            </w:r>
            <w:r w:rsidR="00F6079D">
              <w:rPr>
                <w:noProof/>
                <w:webHidden/>
              </w:rPr>
              <w:instrText xml:space="preserve"> PAGEREF _Toc22630754 \h </w:instrText>
            </w:r>
            <w:r w:rsidR="00F6079D">
              <w:rPr>
                <w:noProof/>
                <w:webHidden/>
              </w:rPr>
            </w:r>
            <w:r w:rsidR="00F6079D">
              <w:rPr>
                <w:noProof/>
                <w:webHidden/>
              </w:rPr>
              <w:fldChar w:fldCharType="separate"/>
            </w:r>
            <w:r w:rsidR="00F6079D">
              <w:rPr>
                <w:noProof/>
                <w:webHidden/>
              </w:rPr>
              <w:t>24</w:t>
            </w:r>
            <w:r w:rsidR="00F6079D">
              <w:rPr>
                <w:noProof/>
                <w:webHidden/>
              </w:rPr>
              <w:fldChar w:fldCharType="end"/>
            </w:r>
          </w:hyperlink>
        </w:p>
        <w:p w14:paraId="4A4CAE53" w14:textId="77777777" w:rsidR="00F6079D" w:rsidRDefault="001C1EBF">
          <w:pPr>
            <w:pStyle w:val="TOC1"/>
            <w:tabs>
              <w:tab w:val="left" w:pos="660"/>
              <w:tab w:val="right" w:leader="dot" w:pos="9016"/>
            </w:tabs>
            <w:rPr>
              <w:rFonts w:eastAsiaTheme="minorEastAsia"/>
              <w:noProof/>
              <w:lang w:val="en-IN" w:eastAsia="en-IN"/>
            </w:rPr>
          </w:pPr>
          <w:hyperlink w:anchor="_Toc22630755" w:history="1">
            <w:r w:rsidR="00F6079D" w:rsidRPr="0073646F">
              <w:rPr>
                <w:rStyle w:val="Hyperlink"/>
                <w:rFonts w:ascii="Times New Roman" w:hAnsi="Times New Roman" w:cs="Times New Roman"/>
                <w:b/>
                <w:noProof/>
                <w:lang w:bidi="hi-IN"/>
              </w:rPr>
              <w:t>12.</w:t>
            </w:r>
            <w:r w:rsidR="00F6079D">
              <w:rPr>
                <w:rFonts w:eastAsiaTheme="minorEastAsia"/>
                <w:noProof/>
                <w:lang w:val="en-IN" w:eastAsia="en-IN"/>
              </w:rPr>
              <w:tab/>
            </w:r>
            <w:r w:rsidR="00F6079D" w:rsidRPr="0073646F">
              <w:rPr>
                <w:rStyle w:val="Hyperlink"/>
                <w:rFonts w:ascii="Times New Roman" w:hAnsi="Times New Roman" w:cs="Times New Roman"/>
                <w:b/>
                <w:noProof/>
                <w:lang w:bidi="hi-IN"/>
              </w:rPr>
              <w:t>Cost</w:t>
            </w:r>
            <w:r w:rsidR="00F6079D">
              <w:rPr>
                <w:noProof/>
                <w:webHidden/>
              </w:rPr>
              <w:tab/>
            </w:r>
            <w:r w:rsidR="00F6079D">
              <w:rPr>
                <w:noProof/>
                <w:webHidden/>
              </w:rPr>
              <w:fldChar w:fldCharType="begin"/>
            </w:r>
            <w:r w:rsidR="00F6079D">
              <w:rPr>
                <w:noProof/>
                <w:webHidden/>
              </w:rPr>
              <w:instrText xml:space="preserve"> PAGEREF _Toc22630755 \h </w:instrText>
            </w:r>
            <w:r w:rsidR="00F6079D">
              <w:rPr>
                <w:noProof/>
                <w:webHidden/>
              </w:rPr>
            </w:r>
            <w:r w:rsidR="00F6079D">
              <w:rPr>
                <w:noProof/>
                <w:webHidden/>
              </w:rPr>
              <w:fldChar w:fldCharType="separate"/>
            </w:r>
            <w:r w:rsidR="00F6079D">
              <w:rPr>
                <w:noProof/>
                <w:webHidden/>
              </w:rPr>
              <w:t>25</w:t>
            </w:r>
            <w:r w:rsidR="00F6079D">
              <w:rPr>
                <w:noProof/>
                <w:webHidden/>
              </w:rPr>
              <w:fldChar w:fldCharType="end"/>
            </w:r>
          </w:hyperlink>
        </w:p>
        <w:p w14:paraId="7AC87BDE" w14:textId="77777777" w:rsidR="00F6079D" w:rsidRDefault="001C1EBF">
          <w:pPr>
            <w:pStyle w:val="TOC1"/>
            <w:tabs>
              <w:tab w:val="right" w:leader="dot" w:pos="9016"/>
            </w:tabs>
            <w:rPr>
              <w:rFonts w:eastAsiaTheme="minorEastAsia"/>
              <w:noProof/>
              <w:lang w:val="en-IN" w:eastAsia="en-IN"/>
            </w:rPr>
          </w:pPr>
          <w:hyperlink w:anchor="_Toc22630756" w:history="1">
            <w:r w:rsidR="00F6079D" w:rsidRPr="0073646F">
              <w:rPr>
                <w:rStyle w:val="Hyperlink"/>
                <w:rFonts w:ascii="Times New Roman" w:hAnsi="Times New Roman" w:cs="Times New Roman"/>
                <w:b/>
                <w:noProof/>
                <w:lang w:bidi="hi-IN"/>
              </w:rPr>
              <w:t>References</w:t>
            </w:r>
            <w:r w:rsidR="00F6079D">
              <w:rPr>
                <w:noProof/>
                <w:webHidden/>
              </w:rPr>
              <w:tab/>
            </w:r>
            <w:r w:rsidR="00F6079D">
              <w:rPr>
                <w:noProof/>
                <w:webHidden/>
              </w:rPr>
              <w:fldChar w:fldCharType="begin"/>
            </w:r>
            <w:r w:rsidR="00F6079D">
              <w:rPr>
                <w:noProof/>
                <w:webHidden/>
              </w:rPr>
              <w:instrText xml:space="preserve"> PAGEREF _Toc22630756 \h </w:instrText>
            </w:r>
            <w:r w:rsidR="00F6079D">
              <w:rPr>
                <w:noProof/>
                <w:webHidden/>
              </w:rPr>
            </w:r>
            <w:r w:rsidR="00F6079D">
              <w:rPr>
                <w:noProof/>
                <w:webHidden/>
              </w:rPr>
              <w:fldChar w:fldCharType="separate"/>
            </w:r>
            <w:r w:rsidR="00F6079D">
              <w:rPr>
                <w:noProof/>
                <w:webHidden/>
              </w:rPr>
              <w:t>26</w:t>
            </w:r>
            <w:r w:rsidR="00F6079D">
              <w:rPr>
                <w:noProof/>
                <w:webHidden/>
              </w:rPr>
              <w:fldChar w:fldCharType="end"/>
            </w:r>
          </w:hyperlink>
        </w:p>
        <w:p w14:paraId="126490DD" w14:textId="2F438DBC" w:rsidR="001C5298" w:rsidRPr="00AC18ED" w:rsidRDefault="00257DC1" w:rsidP="002A73C5">
          <w:pPr>
            <w:spacing w:after="120" w:line="276" w:lineRule="auto"/>
            <w:rPr>
              <w:rFonts w:ascii="Times New Roman" w:hAnsi="Times New Roman" w:cs="Times New Roman"/>
              <w:bCs/>
              <w:noProof/>
            </w:rPr>
          </w:pPr>
          <w:r w:rsidRPr="001003EB">
            <w:rPr>
              <w:rFonts w:ascii="Times New Roman" w:hAnsi="Times New Roman" w:cs="Times New Roman"/>
              <w:noProof/>
            </w:rPr>
            <w:fldChar w:fldCharType="end"/>
          </w:r>
        </w:p>
      </w:sdtContent>
    </w:sdt>
    <w:p w14:paraId="1ABF4265" w14:textId="77777777" w:rsidR="006A6286" w:rsidRPr="00AC18ED" w:rsidRDefault="006A6286" w:rsidP="00AC18ED">
      <w:pPr>
        <w:pStyle w:val="Heading1"/>
        <w:numPr>
          <w:ilvl w:val="0"/>
          <w:numId w:val="11"/>
        </w:numPr>
        <w:spacing w:before="0" w:after="120" w:line="276" w:lineRule="auto"/>
        <w:rPr>
          <w:rFonts w:ascii="Times New Roman" w:hAnsi="Times New Roman" w:cs="Times New Roman"/>
          <w:b/>
          <w:sz w:val="24"/>
          <w:szCs w:val="22"/>
        </w:rPr>
      </w:pPr>
      <w:bookmarkStart w:id="6" w:name="_Toc477353340"/>
      <w:bookmarkStart w:id="7" w:name="_Toc480988011"/>
      <w:bookmarkStart w:id="8" w:name="_Toc22630729"/>
      <w:r w:rsidRPr="00AC18ED">
        <w:rPr>
          <w:rFonts w:ascii="Times New Roman" w:hAnsi="Times New Roman" w:cs="Times New Roman"/>
          <w:b/>
          <w:sz w:val="24"/>
          <w:szCs w:val="22"/>
        </w:rPr>
        <w:lastRenderedPageBreak/>
        <w:t>Air pollution in Indian cities</w:t>
      </w:r>
      <w:bookmarkEnd w:id="6"/>
      <w:bookmarkEnd w:id="7"/>
      <w:bookmarkEnd w:id="8"/>
    </w:p>
    <w:p w14:paraId="3662D6B0" w14:textId="504B1C15" w:rsidR="006A6286" w:rsidRPr="00AC18ED" w:rsidRDefault="006A6286" w:rsidP="00AC18ED">
      <w:pPr>
        <w:spacing w:after="120" w:line="276" w:lineRule="auto"/>
        <w:jc w:val="both"/>
        <w:rPr>
          <w:rFonts w:ascii="Times New Roman" w:hAnsi="Times New Roman" w:cs="Times New Roman"/>
          <w:szCs w:val="22"/>
        </w:rPr>
      </w:pPr>
      <w:r w:rsidRPr="00AC18ED">
        <w:rPr>
          <w:rFonts w:ascii="Times New Roman" w:hAnsi="Times New Roman" w:cs="Times New Roman"/>
          <w:szCs w:val="22"/>
        </w:rPr>
        <w:t>Air quality is a major cause for concern in India, particularly in cities</w:t>
      </w:r>
      <w:r w:rsidR="003A45E0">
        <w:rPr>
          <w:rFonts w:ascii="Times New Roman" w:hAnsi="Times New Roman" w:cs="Times New Roman"/>
          <w:szCs w:val="22"/>
        </w:rPr>
        <w:t>.</w:t>
      </w:r>
      <w:r w:rsidR="00774A64">
        <w:rPr>
          <w:rFonts w:ascii="Times New Roman" w:hAnsi="Times New Roman" w:cs="Times New Roman"/>
          <w:szCs w:val="22"/>
        </w:rPr>
        <w:t xml:space="preserve"> </w:t>
      </w:r>
      <w:r w:rsidR="003A45E0">
        <w:rPr>
          <w:rFonts w:ascii="Times New Roman" w:hAnsi="Times New Roman" w:cs="Times New Roman"/>
          <w:szCs w:val="22"/>
        </w:rPr>
        <w:t>Air</w:t>
      </w:r>
      <w:r w:rsidRPr="00AC18ED">
        <w:rPr>
          <w:rFonts w:ascii="Times New Roman" w:hAnsi="Times New Roman" w:cs="Times New Roman"/>
          <w:szCs w:val="22"/>
        </w:rPr>
        <w:t xml:space="preserve"> pollutants</w:t>
      </w:r>
      <w:r w:rsidR="003A45E0">
        <w:rPr>
          <w:rFonts w:ascii="Times New Roman" w:hAnsi="Times New Roman" w:cs="Times New Roman"/>
          <w:szCs w:val="22"/>
        </w:rPr>
        <w:t>,</w:t>
      </w:r>
      <w:r w:rsidRPr="00AC18ED">
        <w:rPr>
          <w:rFonts w:ascii="Times New Roman" w:hAnsi="Times New Roman" w:cs="Times New Roman"/>
          <w:szCs w:val="22"/>
        </w:rPr>
        <w:t xml:space="preserve"> including particulate matter (PM), </w:t>
      </w:r>
      <w:r w:rsidR="00E5111B" w:rsidRPr="00AC18ED">
        <w:rPr>
          <w:rFonts w:ascii="Times New Roman" w:hAnsi="Times New Roman" w:cs="Times New Roman"/>
          <w:szCs w:val="22"/>
        </w:rPr>
        <w:t>sul</w:t>
      </w:r>
      <w:r w:rsidR="00E5111B">
        <w:rPr>
          <w:rFonts w:ascii="Times New Roman" w:hAnsi="Times New Roman" w:cs="Times New Roman"/>
          <w:szCs w:val="22"/>
        </w:rPr>
        <w:t>f</w:t>
      </w:r>
      <w:r w:rsidR="00E5111B" w:rsidRPr="00AC18ED">
        <w:rPr>
          <w:rFonts w:ascii="Times New Roman" w:hAnsi="Times New Roman" w:cs="Times New Roman"/>
          <w:szCs w:val="22"/>
        </w:rPr>
        <w:t xml:space="preserve">ur </w:t>
      </w:r>
      <w:r w:rsidRPr="00AC18ED">
        <w:rPr>
          <w:rFonts w:ascii="Times New Roman" w:hAnsi="Times New Roman" w:cs="Times New Roman"/>
          <w:szCs w:val="22"/>
        </w:rPr>
        <w:t>dioxide (SO</w:t>
      </w:r>
      <w:r w:rsidRPr="00AC18ED">
        <w:rPr>
          <w:rFonts w:ascii="Times New Roman" w:hAnsi="Times New Roman" w:cs="Times New Roman"/>
          <w:szCs w:val="22"/>
          <w:vertAlign w:val="subscript"/>
        </w:rPr>
        <w:t>2</w:t>
      </w:r>
      <w:r w:rsidRPr="00AC18ED">
        <w:rPr>
          <w:rFonts w:ascii="Times New Roman" w:hAnsi="Times New Roman" w:cs="Times New Roman"/>
          <w:szCs w:val="22"/>
        </w:rPr>
        <w:t>), nitrogen oxides (NO</w:t>
      </w:r>
      <w:r w:rsidRPr="002A73C5">
        <w:rPr>
          <w:rFonts w:ascii="Times New Roman" w:hAnsi="Times New Roman"/>
          <w:vertAlign w:val="subscript"/>
        </w:rPr>
        <w:t>x</w:t>
      </w:r>
      <w:r w:rsidRPr="00AC18ED">
        <w:rPr>
          <w:rFonts w:ascii="Times New Roman" w:hAnsi="Times New Roman" w:cs="Times New Roman"/>
          <w:szCs w:val="22"/>
        </w:rPr>
        <w:t>), carbon monoxide (CO), and ozone (O</w:t>
      </w:r>
      <w:r w:rsidRPr="00AC18ED">
        <w:rPr>
          <w:rFonts w:ascii="Times New Roman" w:hAnsi="Times New Roman" w:cs="Times New Roman"/>
          <w:szCs w:val="22"/>
          <w:vertAlign w:val="subscript"/>
        </w:rPr>
        <w:t>3</w:t>
      </w:r>
      <w:r w:rsidRPr="00AC18ED">
        <w:rPr>
          <w:rFonts w:ascii="Times New Roman" w:hAnsi="Times New Roman" w:cs="Times New Roman"/>
          <w:szCs w:val="22"/>
        </w:rPr>
        <w:t xml:space="preserve">) often exceed </w:t>
      </w:r>
      <w:r w:rsidR="00845214">
        <w:rPr>
          <w:rFonts w:ascii="Times New Roman" w:hAnsi="Times New Roman" w:cs="Times New Roman"/>
          <w:szCs w:val="22"/>
        </w:rPr>
        <w:t xml:space="preserve">India’s </w:t>
      </w:r>
      <w:r w:rsidRPr="00AC18ED">
        <w:rPr>
          <w:rFonts w:ascii="Times New Roman" w:hAnsi="Times New Roman" w:cs="Times New Roman"/>
          <w:szCs w:val="22"/>
        </w:rPr>
        <w:t xml:space="preserve">National Ambient Air Quality Standards (NAAQS). According to </w:t>
      </w:r>
      <w:r w:rsidR="002C1BF3" w:rsidRPr="00AC18ED">
        <w:rPr>
          <w:rFonts w:ascii="Times New Roman" w:hAnsi="Times New Roman" w:cs="Times New Roman"/>
          <w:szCs w:val="22"/>
        </w:rPr>
        <w:t xml:space="preserve">the </w:t>
      </w:r>
      <w:r w:rsidRPr="00AC18ED">
        <w:rPr>
          <w:rFonts w:ascii="Times New Roman" w:hAnsi="Times New Roman" w:cs="Times New Roman"/>
          <w:szCs w:val="22"/>
        </w:rPr>
        <w:t xml:space="preserve">World Health Organization (WHO) urban air quality database, </w:t>
      </w:r>
      <w:r w:rsidR="00F07851" w:rsidRPr="00AC18ED">
        <w:rPr>
          <w:rFonts w:ascii="Times New Roman" w:hAnsi="Times New Roman" w:cs="Times New Roman"/>
          <w:szCs w:val="22"/>
        </w:rPr>
        <w:t>9</w:t>
      </w:r>
      <w:r w:rsidR="002C1BF3" w:rsidRPr="00AC18ED">
        <w:rPr>
          <w:rFonts w:ascii="Times New Roman" w:hAnsi="Times New Roman" w:cs="Times New Roman"/>
          <w:szCs w:val="22"/>
        </w:rPr>
        <w:t xml:space="preserve"> of </w:t>
      </w:r>
      <w:r w:rsidR="00944B5A">
        <w:rPr>
          <w:rFonts w:ascii="Times New Roman" w:hAnsi="Times New Roman" w:cs="Times New Roman"/>
          <w:szCs w:val="22"/>
        </w:rPr>
        <w:t xml:space="preserve">the </w:t>
      </w:r>
      <w:r w:rsidR="00F07851" w:rsidRPr="00AC18ED">
        <w:rPr>
          <w:rFonts w:ascii="Times New Roman" w:hAnsi="Times New Roman" w:cs="Times New Roman"/>
          <w:szCs w:val="22"/>
        </w:rPr>
        <w:t>1</w:t>
      </w:r>
      <w:r w:rsidRPr="00AC18ED">
        <w:rPr>
          <w:rFonts w:ascii="Times New Roman" w:hAnsi="Times New Roman" w:cs="Times New Roman"/>
          <w:szCs w:val="22"/>
        </w:rPr>
        <w:t xml:space="preserve">0 most polluted cities </w:t>
      </w:r>
      <w:r w:rsidR="002C1BF3" w:rsidRPr="00AC18ED">
        <w:rPr>
          <w:rFonts w:ascii="Times New Roman" w:hAnsi="Times New Roman" w:cs="Times New Roman"/>
          <w:szCs w:val="22"/>
        </w:rPr>
        <w:t xml:space="preserve">in the world </w:t>
      </w:r>
      <w:r w:rsidR="00944B5A">
        <w:rPr>
          <w:rFonts w:ascii="Times New Roman" w:hAnsi="Times New Roman" w:cs="Times New Roman"/>
          <w:szCs w:val="22"/>
        </w:rPr>
        <w:t>are in</w:t>
      </w:r>
      <w:r w:rsidR="002C1BF3" w:rsidRPr="00AC18ED">
        <w:rPr>
          <w:rFonts w:ascii="Times New Roman" w:hAnsi="Times New Roman" w:cs="Times New Roman"/>
          <w:szCs w:val="22"/>
        </w:rPr>
        <w:t xml:space="preserve"> </w:t>
      </w:r>
      <w:r w:rsidRPr="00AC18ED">
        <w:rPr>
          <w:rFonts w:ascii="Times New Roman" w:hAnsi="Times New Roman" w:cs="Times New Roman"/>
          <w:szCs w:val="22"/>
        </w:rPr>
        <w:t xml:space="preserve">India (Figure S.1) and the cities of </w:t>
      </w:r>
      <w:r w:rsidR="001D2081" w:rsidRPr="00AC18ED">
        <w:rPr>
          <w:rFonts w:ascii="Times New Roman" w:hAnsi="Times New Roman" w:cs="Times New Roman"/>
          <w:szCs w:val="22"/>
        </w:rPr>
        <w:t>Kanpur,</w:t>
      </w:r>
      <w:r w:rsidR="00944B5A">
        <w:rPr>
          <w:rFonts w:ascii="Times New Roman" w:hAnsi="Times New Roman" w:cs="Times New Roman"/>
          <w:szCs w:val="22"/>
        </w:rPr>
        <w:t xml:space="preserve"> </w:t>
      </w:r>
      <w:r w:rsidR="001D2081" w:rsidRPr="00AC18ED">
        <w:rPr>
          <w:rFonts w:ascii="Times New Roman" w:hAnsi="Times New Roman" w:cs="Times New Roman"/>
          <w:szCs w:val="22"/>
        </w:rPr>
        <w:t xml:space="preserve">Faridabad, Gaya, Varanasi, Patna, Delhi, Lucknow, Agra, </w:t>
      </w:r>
      <w:r w:rsidR="00944B5A">
        <w:rPr>
          <w:rFonts w:ascii="Times New Roman" w:hAnsi="Times New Roman" w:cs="Times New Roman"/>
          <w:szCs w:val="22"/>
        </w:rPr>
        <w:t xml:space="preserve">and </w:t>
      </w:r>
      <w:r w:rsidR="001D2081" w:rsidRPr="00AC18ED">
        <w:rPr>
          <w:rFonts w:ascii="Times New Roman" w:hAnsi="Times New Roman" w:cs="Times New Roman"/>
          <w:szCs w:val="22"/>
        </w:rPr>
        <w:t>Muzaffarpur</w:t>
      </w:r>
      <w:r w:rsidRPr="00AC18ED">
        <w:rPr>
          <w:rFonts w:ascii="Times New Roman" w:hAnsi="Times New Roman" w:cs="Times New Roman"/>
          <w:szCs w:val="22"/>
        </w:rPr>
        <w:t xml:space="preserve"> are listed in the top 10</w:t>
      </w:r>
      <w:r w:rsidR="00EB7EEF">
        <w:rPr>
          <w:rFonts w:ascii="Times New Roman" w:hAnsi="Times New Roman" w:cs="Times New Roman"/>
          <w:szCs w:val="22"/>
        </w:rPr>
        <w:t xml:space="preserve"> (</w:t>
      </w:r>
      <w:r w:rsidR="00EB7EEF" w:rsidRPr="005E225F">
        <w:rPr>
          <w:rFonts w:ascii="Times New Roman" w:hAnsi="Times New Roman" w:cs="Times New Roman"/>
          <w:szCs w:val="22"/>
        </w:rPr>
        <w:t>WHO, 2018)</w:t>
      </w:r>
      <w:r w:rsidRPr="005E225F">
        <w:rPr>
          <w:rFonts w:ascii="Times New Roman" w:hAnsi="Times New Roman" w:cs="Times New Roman"/>
          <w:szCs w:val="22"/>
        </w:rPr>
        <w:t xml:space="preserve">. </w:t>
      </w:r>
      <w:r w:rsidRPr="00AC18ED">
        <w:rPr>
          <w:rFonts w:ascii="Times New Roman" w:hAnsi="Times New Roman" w:cs="Times New Roman"/>
          <w:szCs w:val="22"/>
        </w:rPr>
        <w:t xml:space="preserve">More than 100 cities under the </w:t>
      </w:r>
      <w:r w:rsidR="00944B5A">
        <w:rPr>
          <w:rFonts w:ascii="Times New Roman" w:hAnsi="Times New Roman" w:cs="Times New Roman"/>
          <w:szCs w:val="22"/>
        </w:rPr>
        <w:t>NAAQS</w:t>
      </w:r>
      <w:r w:rsidR="00F07851" w:rsidRPr="00AC18ED">
        <w:rPr>
          <w:rFonts w:ascii="Times New Roman" w:hAnsi="Times New Roman" w:cs="Times New Roman"/>
          <w:szCs w:val="22"/>
        </w:rPr>
        <w:t xml:space="preserve"> </w:t>
      </w:r>
      <w:r w:rsidRPr="00AC18ED">
        <w:rPr>
          <w:rFonts w:ascii="Times New Roman" w:hAnsi="Times New Roman" w:cs="Times New Roman"/>
          <w:szCs w:val="22"/>
        </w:rPr>
        <w:t>monitoring program exceed the WHO guideline for PM</w:t>
      </w:r>
      <w:r w:rsidRPr="00AC18ED">
        <w:rPr>
          <w:rFonts w:ascii="Times New Roman" w:hAnsi="Times New Roman" w:cs="Times New Roman"/>
          <w:szCs w:val="22"/>
          <w:vertAlign w:val="subscript"/>
        </w:rPr>
        <w:t>10</w:t>
      </w:r>
      <w:r w:rsidRPr="00AC18ED">
        <w:rPr>
          <w:rFonts w:ascii="Times New Roman" w:hAnsi="Times New Roman" w:cs="Times New Roman"/>
          <w:szCs w:val="22"/>
        </w:rPr>
        <w:t xml:space="preserve">. In India, the NAAQS for CO </w:t>
      </w:r>
      <w:r w:rsidR="00944B5A">
        <w:rPr>
          <w:rFonts w:ascii="Times New Roman" w:hAnsi="Times New Roman" w:cs="Times New Roman"/>
          <w:szCs w:val="22"/>
        </w:rPr>
        <w:t>exceed</w:t>
      </w:r>
      <w:r w:rsidR="00E5111B">
        <w:rPr>
          <w:rFonts w:ascii="Times New Roman" w:hAnsi="Times New Roman" w:cs="Times New Roman"/>
          <w:szCs w:val="22"/>
        </w:rPr>
        <w:t>s</w:t>
      </w:r>
      <w:r w:rsidR="00774A64">
        <w:rPr>
          <w:rFonts w:ascii="Times New Roman" w:hAnsi="Times New Roman" w:cs="Times New Roman"/>
          <w:szCs w:val="22"/>
        </w:rPr>
        <w:t xml:space="preserve"> </w:t>
      </w:r>
      <w:r w:rsidRPr="00AC18ED">
        <w:rPr>
          <w:rFonts w:ascii="Times New Roman" w:hAnsi="Times New Roman" w:cs="Times New Roman"/>
          <w:szCs w:val="22"/>
        </w:rPr>
        <w:t>the WHO guideline</w:t>
      </w:r>
      <w:r w:rsidR="00944B5A">
        <w:rPr>
          <w:rFonts w:ascii="Times New Roman" w:hAnsi="Times New Roman" w:cs="Times New Roman"/>
          <w:szCs w:val="22"/>
        </w:rPr>
        <w:t>s, while the</w:t>
      </w:r>
      <w:r w:rsidRPr="00AC18ED">
        <w:rPr>
          <w:rFonts w:ascii="Times New Roman" w:hAnsi="Times New Roman" w:cs="Times New Roman"/>
          <w:szCs w:val="22"/>
        </w:rPr>
        <w:t xml:space="preserve"> NO</w:t>
      </w:r>
      <w:r w:rsidR="001D2081" w:rsidRPr="00AC18ED">
        <w:rPr>
          <w:rFonts w:ascii="Times New Roman" w:hAnsi="Times New Roman" w:cs="Times New Roman"/>
          <w:szCs w:val="22"/>
          <w:vertAlign w:val="subscript"/>
        </w:rPr>
        <w:t>x</w:t>
      </w:r>
      <w:r w:rsidRPr="00AC18ED">
        <w:rPr>
          <w:rFonts w:ascii="Times New Roman" w:hAnsi="Times New Roman" w:cs="Times New Roman"/>
          <w:szCs w:val="22"/>
        </w:rPr>
        <w:t>, SO</w:t>
      </w:r>
      <w:r w:rsidRPr="00AC18ED">
        <w:rPr>
          <w:rFonts w:ascii="Times New Roman" w:hAnsi="Times New Roman" w:cs="Times New Roman"/>
          <w:szCs w:val="22"/>
          <w:vertAlign w:val="subscript"/>
        </w:rPr>
        <w:t>2</w:t>
      </w:r>
      <w:r w:rsidRPr="00AC18ED">
        <w:rPr>
          <w:rFonts w:ascii="Times New Roman" w:hAnsi="Times New Roman" w:cs="Times New Roman"/>
          <w:szCs w:val="22"/>
        </w:rPr>
        <w:t>, and O</w:t>
      </w:r>
      <w:r w:rsidRPr="00AC18ED">
        <w:rPr>
          <w:rFonts w:ascii="Times New Roman" w:hAnsi="Times New Roman" w:cs="Times New Roman"/>
          <w:szCs w:val="22"/>
          <w:vertAlign w:val="subscript"/>
        </w:rPr>
        <w:t>3</w:t>
      </w:r>
      <w:r w:rsidRPr="00AC18ED">
        <w:rPr>
          <w:rFonts w:ascii="Times New Roman" w:hAnsi="Times New Roman" w:cs="Times New Roman"/>
          <w:szCs w:val="22"/>
        </w:rPr>
        <w:t xml:space="preserve"> standards are</w:t>
      </w:r>
      <w:r w:rsidR="00992AF7" w:rsidRPr="00AC18ED">
        <w:rPr>
          <w:rFonts w:ascii="Times New Roman" w:hAnsi="Times New Roman" w:cs="Times New Roman"/>
          <w:szCs w:val="22"/>
        </w:rPr>
        <w:t xml:space="preserve"> </w:t>
      </w:r>
      <w:r w:rsidR="00944B5A">
        <w:rPr>
          <w:rFonts w:ascii="Times New Roman" w:hAnsi="Times New Roman" w:cs="Times New Roman"/>
          <w:szCs w:val="22"/>
        </w:rPr>
        <w:t xml:space="preserve">on a </w:t>
      </w:r>
      <w:r w:rsidR="00992AF7" w:rsidRPr="00AC18ED">
        <w:rPr>
          <w:rFonts w:ascii="Times New Roman" w:hAnsi="Times New Roman" w:cs="Times New Roman"/>
          <w:szCs w:val="22"/>
        </w:rPr>
        <w:t xml:space="preserve">par with the WHO guidelines. </w:t>
      </w:r>
      <w:r w:rsidRPr="00AC18ED">
        <w:rPr>
          <w:rFonts w:ascii="Times New Roman" w:hAnsi="Times New Roman" w:cs="Times New Roman"/>
          <w:szCs w:val="22"/>
        </w:rPr>
        <w:t>However, the standards for PM</w:t>
      </w:r>
      <w:r w:rsidRPr="00AC18ED">
        <w:rPr>
          <w:rFonts w:ascii="Times New Roman" w:hAnsi="Times New Roman" w:cs="Times New Roman"/>
          <w:szCs w:val="22"/>
          <w:vertAlign w:val="subscript"/>
        </w:rPr>
        <w:t>10</w:t>
      </w:r>
      <w:r w:rsidRPr="00AC18ED">
        <w:rPr>
          <w:rFonts w:ascii="Times New Roman" w:hAnsi="Times New Roman" w:cs="Times New Roman"/>
          <w:szCs w:val="22"/>
        </w:rPr>
        <w:t xml:space="preserve"> (</w:t>
      </w:r>
      <w:r w:rsidR="00944B5A">
        <w:rPr>
          <w:rFonts w:ascii="Times New Roman" w:hAnsi="Times New Roman" w:cs="Times New Roman"/>
          <w:szCs w:val="22"/>
        </w:rPr>
        <w:t>a</w:t>
      </w:r>
      <w:r w:rsidR="00944B5A" w:rsidRPr="00AC18ED">
        <w:rPr>
          <w:rFonts w:ascii="Times New Roman" w:hAnsi="Times New Roman" w:cs="Times New Roman"/>
          <w:szCs w:val="22"/>
        </w:rPr>
        <w:t xml:space="preserve">erodynamic </w:t>
      </w:r>
      <w:r w:rsidRPr="00AC18ED">
        <w:rPr>
          <w:rFonts w:ascii="Times New Roman" w:hAnsi="Times New Roman" w:cs="Times New Roman"/>
          <w:szCs w:val="22"/>
        </w:rPr>
        <w:t>diameter &lt;10 μm) and PM</w:t>
      </w:r>
      <w:r w:rsidRPr="00AC18ED">
        <w:rPr>
          <w:rFonts w:ascii="Times New Roman" w:hAnsi="Times New Roman" w:cs="Times New Roman"/>
          <w:szCs w:val="22"/>
          <w:vertAlign w:val="subscript"/>
        </w:rPr>
        <w:t xml:space="preserve">2.5 </w:t>
      </w:r>
      <w:r w:rsidRPr="00AC18ED">
        <w:rPr>
          <w:rFonts w:ascii="Times New Roman" w:hAnsi="Times New Roman" w:cs="Times New Roman"/>
          <w:szCs w:val="22"/>
        </w:rPr>
        <w:t>(aerodynamic diameter &lt;2.5 μm) are lagging (Figure S.2).</w:t>
      </w:r>
      <w:r w:rsidR="00992AF7" w:rsidRPr="00AC18ED">
        <w:rPr>
          <w:rFonts w:ascii="Times New Roman" w:hAnsi="Times New Roman" w:cs="Times New Roman"/>
          <w:szCs w:val="22"/>
        </w:rPr>
        <w:t xml:space="preserve"> Kolkata </w:t>
      </w:r>
      <w:r w:rsidR="00944B5A">
        <w:rPr>
          <w:rFonts w:ascii="Times New Roman" w:hAnsi="Times New Roman" w:cs="Times New Roman"/>
          <w:szCs w:val="22"/>
        </w:rPr>
        <w:t>r</w:t>
      </w:r>
      <w:r w:rsidR="00944B5A" w:rsidRPr="00AC18ED">
        <w:rPr>
          <w:rFonts w:ascii="Times New Roman" w:hAnsi="Times New Roman" w:cs="Times New Roman"/>
          <w:szCs w:val="22"/>
        </w:rPr>
        <w:t xml:space="preserve">anks </w:t>
      </w:r>
      <w:r w:rsidR="00992AF7" w:rsidRPr="00AC18ED">
        <w:rPr>
          <w:rFonts w:ascii="Times New Roman" w:hAnsi="Times New Roman" w:cs="Times New Roman"/>
          <w:szCs w:val="22"/>
        </w:rPr>
        <w:t>53</w:t>
      </w:r>
      <w:r w:rsidR="00845214" w:rsidRPr="002A73C5">
        <w:rPr>
          <w:rFonts w:ascii="Times New Roman" w:hAnsi="Times New Roman"/>
          <w:vertAlign w:val="superscript"/>
        </w:rPr>
        <w:t>rd</w:t>
      </w:r>
      <w:r w:rsidR="00EB7EEF">
        <w:rPr>
          <w:rFonts w:ascii="Times New Roman" w:hAnsi="Times New Roman" w:cs="Times New Roman"/>
          <w:szCs w:val="22"/>
        </w:rPr>
        <w:t xml:space="preserve"> </w:t>
      </w:r>
      <w:r w:rsidR="00992AF7" w:rsidRPr="00AC18ED">
        <w:rPr>
          <w:rFonts w:ascii="Times New Roman" w:hAnsi="Times New Roman" w:cs="Times New Roman"/>
          <w:szCs w:val="22"/>
        </w:rPr>
        <w:t>in the list</w:t>
      </w:r>
      <w:r w:rsidR="00944B5A">
        <w:rPr>
          <w:rFonts w:ascii="Times New Roman" w:hAnsi="Times New Roman" w:cs="Times New Roman"/>
          <w:szCs w:val="22"/>
        </w:rPr>
        <w:t xml:space="preserve">, </w:t>
      </w:r>
      <w:r w:rsidR="00992AF7" w:rsidRPr="00AC18ED">
        <w:rPr>
          <w:rFonts w:ascii="Times New Roman" w:hAnsi="Times New Roman" w:cs="Times New Roman"/>
          <w:szCs w:val="22"/>
        </w:rPr>
        <w:t xml:space="preserve">with </w:t>
      </w:r>
      <w:r w:rsidR="00944B5A">
        <w:rPr>
          <w:rFonts w:ascii="Times New Roman" w:hAnsi="Times New Roman" w:cs="Times New Roman"/>
          <w:szCs w:val="22"/>
        </w:rPr>
        <w:t xml:space="preserve">an </w:t>
      </w:r>
      <w:r w:rsidR="00992AF7" w:rsidRPr="00AC18ED">
        <w:rPr>
          <w:rFonts w:ascii="Times New Roman" w:hAnsi="Times New Roman" w:cs="Times New Roman"/>
          <w:szCs w:val="22"/>
        </w:rPr>
        <w:t xml:space="preserve">annual average </w:t>
      </w:r>
      <w:r w:rsidR="00531B6C" w:rsidRPr="00AC18ED">
        <w:rPr>
          <w:rFonts w:ascii="Times New Roman" w:hAnsi="Times New Roman" w:cs="Times New Roman"/>
          <w:szCs w:val="22"/>
        </w:rPr>
        <w:t>PM</w:t>
      </w:r>
      <w:r w:rsidR="00992AF7" w:rsidRPr="00AC18ED">
        <w:rPr>
          <w:rFonts w:ascii="Times New Roman" w:hAnsi="Times New Roman" w:cs="Times New Roman"/>
          <w:szCs w:val="22"/>
          <w:vertAlign w:val="subscript"/>
        </w:rPr>
        <w:t>2.5</w:t>
      </w:r>
      <w:r w:rsidR="00992AF7" w:rsidRPr="00AC18ED">
        <w:rPr>
          <w:rFonts w:ascii="Times New Roman" w:hAnsi="Times New Roman" w:cs="Times New Roman"/>
          <w:szCs w:val="22"/>
        </w:rPr>
        <w:t xml:space="preserve"> level of 74</w:t>
      </w:r>
      <w:r w:rsidR="00531B6C" w:rsidRPr="00AC18ED">
        <w:rPr>
          <w:rFonts w:ascii="Times New Roman" w:hAnsi="Times New Roman" w:cs="Times New Roman"/>
          <w:szCs w:val="22"/>
        </w:rPr>
        <w:t xml:space="preserve"> µg/m</w:t>
      </w:r>
      <w:r w:rsidR="00531B6C" w:rsidRPr="00AC18ED">
        <w:rPr>
          <w:rFonts w:ascii="Times New Roman" w:hAnsi="Times New Roman" w:cs="Times New Roman"/>
          <w:szCs w:val="22"/>
          <w:vertAlign w:val="superscript"/>
        </w:rPr>
        <w:t>3</w:t>
      </w:r>
      <w:r w:rsidR="00EB7EEF">
        <w:rPr>
          <w:rFonts w:ascii="Times New Roman" w:hAnsi="Times New Roman" w:cs="Times New Roman"/>
          <w:szCs w:val="22"/>
        </w:rPr>
        <w:t xml:space="preserve"> (</w:t>
      </w:r>
      <w:r w:rsidR="009B1000" w:rsidRPr="005E225F">
        <w:rPr>
          <w:rFonts w:ascii="Times New Roman" w:hAnsi="Times New Roman" w:cs="Times New Roman"/>
          <w:szCs w:val="22"/>
        </w:rPr>
        <w:t>WHO, 2018</w:t>
      </w:r>
      <w:r w:rsidR="00EB7EEF">
        <w:rPr>
          <w:rFonts w:ascii="Times New Roman" w:hAnsi="Times New Roman" w:cs="Times New Roman"/>
          <w:szCs w:val="22"/>
        </w:rPr>
        <w:t>)</w:t>
      </w:r>
      <w:r w:rsidR="00195EBA" w:rsidRPr="00AC18ED">
        <w:rPr>
          <w:rFonts w:ascii="Times New Roman" w:hAnsi="Times New Roman" w:cs="Times New Roman"/>
          <w:szCs w:val="22"/>
        </w:rPr>
        <w:t>.</w:t>
      </w:r>
    </w:p>
    <w:p w14:paraId="08D2E80C" w14:textId="77777777" w:rsidR="00CA4E35" w:rsidRPr="00AC18ED" w:rsidRDefault="00312F2B" w:rsidP="00AC18ED">
      <w:pPr>
        <w:spacing w:after="120" w:line="276" w:lineRule="auto"/>
        <w:rPr>
          <w:rFonts w:ascii="Times New Roman" w:hAnsi="Times New Roman" w:cs="Times New Roman"/>
          <w:szCs w:val="22"/>
        </w:rPr>
      </w:pPr>
      <w:r w:rsidRPr="00AC18ED">
        <w:rPr>
          <w:rFonts w:ascii="Times New Roman" w:hAnsi="Times New Roman" w:cs="Times New Roman"/>
          <w:noProof/>
          <w:szCs w:val="22"/>
          <w:lang w:eastAsia="en-IN" w:bidi="ar-SA"/>
        </w:rPr>
        <w:drawing>
          <wp:inline distT="0" distB="0" distL="0" distR="0" wp14:anchorId="784BB3B0" wp14:editId="422CB1F9">
            <wp:extent cx="5048250" cy="5784600"/>
            <wp:effectExtent l="0" t="0" r="0" b="698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058296" cy="5796112"/>
                    </a:xfrm>
                    <a:prstGeom prst="rect">
                      <a:avLst/>
                    </a:prstGeom>
                    <a:noFill/>
                  </pic:spPr>
                </pic:pic>
              </a:graphicData>
            </a:graphic>
          </wp:inline>
        </w:drawing>
      </w:r>
    </w:p>
    <w:p w14:paraId="1E1CBA20" w14:textId="3125BB03" w:rsidR="00312F2B" w:rsidRPr="00AC18ED" w:rsidRDefault="007B34FC" w:rsidP="00AC18ED">
      <w:pPr>
        <w:spacing w:after="120" w:line="276" w:lineRule="auto"/>
        <w:rPr>
          <w:rFonts w:ascii="Times New Roman" w:hAnsi="Times New Roman" w:cs="Times New Roman"/>
          <w:b/>
          <w:szCs w:val="22"/>
        </w:rPr>
      </w:pPr>
      <w:r w:rsidRPr="00AC18ED">
        <w:rPr>
          <w:rFonts w:ascii="Times New Roman" w:hAnsi="Times New Roman" w:cs="Times New Roman"/>
          <w:b/>
          <w:szCs w:val="22"/>
        </w:rPr>
        <w:t>Figure S</w:t>
      </w:r>
      <w:r w:rsidR="006A6286" w:rsidRPr="00AC18ED">
        <w:rPr>
          <w:rFonts w:ascii="Times New Roman" w:hAnsi="Times New Roman" w:cs="Times New Roman"/>
          <w:b/>
          <w:szCs w:val="22"/>
        </w:rPr>
        <w:t xml:space="preserve">1: </w:t>
      </w:r>
      <w:r w:rsidR="00C733F6">
        <w:rPr>
          <w:rFonts w:ascii="Times New Roman" w:hAnsi="Times New Roman" w:cs="Times New Roman"/>
          <w:b/>
          <w:szCs w:val="22"/>
        </w:rPr>
        <w:t>Indian cities among t</w:t>
      </w:r>
      <w:r w:rsidR="008F64DA" w:rsidRPr="00AC18ED">
        <w:rPr>
          <w:rFonts w:ascii="Times New Roman" w:hAnsi="Times New Roman" w:cs="Times New Roman"/>
          <w:b/>
          <w:szCs w:val="22"/>
        </w:rPr>
        <w:t>he</w:t>
      </w:r>
      <w:r w:rsidR="006A6286" w:rsidRPr="00AC18ED">
        <w:rPr>
          <w:rFonts w:ascii="Times New Roman" w:hAnsi="Times New Roman" w:cs="Times New Roman"/>
          <w:b/>
          <w:szCs w:val="22"/>
        </w:rPr>
        <w:t xml:space="preserve"> </w:t>
      </w:r>
      <w:r w:rsidR="005F4E41" w:rsidRPr="00AC18ED">
        <w:rPr>
          <w:rFonts w:ascii="Times New Roman" w:hAnsi="Times New Roman" w:cs="Times New Roman"/>
          <w:b/>
          <w:szCs w:val="22"/>
        </w:rPr>
        <w:t>6</w:t>
      </w:r>
      <w:r w:rsidR="006A6286" w:rsidRPr="00AC18ED">
        <w:rPr>
          <w:rFonts w:ascii="Times New Roman" w:hAnsi="Times New Roman" w:cs="Times New Roman"/>
          <w:b/>
          <w:szCs w:val="22"/>
        </w:rPr>
        <w:t>0 most polluted cities in the World</w:t>
      </w:r>
    </w:p>
    <w:p w14:paraId="4F1D2614" w14:textId="1DDC355C" w:rsidR="006A6286" w:rsidRPr="00AC18ED" w:rsidRDefault="006A6286" w:rsidP="00AC18ED">
      <w:pPr>
        <w:spacing w:after="120" w:line="276" w:lineRule="auto"/>
        <w:jc w:val="both"/>
        <w:rPr>
          <w:rFonts w:ascii="Times New Roman" w:hAnsi="Times New Roman" w:cs="Times New Roman"/>
          <w:szCs w:val="22"/>
        </w:rPr>
      </w:pPr>
      <w:r w:rsidRPr="00AC18ED">
        <w:rPr>
          <w:rFonts w:ascii="Times New Roman" w:hAnsi="Times New Roman" w:cs="Times New Roman"/>
          <w:szCs w:val="22"/>
        </w:rPr>
        <w:t>Source:</w:t>
      </w:r>
      <w:r w:rsidR="001D2081" w:rsidRPr="00AC18ED">
        <w:rPr>
          <w:rFonts w:ascii="Times New Roman" w:hAnsi="Times New Roman" w:cs="Times New Roman"/>
          <w:szCs w:val="22"/>
        </w:rPr>
        <w:t xml:space="preserve"> WHO </w:t>
      </w:r>
      <w:r w:rsidR="00BC2032">
        <w:rPr>
          <w:rFonts w:ascii="Times New Roman" w:hAnsi="Times New Roman" w:cs="Times New Roman"/>
          <w:szCs w:val="22"/>
        </w:rPr>
        <w:t>(</w:t>
      </w:r>
      <w:r w:rsidR="001D2081" w:rsidRPr="00AC18ED">
        <w:rPr>
          <w:rFonts w:ascii="Times New Roman" w:hAnsi="Times New Roman" w:cs="Times New Roman"/>
          <w:szCs w:val="22"/>
        </w:rPr>
        <w:t>2018</w:t>
      </w:r>
      <w:r w:rsidR="00BC2032">
        <w:rPr>
          <w:rFonts w:ascii="Times New Roman" w:hAnsi="Times New Roman" w:cs="Times New Roman"/>
          <w:szCs w:val="22"/>
        </w:rPr>
        <w:t>)</w:t>
      </w:r>
    </w:p>
    <w:p w14:paraId="2C4ABFE8" w14:textId="77777777" w:rsidR="001D2081" w:rsidRPr="00AC18ED" w:rsidRDefault="006A6286" w:rsidP="00AC18ED">
      <w:pPr>
        <w:spacing w:after="120" w:line="276" w:lineRule="auto"/>
        <w:jc w:val="both"/>
        <w:rPr>
          <w:rFonts w:ascii="Times New Roman" w:hAnsi="Times New Roman" w:cs="Times New Roman"/>
          <w:b/>
          <w:szCs w:val="22"/>
        </w:rPr>
      </w:pPr>
      <w:r w:rsidRPr="00AC18ED">
        <w:rPr>
          <w:rFonts w:ascii="Times New Roman" w:hAnsi="Times New Roman" w:cs="Times New Roman"/>
          <w:szCs w:val="22"/>
        </w:rPr>
        <w:br w:type="page"/>
      </w:r>
      <w:r w:rsidR="001D2081" w:rsidRPr="00AC18ED">
        <w:rPr>
          <w:rFonts w:ascii="Times New Roman" w:hAnsi="Times New Roman" w:cs="Times New Roman"/>
          <w:noProof/>
          <w:szCs w:val="22"/>
          <w:lang w:eastAsia="en-IN" w:bidi="ar-SA"/>
        </w:rPr>
        <w:lastRenderedPageBreak/>
        <w:drawing>
          <wp:inline distT="0" distB="0" distL="0" distR="0" wp14:anchorId="3508784F" wp14:editId="20FC4E29">
            <wp:extent cx="5731510" cy="2528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528570"/>
                    </a:xfrm>
                    <a:prstGeom prst="rect">
                      <a:avLst/>
                    </a:prstGeom>
                    <a:noFill/>
                    <a:ln>
                      <a:noFill/>
                    </a:ln>
                  </pic:spPr>
                </pic:pic>
              </a:graphicData>
            </a:graphic>
          </wp:inline>
        </w:drawing>
      </w:r>
    </w:p>
    <w:p w14:paraId="4AB0FDAC" w14:textId="30D4A4A8" w:rsidR="006A6286" w:rsidRPr="00AC18ED" w:rsidRDefault="007B34FC" w:rsidP="00AC18ED">
      <w:pPr>
        <w:spacing w:after="120" w:line="276" w:lineRule="auto"/>
        <w:jc w:val="both"/>
        <w:rPr>
          <w:rFonts w:ascii="Times New Roman" w:hAnsi="Times New Roman" w:cs="Times New Roman"/>
          <w:b/>
          <w:szCs w:val="22"/>
        </w:rPr>
      </w:pPr>
      <w:r w:rsidRPr="00AC18ED">
        <w:rPr>
          <w:rFonts w:ascii="Times New Roman" w:hAnsi="Times New Roman" w:cs="Times New Roman"/>
          <w:b/>
          <w:szCs w:val="22"/>
        </w:rPr>
        <w:t>Figure S</w:t>
      </w:r>
      <w:r w:rsidR="009B4861" w:rsidRPr="00AC18ED">
        <w:rPr>
          <w:rFonts w:ascii="Times New Roman" w:hAnsi="Times New Roman" w:cs="Times New Roman"/>
          <w:b/>
          <w:szCs w:val="22"/>
        </w:rPr>
        <w:t>2</w:t>
      </w:r>
      <w:r w:rsidR="00287B8E" w:rsidRPr="00AC18ED">
        <w:rPr>
          <w:rFonts w:ascii="Times New Roman" w:hAnsi="Times New Roman" w:cs="Times New Roman"/>
          <w:b/>
          <w:szCs w:val="22"/>
        </w:rPr>
        <w:t>: PM</w:t>
      </w:r>
      <w:r w:rsidR="006A6286" w:rsidRPr="00AC18ED">
        <w:rPr>
          <w:rFonts w:ascii="Times New Roman" w:hAnsi="Times New Roman" w:cs="Times New Roman"/>
          <w:b/>
          <w:szCs w:val="22"/>
          <w:vertAlign w:val="subscript"/>
        </w:rPr>
        <w:t>2.5</w:t>
      </w:r>
      <w:r w:rsidR="006A6286" w:rsidRPr="00AC18ED">
        <w:rPr>
          <w:rFonts w:ascii="Times New Roman" w:hAnsi="Times New Roman" w:cs="Times New Roman"/>
          <w:b/>
          <w:szCs w:val="22"/>
        </w:rPr>
        <w:t xml:space="preserve"> concentrations in select</w:t>
      </w:r>
      <w:r w:rsidR="00845214">
        <w:rPr>
          <w:rFonts w:ascii="Times New Roman" w:hAnsi="Times New Roman" w:cs="Times New Roman"/>
          <w:b/>
          <w:szCs w:val="22"/>
        </w:rPr>
        <w:t>ed</w:t>
      </w:r>
      <w:r w:rsidR="006A6286" w:rsidRPr="00AC18ED">
        <w:rPr>
          <w:rFonts w:ascii="Times New Roman" w:hAnsi="Times New Roman" w:cs="Times New Roman"/>
          <w:b/>
          <w:szCs w:val="22"/>
        </w:rPr>
        <w:t xml:space="preserve"> Indian cities</w:t>
      </w:r>
    </w:p>
    <w:p w14:paraId="030099E3" w14:textId="7350E5CF" w:rsidR="00F74593" w:rsidRPr="00AC18ED" w:rsidRDefault="006A6286" w:rsidP="00AC18ED">
      <w:pPr>
        <w:spacing w:after="120" w:line="276" w:lineRule="auto"/>
        <w:jc w:val="both"/>
        <w:rPr>
          <w:rFonts w:ascii="Times New Roman" w:hAnsi="Times New Roman" w:cs="Times New Roman"/>
          <w:szCs w:val="22"/>
        </w:rPr>
      </w:pPr>
      <w:r w:rsidRPr="00AC18ED">
        <w:rPr>
          <w:rFonts w:ascii="Times New Roman" w:hAnsi="Times New Roman" w:cs="Times New Roman"/>
          <w:szCs w:val="22"/>
        </w:rPr>
        <w:t xml:space="preserve">Source: </w:t>
      </w:r>
      <w:r w:rsidR="00F07851" w:rsidRPr="00AC18ED">
        <w:rPr>
          <w:rFonts w:ascii="Times New Roman" w:hAnsi="Times New Roman" w:cs="Times New Roman"/>
          <w:szCs w:val="22"/>
        </w:rPr>
        <w:t>WHO</w:t>
      </w:r>
      <w:r w:rsidR="00BC2032">
        <w:rPr>
          <w:rFonts w:ascii="Times New Roman" w:hAnsi="Times New Roman" w:cs="Times New Roman"/>
          <w:szCs w:val="22"/>
        </w:rPr>
        <w:t xml:space="preserve"> (</w:t>
      </w:r>
      <w:r w:rsidR="00F07851" w:rsidRPr="00AC18ED">
        <w:rPr>
          <w:rFonts w:ascii="Times New Roman" w:hAnsi="Times New Roman" w:cs="Times New Roman"/>
          <w:szCs w:val="22"/>
        </w:rPr>
        <w:t>2018</w:t>
      </w:r>
      <w:r w:rsidR="00BC2032">
        <w:rPr>
          <w:rFonts w:ascii="Times New Roman" w:hAnsi="Times New Roman" w:cs="Times New Roman"/>
          <w:szCs w:val="22"/>
        </w:rPr>
        <w:t>)</w:t>
      </w:r>
    </w:p>
    <w:p w14:paraId="491C4A3E" w14:textId="77777777" w:rsidR="00411937" w:rsidRPr="00AC18ED" w:rsidRDefault="00411937" w:rsidP="00AC18ED">
      <w:pPr>
        <w:spacing w:after="120" w:line="276" w:lineRule="auto"/>
        <w:jc w:val="both"/>
        <w:rPr>
          <w:rFonts w:ascii="Times New Roman" w:hAnsi="Times New Roman" w:cs="Times New Roman"/>
          <w:szCs w:val="22"/>
        </w:rPr>
      </w:pPr>
    </w:p>
    <w:p w14:paraId="5D590FE1" w14:textId="77777777" w:rsidR="00411937" w:rsidRPr="00AC18ED" w:rsidRDefault="00411937" w:rsidP="00AC18ED">
      <w:pPr>
        <w:spacing w:after="120" w:line="276" w:lineRule="auto"/>
        <w:jc w:val="both"/>
        <w:rPr>
          <w:rFonts w:ascii="Times New Roman" w:hAnsi="Times New Roman" w:cs="Times New Roman"/>
          <w:szCs w:val="22"/>
        </w:rPr>
      </w:pPr>
    </w:p>
    <w:p w14:paraId="3CC31609" w14:textId="77777777" w:rsidR="00411937" w:rsidRPr="00AC18ED" w:rsidRDefault="00411937" w:rsidP="00AC18ED">
      <w:pPr>
        <w:spacing w:after="120" w:line="276" w:lineRule="auto"/>
        <w:jc w:val="both"/>
        <w:rPr>
          <w:rFonts w:ascii="Times New Roman" w:hAnsi="Times New Roman" w:cs="Times New Roman"/>
          <w:szCs w:val="22"/>
        </w:rPr>
      </w:pPr>
    </w:p>
    <w:p w14:paraId="2331354E" w14:textId="77777777" w:rsidR="00411937" w:rsidRPr="00AC18ED" w:rsidRDefault="00411937" w:rsidP="00AC18ED">
      <w:pPr>
        <w:spacing w:after="120" w:line="276" w:lineRule="auto"/>
        <w:jc w:val="both"/>
        <w:rPr>
          <w:rFonts w:ascii="Times New Roman" w:hAnsi="Times New Roman" w:cs="Times New Roman"/>
          <w:szCs w:val="22"/>
        </w:rPr>
      </w:pPr>
    </w:p>
    <w:p w14:paraId="31D6C99A" w14:textId="77777777" w:rsidR="00411937" w:rsidRPr="00AC18ED" w:rsidRDefault="00411937" w:rsidP="00AC18ED">
      <w:pPr>
        <w:spacing w:after="120" w:line="276" w:lineRule="auto"/>
        <w:jc w:val="both"/>
        <w:rPr>
          <w:rFonts w:ascii="Times New Roman" w:hAnsi="Times New Roman" w:cs="Times New Roman"/>
          <w:szCs w:val="22"/>
        </w:rPr>
      </w:pPr>
    </w:p>
    <w:p w14:paraId="1800F1BD" w14:textId="77777777" w:rsidR="00411937" w:rsidRPr="00AC18ED" w:rsidRDefault="00411937" w:rsidP="00AC18ED">
      <w:pPr>
        <w:spacing w:after="120" w:line="276" w:lineRule="auto"/>
        <w:jc w:val="both"/>
        <w:rPr>
          <w:rFonts w:ascii="Times New Roman" w:hAnsi="Times New Roman" w:cs="Times New Roman"/>
          <w:szCs w:val="22"/>
        </w:rPr>
      </w:pPr>
    </w:p>
    <w:p w14:paraId="77469C80" w14:textId="77777777" w:rsidR="00411937" w:rsidRPr="00AC18ED" w:rsidRDefault="00411937" w:rsidP="00AC18ED">
      <w:pPr>
        <w:spacing w:after="120" w:line="276" w:lineRule="auto"/>
        <w:jc w:val="both"/>
        <w:rPr>
          <w:rFonts w:ascii="Times New Roman" w:hAnsi="Times New Roman" w:cs="Times New Roman"/>
          <w:szCs w:val="22"/>
        </w:rPr>
      </w:pPr>
    </w:p>
    <w:p w14:paraId="6AEEC738" w14:textId="77777777" w:rsidR="00411937" w:rsidRPr="00AC18ED" w:rsidRDefault="00411937" w:rsidP="00AC18ED">
      <w:pPr>
        <w:spacing w:after="120" w:line="276" w:lineRule="auto"/>
        <w:jc w:val="both"/>
        <w:rPr>
          <w:rFonts w:ascii="Times New Roman" w:hAnsi="Times New Roman" w:cs="Times New Roman"/>
          <w:szCs w:val="22"/>
        </w:rPr>
      </w:pPr>
    </w:p>
    <w:p w14:paraId="655D9EC3" w14:textId="77777777" w:rsidR="00411937" w:rsidRPr="00AC18ED" w:rsidRDefault="00411937" w:rsidP="00AC18ED">
      <w:pPr>
        <w:spacing w:after="120" w:line="276" w:lineRule="auto"/>
        <w:jc w:val="both"/>
        <w:rPr>
          <w:rFonts w:ascii="Times New Roman" w:hAnsi="Times New Roman" w:cs="Times New Roman"/>
          <w:szCs w:val="22"/>
        </w:rPr>
      </w:pPr>
    </w:p>
    <w:p w14:paraId="53A07C93" w14:textId="77777777" w:rsidR="00411937" w:rsidRPr="00AC18ED" w:rsidRDefault="00411937" w:rsidP="00AC18ED">
      <w:pPr>
        <w:spacing w:after="120" w:line="276" w:lineRule="auto"/>
        <w:jc w:val="both"/>
        <w:rPr>
          <w:rFonts w:ascii="Times New Roman" w:hAnsi="Times New Roman" w:cs="Times New Roman"/>
          <w:szCs w:val="22"/>
        </w:rPr>
      </w:pPr>
    </w:p>
    <w:p w14:paraId="4ED7F628" w14:textId="77777777" w:rsidR="00411937" w:rsidRPr="00AC18ED" w:rsidRDefault="00411937" w:rsidP="00AC18ED">
      <w:pPr>
        <w:spacing w:after="120" w:line="276" w:lineRule="auto"/>
        <w:jc w:val="both"/>
        <w:rPr>
          <w:rFonts w:ascii="Times New Roman" w:hAnsi="Times New Roman" w:cs="Times New Roman"/>
          <w:szCs w:val="22"/>
        </w:rPr>
      </w:pPr>
    </w:p>
    <w:p w14:paraId="4E0B45CE" w14:textId="77777777" w:rsidR="00411937" w:rsidRPr="00AC18ED" w:rsidRDefault="00411937" w:rsidP="00AC18ED">
      <w:pPr>
        <w:spacing w:after="120" w:line="276" w:lineRule="auto"/>
        <w:jc w:val="both"/>
        <w:rPr>
          <w:rFonts w:ascii="Times New Roman" w:hAnsi="Times New Roman" w:cs="Times New Roman"/>
          <w:szCs w:val="22"/>
        </w:rPr>
      </w:pPr>
    </w:p>
    <w:p w14:paraId="2181D18B" w14:textId="77777777" w:rsidR="00411937" w:rsidRPr="00AC18ED" w:rsidRDefault="00411937" w:rsidP="00AC18ED">
      <w:pPr>
        <w:spacing w:after="120" w:line="276" w:lineRule="auto"/>
        <w:jc w:val="both"/>
        <w:rPr>
          <w:rFonts w:ascii="Times New Roman" w:hAnsi="Times New Roman" w:cs="Times New Roman"/>
          <w:szCs w:val="22"/>
        </w:rPr>
      </w:pPr>
    </w:p>
    <w:p w14:paraId="0C5095F2" w14:textId="77777777" w:rsidR="00411937" w:rsidRPr="00AC18ED" w:rsidRDefault="00411937" w:rsidP="00AC18ED">
      <w:pPr>
        <w:spacing w:after="120" w:line="276" w:lineRule="auto"/>
        <w:jc w:val="both"/>
        <w:rPr>
          <w:rFonts w:ascii="Times New Roman" w:hAnsi="Times New Roman" w:cs="Times New Roman"/>
          <w:szCs w:val="22"/>
        </w:rPr>
      </w:pPr>
    </w:p>
    <w:p w14:paraId="0A950D3B" w14:textId="77777777" w:rsidR="00411937" w:rsidRPr="00AC18ED" w:rsidRDefault="00411937" w:rsidP="00AC18ED">
      <w:pPr>
        <w:spacing w:after="120" w:line="276" w:lineRule="auto"/>
        <w:jc w:val="both"/>
        <w:rPr>
          <w:rFonts w:ascii="Times New Roman" w:hAnsi="Times New Roman" w:cs="Times New Roman"/>
          <w:szCs w:val="22"/>
        </w:rPr>
      </w:pPr>
    </w:p>
    <w:p w14:paraId="13293946" w14:textId="77777777" w:rsidR="00411937" w:rsidRPr="00AC18ED" w:rsidRDefault="00411937" w:rsidP="00AC18ED">
      <w:pPr>
        <w:spacing w:after="120" w:line="276" w:lineRule="auto"/>
        <w:jc w:val="both"/>
        <w:rPr>
          <w:rFonts w:ascii="Times New Roman" w:hAnsi="Times New Roman" w:cs="Times New Roman"/>
          <w:szCs w:val="22"/>
        </w:rPr>
      </w:pPr>
    </w:p>
    <w:p w14:paraId="2F86E5AF" w14:textId="77777777" w:rsidR="00411937" w:rsidRPr="00AC18ED" w:rsidRDefault="00411937" w:rsidP="00AC18ED">
      <w:pPr>
        <w:spacing w:after="120" w:line="276" w:lineRule="auto"/>
        <w:jc w:val="both"/>
        <w:rPr>
          <w:rFonts w:ascii="Times New Roman" w:hAnsi="Times New Roman" w:cs="Times New Roman"/>
          <w:szCs w:val="22"/>
        </w:rPr>
      </w:pPr>
    </w:p>
    <w:p w14:paraId="65262757" w14:textId="77777777" w:rsidR="00411937" w:rsidRPr="00AC18ED" w:rsidRDefault="00411937" w:rsidP="00AC18ED">
      <w:pPr>
        <w:spacing w:after="120" w:line="276" w:lineRule="auto"/>
        <w:jc w:val="both"/>
        <w:rPr>
          <w:rFonts w:ascii="Times New Roman" w:hAnsi="Times New Roman" w:cs="Times New Roman"/>
          <w:szCs w:val="22"/>
        </w:rPr>
      </w:pPr>
    </w:p>
    <w:p w14:paraId="03C01A5D" w14:textId="77777777" w:rsidR="00411937" w:rsidRPr="00AC18ED" w:rsidRDefault="00411937" w:rsidP="00AC18ED">
      <w:pPr>
        <w:spacing w:after="120" w:line="276" w:lineRule="auto"/>
        <w:jc w:val="both"/>
        <w:rPr>
          <w:rFonts w:ascii="Times New Roman" w:hAnsi="Times New Roman" w:cs="Times New Roman"/>
          <w:szCs w:val="22"/>
        </w:rPr>
      </w:pPr>
    </w:p>
    <w:p w14:paraId="7BC00885" w14:textId="77777777" w:rsidR="00411937" w:rsidRPr="00AC18ED" w:rsidRDefault="00411937" w:rsidP="00AC18ED">
      <w:pPr>
        <w:spacing w:after="120" w:line="276" w:lineRule="auto"/>
        <w:jc w:val="both"/>
        <w:rPr>
          <w:rFonts w:ascii="Times New Roman" w:hAnsi="Times New Roman" w:cs="Times New Roman"/>
          <w:szCs w:val="22"/>
        </w:rPr>
      </w:pPr>
    </w:p>
    <w:p w14:paraId="1113D300" w14:textId="77777777" w:rsidR="00411937" w:rsidRPr="00AC18ED" w:rsidRDefault="00411937" w:rsidP="00AC18ED">
      <w:pPr>
        <w:spacing w:after="120" w:line="276" w:lineRule="auto"/>
        <w:jc w:val="both"/>
        <w:rPr>
          <w:rFonts w:ascii="Times New Roman" w:hAnsi="Times New Roman" w:cs="Times New Roman"/>
          <w:szCs w:val="22"/>
        </w:rPr>
      </w:pPr>
    </w:p>
    <w:p w14:paraId="40926411" w14:textId="779CD2E0" w:rsidR="00F74593" w:rsidRPr="00AC18ED" w:rsidRDefault="00F74593" w:rsidP="00AC18ED">
      <w:pPr>
        <w:pStyle w:val="Heading1"/>
        <w:numPr>
          <w:ilvl w:val="0"/>
          <w:numId w:val="11"/>
        </w:numPr>
        <w:spacing w:before="0" w:after="120" w:line="276" w:lineRule="auto"/>
        <w:rPr>
          <w:rFonts w:ascii="Times New Roman" w:hAnsi="Times New Roman" w:cs="Times New Roman"/>
          <w:b/>
          <w:sz w:val="24"/>
          <w:szCs w:val="22"/>
        </w:rPr>
      </w:pPr>
      <w:bookmarkStart w:id="9" w:name="_Toc512010731"/>
      <w:bookmarkStart w:id="10" w:name="_Toc22630730"/>
      <w:r w:rsidRPr="00AC18ED">
        <w:rPr>
          <w:rFonts w:ascii="Times New Roman" w:hAnsi="Times New Roman" w:cs="Times New Roman"/>
          <w:b/>
          <w:sz w:val="24"/>
          <w:szCs w:val="22"/>
        </w:rPr>
        <w:lastRenderedPageBreak/>
        <w:t xml:space="preserve">Revised National Ambient Air Quality </w:t>
      </w:r>
      <w:r w:rsidR="00E5111B" w:rsidRPr="00AC18ED">
        <w:rPr>
          <w:rFonts w:ascii="Times New Roman" w:hAnsi="Times New Roman" w:cs="Times New Roman"/>
          <w:b/>
          <w:sz w:val="24"/>
          <w:szCs w:val="22"/>
        </w:rPr>
        <w:t>Standard</w:t>
      </w:r>
      <w:r w:rsidR="00E5111B">
        <w:rPr>
          <w:rFonts w:ascii="Times New Roman" w:hAnsi="Times New Roman" w:cs="Times New Roman"/>
          <w:b/>
          <w:sz w:val="24"/>
          <w:szCs w:val="22"/>
        </w:rPr>
        <w:t xml:space="preserve"> </w:t>
      </w:r>
      <w:r w:rsidR="00E5111B" w:rsidRPr="00AC18ED">
        <w:rPr>
          <w:rFonts w:ascii="Times New Roman" w:hAnsi="Times New Roman" w:cs="Times New Roman"/>
          <w:b/>
          <w:sz w:val="24"/>
          <w:szCs w:val="22"/>
        </w:rPr>
        <w:t xml:space="preserve"> </w:t>
      </w:r>
      <w:r w:rsidRPr="00AC18ED">
        <w:rPr>
          <w:rFonts w:ascii="Times New Roman" w:hAnsi="Times New Roman" w:cs="Times New Roman"/>
          <w:b/>
          <w:sz w:val="24"/>
          <w:szCs w:val="22"/>
        </w:rPr>
        <w:t>(NAAQS)</w:t>
      </w:r>
      <w:bookmarkEnd w:id="9"/>
      <w:bookmarkEnd w:id="10"/>
    </w:p>
    <w:p w14:paraId="4B15BB70" w14:textId="018D29F8" w:rsidR="00F74593" w:rsidRPr="00AC18ED" w:rsidRDefault="00F74593" w:rsidP="00AC18ED">
      <w:pPr>
        <w:spacing w:after="120" w:line="276" w:lineRule="auto"/>
        <w:rPr>
          <w:rFonts w:ascii="Times New Roman" w:eastAsia="Times New Roman" w:hAnsi="Times New Roman" w:cs="Times New Roman"/>
          <w:szCs w:val="22"/>
        </w:rPr>
      </w:pPr>
      <w:r w:rsidRPr="00AC18ED">
        <w:rPr>
          <w:rFonts w:ascii="Times New Roman" w:eastAsia="Times New Roman" w:hAnsi="Times New Roman" w:cs="Times New Roman"/>
          <w:szCs w:val="22"/>
        </w:rPr>
        <w:t xml:space="preserve">The current </w:t>
      </w:r>
      <w:r w:rsidR="007F1A67">
        <w:rPr>
          <w:rFonts w:ascii="Times New Roman" w:eastAsia="Times New Roman" w:hAnsi="Times New Roman" w:cs="Times New Roman"/>
          <w:szCs w:val="22"/>
        </w:rPr>
        <w:t xml:space="preserve">Indian </w:t>
      </w:r>
      <w:r w:rsidRPr="00AC18ED">
        <w:rPr>
          <w:rFonts w:ascii="Times New Roman" w:eastAsia="Times New Roman" w:hAnsi="Times New Roman" w:cs="Times New Roman"/>
          <w:szCs w:val="22"/>
        </w:rPr>
        <w:t>National Ambient Air Quality Standard</w:t>
      </w:r>
      <w:r w:rsidR="00E5111B">
        <w:rPr>
          <w:rFonts w:ascii="Times New Roman" w:eastAsia="Times New Roman" w:hAnsi="Times New Roman" w:cs="Times New Roman"/>
          <w:szCs w:val="22"/>
        </w:rPr>
        <w:t xml:space="preserve"> </w:t>
      </w:r>
      <w:r w:rsidR="00EB7EEF">
        <w:rPr>
          <w:rFonts w:ascii="Times New Roman" w:eastAsia="Times New Roman" w:hAnsi="Times New Roman" w:cs="Times New Roman"/>
          <w:szCs w:val="22"/>
        </w:rPr>
        <w:t xml:space="preserve">(NAAQS) </w:t>
      </w:r>
      <w:r w:rsidR="00E5111B">
        <w:rPr>
          <w:rFonts w:ascii="Times New Roman" w:eastAsia="Times New Roman" w:hAnsi="Times New Roman" w:cs="Times New Roman"/>
          <w:szCs w:val="22"/>
        </w:rPr>
        <w:t xml:space="preserve">was </w:t>
      </w:r>
      <w:r w:rsidR="00944B5A">
        <w:rPr>
          <w:rFonts w:ascii="Times New Roman" w:eastAsia="Times New Roman" w:hAnsi="Times New Roman" w:cs="Times New Roman"/>
          <w:szCs w:val="22"/>
        </w:rPr>
        <w:t>published</w:t>
      </w:r>
      <w:r w:rsidR="00944B5A" w:rsidRPr="00AC18ED">
        <w:rPr>
          <w:rFonts w:ascii="Times New Roman" w:eastAsia="Times New Roman" w:hAnsi="Times New Roman" w:cs="Times New Roman"/>
          <w:szCs w:val="22"/>
        </w:rPr>
        <w:t xml:space="preserve"> </w:t>
      </w:r>
      <w:r w:rsidRPr="00AC18ED">
        <w:rPr>
          <w:rFonts w:ascii="Times New Roman" w:eastAsia="Times New Roman" w:hAnsi="Times New Roman" w:cs="Times New Roman"/>
          <w:szCs w:val="22"/>
        </w:rPr>
        <w:t>on 18</w:t>
      </w:r>
      <w:r w:rsidR="00EB7EEF" w:rsidRPr="00330A33">
        <w:rPr>
          <w:rFonts w:ascii="Times New Roman" w:eastAsia="Times New Roman" w:hAnsi="Times New Roman" w:cs="Times New Roman"/>
          <w:szCs w:val="22"/>
          <w:vertAlign w:val="superscript"/>
        </w:rPr>
        <w:t>th</w:t>
      </w:r>
      <w:r w:rsidR="00EB7EEF">
        <w:rPr>
          <w:rFonts w:ascii="Times New Roman" w:eastAsia="Times New Roman" w:hAnsi="Times New Roman" w:cs="Times New Roman"/>
          <w:szCs w:val="22"/>
        </w:rPr>
        <w:t xml:space="preserve"> </w:t>
      </w:r>
      <w:r w:rsidRPr="00AC18ED">
        <w:rPr>
          <w:rFonts w:ascii="Times New Roman" w:eastAsia="Times New Roman" w:hAnsi="Times New Roman" w:cs="Times New Roman"/>
          <w:szCs w:val="22"/>
        </w:rPr>
        <w:t>November 2009.</w:t>
      </w:r>
    </w:p>
    <w:p w14:paraId="606E69EF" w14:textId="50FC37C3" w:rsidR="00F74593" w:rsidRPr="00AC18ED" w:rsidRDefault="00F74593" w:rsidP="00AC18ED">
      <w:pPr>
        <w:spacing w:after="0" w:line="240" w:lineRule="auto"/>
        <w:rPr>
          <w:rFonts w:ascii="Times New Roman" w:eastAsia="Times New Roman" w:hAnsi="Times New Roman" w:cs="Times New Roman"/>
          <w:b/>
          <w:szCs w:val="22"/>
        </w:rPr>
      </w:pPr>
      <w:r w:rsidRPr="00AC18ED">
        <w:rPr>
          <w:rFonts w:ascii="Times New Roman" w:eastAsia="Times New Roman" w:hAnsi="Times New Roman" w:cs="Times New Roman"/>
          <w:b/>
          <w:szCs w:val="22"/>
        </w:rPr>
        <w:t>Table S.1: National Ambient Air Quality Standards</w:t>
      </w:r>
      <w:r w:rsidR="00E5111B">
        <w:rPr>
          <w:rFonts w:ascii="Times New Roman" w:eastAsia="Times New Roman" w:hAnsi="Times New Roman" w:cs="Times New Roman"/>
          <w:b/>
          <w:szCs w:val="22"/>
        </w:rPr>
        <w:t xml:space="preserve"> </w:t>
      </w:r>
    </w:p>
    <w:p w14:paraId="06E2F189" w14:textId="77777777" w:rsidR="00F74593" w:rsidRPr="00AC18ED" w:rsidRDefault="00F74593" w:rsidP="00AC18ED">
      <w:pPr>
        <w:spacing w:after="0" w:line="240" w:lineRule="auto"/>
        <w:rPr>
          <w:rFonts w:ascii="Times New Roman" w:hAnsi="Times New Roman" w:cs="Times New Roman"/>
          <w:szCs w:val="22"/>
        </w:rPr>
      </w:pPr>
    </w:p>
    <w:tbl>
      <w:tblPr>
        <w:tblStyle w:val="TableGrid"/>
        <w:tblW w:w="0" w:type="auto"/>
        <w:tblLook w:val="04A0" w:firstRow="1" w:lastRow="0" w:firstColumn="1" w:lastColumn="0" w:noHBand="0" w:noVBand="1"/>
      </w:tblPr>
      <w:tblGrid>
        <w:gridCol w:w="621"/>
        <w:gridCol w:w="2138"/>
        <w:gridCol w:w="1311"/>
        <w:gridCol w:w="808"/>
        <w:gridCol w:w="1097"/>
        <w:gridCol w:w="3041"/>
      </w:tblGrid>
      <w:tr w:rsidR="00F74593" w:rsidRPr="00AC18ED" w14:paraId="5B49957E" w14:textId="77777777" w:rsidTr="00F74593">
        <w:trPr>
          <w:trHeight w:val="395"/>
        </w:trPr>
        <w:tc>
          <w:tcPr>
            <w:tcW w:w="625" w:type="dxa"/>
          </w:tcPr>
          <w:p w14:paraId="4B58C3F9" w14:textId="77777777" w:rsidR="00F74593" w:rsidRPr="00AC18ED" w:rsidRDefault="00F74593" w:rsidP="00AC18ED">
            <w:pPr>
              <w:jc w:val="center"/>
              <w:rPr>
                <w:rFonts w:ascii="Times New Roman" w:eastAsia="Times New Roman" w:hAnsi="Times New Roman" w:cs="Times New Roman"/>
                <w:b/>
                <w:sz w:val="20"/>
                <w:szCs w:val="22"/>
              </w:rPr>
            </w:pPr>
            <w:r w:rsidRPr="00AC18ED">
              <w:rPr>
                <w:rFonts w:ascii="Times New Roman" w:eastAsia="Times New Roman" w:hAnsi="Times New Roman" w:cs="Times New Roman"/>
                <w:b/>
                <w:sz w:val="20"/>
                <w:szCs w:val="22"/>
              </w:rPr>
              <w:t>S. No.</w:t>
            </w:r>
          </w:p>
          <w:p w14:paraId="276311EF" w14:textId="77777777" w:rsidR="00F74593" w:rsidRPr="00AC18ED" w:rsidRDefault="00F74593" w:rsidP="00AC18ED">
            <w:pPr>
              <w:jc w:val="center"/>
              <w:rPr>
                <w:rFonts w:ascii="Times New Roman" w:hAnsi="Times New Roman" w:cs="Times New Roman"/>
                <w:b/>
                <w:sz w:val="20"/>
                <w:szCs w:val="22"/>
              </w:rPr>
            </w:pPr>
          </w:p>
        </w:tc>
        <w:tc>
          <w:tcPr>
            <w:tcW w:w="2160" w:type="dxa"/>
          </w:tcPr>
          <w:p w14:paraId="1EB3B593" w14:textId="77777777" w:rsidR="00F74593" w:rsidRPr="00AC18ED" w:rsidRDefault="00F74593" w:rsidP="00AC18ED">
            <w:pPr>
              <w:jc w:val="center"/>
              <w:rPr>
                <w:rFonts w:ascii="Times New Roman" w:eastAsia="Times New Roman" w:hAnsi="Times New Roman" w:cs="Times New Roman"/>
                <w:b/>
                <w:sz w:val="20"/>
                <w:szCs w:val="22"/>
              </w:rPr>
            </w:pPr>
            <w:r w:rsidRPr="00AC18ED">
              <w:rPr>
                <w:rFonts w:ascii="Times New Roman" w:eastAsia="Times New Roman" w:hAnsi="Times New Roman" w:cs="Times New Roman"/>
                <w:b/>
                <w:sz w:val="20"/>
                <w:szCs w:val="22"/>
              </w:rPr>
              <w:t>Pollutants</w:t>
            </w:r>
          </w:p>
          <w:p w14:paraId="6F498145" w14:textId="77777777" w:rsidR="00F74593" w:rsidRPr="00AC18ED" w:rsidRDefault="00F74593" w:rsidP="00AC18ED">
            <w:pPr>
              <w:jc w:val="center"/>
              <w:rPr>
                <w:rFonts w:ascii="Times New Roman" w:hAnsi="Times New Roman" w:cs="Times New Roman"/>
                <w:b/>
                <w:sz w:val="20"/>
                <w:szCs w:val="22"/>
              </w:rPr>
            </w:pPr>
          </w:p>
        </w:tc>
        <w:tc>
          <w:tcPr>
            <w:tcW w:w="1321" w:type="dxa"/>
          </w:tcPr>
          <w:p w14:paraId="71F12F19" w14:textId="77777777" w:rsidR="00F74593" w:rsidRPr="00AC18ED" w:rsidRDefault="00F74593" w:rsidP="00AC18ED">
            <w:pPr>
              <w:jc w:val="center"/>
              <w:rPr>
                <w:rFonts w:ascii="Times New Roman" w:eastAsia="Times New Roman" w:hAnsi="Times New Roman" w:cs="Times New Roman"/>
                <w:b/>
                <w:sz w:val="20"/>
                <w:szCs w:val="22"/>
              </w:rPr>
            </w:pPr>
            <w:r w:rsidRPr="00AC18ED">
              <w:rPr>
                <w:rFonts w:ascii="Times New Roman" w:eastAsia="Times New Roman" w:hAnsi="Times New Roman" w:cs="Times New Roman"/>
                <w:b/>
                <w:sz w:val="20"/>
                <w:szCs w:val="22"/>
              </w:rPr>
              <w:t>Time</w:t>
            </w:r>
          </w:p>
          <w:p w14:paraId="4CA8B5D0" w14:textId="77777777" w:rsidR="00F74593" w:rsidRPr="00AC18ED" w:rsidRDefault="00F74593" w:rsidP="00AC18ED">
            <w:pPr>
              <w:jc w:val="center"/>
              <w:rPr>
                <w:rFonts w:ascii="Times New Roman" w:eastAsia="Times New Roman" w:hAnsi="Times New Roman" w:cs="Times New Roman"/>
                <w:b/>
                <w:sz w:val="20"/>
                <w:szCs w:val="22"/>
              </w:rPr>
            </w:pPr>
            <w:r w:rsidRPr="00AC18ED">
              <w:rPr>
                <w:rFonts w:ascii="Times New Roman" w:eastAsia="Times New Roman" w:hAnsi="Times New Roman" w:cs="Times New Roman"/>
                <w:b/>
                <w:sz w:val="20"/>
                <w:szCs w:val="22"/>
              </w:rPr>
              <w:t>weighted</w:t>
            </w:r>
          </w:p>
          <w:p w14:paraId="7F53BD68" w14:textId="77777777" w:rsidR="00F74593" w:rsidRPr="00AC18ED" w:rsidRDefault="00F74593" w:rsidP="00AC18ED">
            <w:pPr>
              <w:jc w:val="center"/>
              <w:rPr>
                <w:rFonts w:ascii="Times New Roman" w:eastAsia="Times New Roman" w:hAnsi="Times New Roman" w:cs="Times New Roman"/>
                <w:b/>
                <w:sz w:val="20"/>
                <w:szCs w:val="22"/>
              </w:rPr>
            </w:pPr>
            <w:r w:rsidRPr="00AC18ED">
              <w:rPr>
                <w:rFonts w:ascii="Times New Roman" w:eastAsia="Times New Roman" w:hAnsi="Times New Roman" w:cs="Times New Roman"/>
                <w:b/>
                <w:sz w:val="20"/>
                <w:szCs w:val="22"/>
              </w:rPr>
              <w:t>average</w:t>
            </w:r>
          </w:p>
        </w:tc>
        <w:tc>
          <w:tcPr>
            <w:tcW w:w="1920" w:type="dxa"/>
            <w:gridSpan w:val="2"/>
          </w:tcPr>
          <w:p w14:paraId="4A963E9C" w14:textId="77777777" w:rsidR="00F74593" w:rsidRPr="00AC18ED" w:rsidRDefault="00F74593" w:rsidP="00AC18ED">
            <w:pPr>
              <w:jc w:val="center"/>
              <w:rPr>
                <w:rFonts w:ascii="Times New Roman" w:eastAsia="Times New Roman" w:hAnsi="Times New Roman" w:cs="Times New Roman"/>
                <w:b/>
                <w:sz w:val="20"/>
                <w:szCs w:val="22"/>
              </w:rPr>
            </w:pPr>
            <w:r w:rsidRPr="00AC18ED">
              <w:rPr>
                <w:rFonts w:ascii="Times New Roman" w:eastAsia="Times New Roman" w:hAnsi="Times New Roman" w:cs="Times New Roman"/>
                <w:b/>
                <w:sz w:val="20"/>
                <w:szCs w:val="22"/>
              </w:rPr>
              <w:t>Concentration in ambient air</w:t>
            </w:r>
          </w:p>
          <w:p w14:paraId="00ECBC05" w14:textId="77777777" w:rsidR="00F74593" w:rsidRPr="00AC18ED" w:rsidRDefault="00F74593" w:rsidP="00AC18ED">
            <w:pPr>
              <w:jc w:val="center"/>
              <w:rPr>
                <w:rFonts w:ascii="Times New Roman" w:hAnsi="Times New Roman" w:cs="Times New Roman"/>
                <w:b/>
                <w:sz w:val="20"/>
                <w:szCs w:val="22"/>
              </w:rPr>
            </w:pPr>
          </w:p>
        </w:tc>
        <w:tc>
          <w:tcPr>
            <w:tcW w:w="3082" w:type="dxa"/>
          </w:tcPr>
          <w:p w14:paraId="14F5BB06" w14:textId="77777777" w:rsidR="00F74593" w:rsidRPr="00AC18ED" w:rsidRDefault="00F74593" w:rsidP="00AC18ED">
            <w:pPr>
              <w:jc w:val="center"/>
              <w:rPr>
                <w:rFonts w:ascii="Times New Roman" w:eastAsia="Times New Roman" w:hAnsi="Times New Roman" w:cs="Times New Roman"/>
                <w:b/>
                <w:sz w:val="20"/>
                <w:szCs w:val="22"/>
              </w:rPr>
            </w:pPr>
            <w:r w:rsidRPr="00AC18ED">
              <w:rPr>
                <w:rFonts w:ascii="Times New Roman" w:eastAsia="Times New Roman" w:hAnsi="Times New Roman" w:cs="Times New Roman"/>
                <w:b/>
                <w:sz w:val="20"/>
                <w:szCs w:val="22"/>
              </w:rPr>
              <w:t>Methods of measurement</w:t>
            </w:r>
          </w:p>
          <w:p w14:paraId="3214994B" w14:textId="77777777" w:rsidR="00F74593" w:rsidRPr="00AC18ED" w:rsidRDefault="00F74593" w:rsidP="00AC18ED">
            <w:pPr>
              <w:jc w:val="center"/>
              <w:rPr>
                <w:rFonts w:ascii="Times New Roman" w:hAnsi="Times New Roman" w:cs="Times New Roman"/>
                <w:b/>
                <w:sz w:val="20"/>
                <w:szCs w:val="22"/>
              </w:rPr>
            </w:pPr>
          </w:p>
        </w:tc>
      </w:tr>
      <w:tr w:rsidR="00F74593" w:rsidRPr="00AC18ED" w14:paraId="44E3D06A" w14:textId="77777777" w:rsidTr="00F74593">
        <w:trPr>
          <w:trHeight w:val="260"/>
        </w:trPr>
        <w:tc>
          <w:tcPr>
            <w:tcW w:w="625" w:type="dxa"/>
            <w:vMerge w:val="restart"/>
          </w:tcPr>
          <w:p w14:paraId="30F8F0A8"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1.</w:t>
            </w:r>
          </w:p>
        </w:tc>
        <w:tc>
          <w:tcPr>
            <w:tcW w:w="2160" w:type="dxa"/>
            <w:vMerge w:val="restart"/>
          </w:tcPr>
          <w:p w14:paraId="59353226" w14:textId="613DF22C" w:rsidR="00F74593" w:rsidRPr="00AC18ED" w:rsidRDefault="008F6DBB"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Sul</w:t>
            </w:r>
            <w:r>
              <w:rPr>
                <w:rFonts w:ascii="Times New Roman" w:eastAsia="Times New Roman" w:hAnsi="Times New Roman" w:cs="Times New Roman"/>
                <w:sz w:val="20"/>
                <w:szCs w:val="22"/>
              </w:rPr>
              <w:t>f</w:t>
            </w:r>
            <w:r w:rsidRPr="00AC18ED">
              <w:rPr>
                <w:rFonts w:ascii="Times New Roman" w:eastAsia="Times New Roman" w:hAnsi="Times New Roman" w:cs="Times New Roman"/>
                <w:sz w:val="20"/>
                <w:szCs w:val="22"/>
              </w:rPr>
              <w:t xml:space="preserve">ur </w:t>
            </w:r>
            <w:r>
              <w:rPr>
                <w:rFonts w:ascii="Times New Roman" w:eastAsia="Times New Roman" w:hAnsi="Times New Roman" w:cs="Times New Roman"/>
                <w:sz w:val="20"/>
                <w:szCs w:val="22"/>
              </w:rPr>
              <w:t>d</w:t>
            </w:r>
            <w:r w:rsidRPr="00AC18ED">
              <w:rPr>
                <w:rFonts w:ascii="Times New Roman" w:eastAsia="Times New Roman" w:hAnsi="Times New Roman" w:cs="Times New Roman"/>
                <w:sz w:val="20"/>
                <w:szCs w:val="22"/>
              </w:rPr>
              <w:t xml:space="preserve">ioxide </w:t>
            </w:r>
          </w:p>
          <w:p w14:paraId="68D1C2D4"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(SO</w:t>
            </w:r>
            <w:r w:rsidRPr="00AC18ED">
              <w:rPr>
                <w:rFonts w:ascii="Times New Roman" w:eastAsia="Times New Roman" w:hAnsi="Times New Roman" w:cs="Times New Roman"/>
                <w:sz w:val="20"/>
                <w:szCs w:val="22"/>
                <w:vertAlign w:val="subscript"/>
              </w:rPr>
              <w:t>2</w:t>
            </w:r>
            <w:r w:rsidRPr="00AC18ED">
              <w:rPr>
                <w:rFonts w:ascii="Times New Roman" w:eastAsia="Times New Roman" w:hAnsi="Times New Roman" w:cs="Times New Roman"/>
                <w:sz w:val="20"/>
                <w:szCs w:val="22"/>
              </w:rPr>
              <w:t>), μg/m</w:t>
            </w:r>
            <w:r w:rsidRPr="00AC18ED">
              <w:rPr>
                <w:rFonts w:ascii="Times New Roman" w:eastAsia="Times New Roman" w:hAnsi="Times New Roman" w:cs="Times New Roman"/>
                <w:sz w:val="20"/>
                <w:szCs w:val="22"/>
                <w:vertAlign w:val="superscript"/>
              </w:rPr>
              <w:t>3</w:t>
            </w:r>
          </w:p>
        </w:tc>
        <w:tc>
          <w:tcPr>
            <w:tcW w:w="1321" w:type="dxa"/>
          </w:tcPr>
          <w:p w14:paraId="522C35DA"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Annual*</w:t>
            </w:r>
          </w:p>
        </w:tc>
        <w:tc>
          <w:tcPr>
            <w:tcW w:w="810" w:type="dxa"/>
          </w:tcPr>
          <w:p w14:paraId="051AC92F"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50</w:t>
            </w:r>
          </w:p>
        </w:tc>
        <w:tc>
          <w:tcPr>
            <w:tcW w:w="1110" w:type="dxa"/>
          </w:tcPr>
          <w:p w14:paraId="6FA4D382"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20</w:t>
            </w:r>
          </w:p>
        </w:tc>
        <w:tc>
          <w:tcPr>
            <w:tcW w:w="3082" w:type="dxa"/>
            <w:vMerge w:val="restart"/>
          </w:tcPr>
          <w:p w14:paraId="21530E5A" w14:textId="3AE94415"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1. Improved West and Gaeke </w:t>
            </w:r>
          </w:p>
          <w:p w14:paraId="0A5A4A5F" w14:textId="77777777"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2. Ultraviolet Fluorescence</w:t>
            </w:r>
          </w:p>
        </w:tc>
      </w:tr>
      <w:tr w:rsidR="00F74593" w:rsidRPr="00AC18ED" w14:paraId="29A72AB9" w14:textId="77777777" w:rsidTr="00F74593">
        <w:trPr>
          <w:trHeight w:val="170"/>
        </w:trPr>
        <w:tc>
          <w:tcPr>
            <w:tcW w:w="625" w:type="dxa"/>
            <w:vMerge/>
          </w:tcPr>
          <w:p w14:paraId="72BF4B4C" w14:textId="77777777" w:rsidR="00F74593" w:rsidRPr="00AC18ED" w:rsidRDefault="00F74593" w:rsidP="00AC18ED">
            <w:pPr>
              <w:rPr>
                <w:rFonts w:ascii="Times New Roman" w:hAnsi="Times New Roman" w:cs="Times New Roman"/>
                <w:sz w:val="20"/>
                <w:szCs w:val="22"/>
              </w:rPr>
            </w:pPr>
          </w:p>
        </w:tc>
        <w:tc>
          <w:tcPr>
            <w:tcW w:w="2160" w:type="dxa"/>
            <w:vMerge/>
          </w:tcPr>
          <w:p w14:paraId="2FB885D1" w14:textId="77777777" w:rsidR="00F74593" w:rsidRPr="00AC18ED" w:rsidRDefault="00F74593" w:rsidP="00AC18ED">
            <w:pPr>
              <w:rPr>
                <w:rFonts w:ascii="Times New Roman" w:hAnsi="Times New Roman" w:cs="Times New Roman"/>
                <w:sz w:val="20"/>
                <w:szCs w:val="22"/>
              </w:rPr>
            </w:pPr>
          </w:p>
        </w:tc>
        <w:tc>
          <w:tcPr>
            <w:tcW w:w="1321" w:type="dxa"/>
          </w:tcPr>
          <w:p w14:paraId="54F26948"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24 Hours**</w:t>
            </w:r>
          </w:p>
        </w:tc>
        <w:tc>
          <w:tcPr>
            <w:tcW w:w="810" w:type="dxa"/>
          </w:tcPr>
          <w:p w14:paraId="72BDDE7F"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80</w:t>
            </w:r>
          </w:p>
        </w:tc>
        <w:tc>
          <w:tcPr>
            <w:tcW w:w="1110" w:type="dxa"/>
          </w:tcPr>
          <w:p w14:paraId="790DAB30"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80</w:t>
            </w:r>
          </w:p>
        </w:tc>
        <w:tc>
          <w:tcPr>
            <w:tcW w:w="3082" w:type="dxa"/>
            <w:vMerge/>
          </w:tcPr>
          <w:p w14:paraId="1C6D56C9" w14:textId="77777777" w:rsidR="00F74593" w:rsidRPr="00AC18ED" w:rsidRDefault="00F74593" w:rsidP="00AC18ED">
            <w:pPr>
              <w:jc w:val="both"/>
              <w:rPr>
                <w:rFonts w:ascii="Times New Roman" w:hAnsi="Times New Roman" w:cs="Times New Roman"/>
                <w:sz w:val="20"/>
                <w:szCs w:val="22"/>
              </w:rPr>
            </w:pPr>
          </w:p>
        </w:tc>
      </w:tr>
      <w:tr w:rsidR="00F74593" w:rsidRPr="00AC18ED" w14:paraId="297FDEE5" w14:textId="77777777" w:rsidTr="00F74593">
        <w:trPr>
          <w:trHeight w:val="350"/>
        </w:trPr>
        <w:tc>
          <w:tcPr>
            <w:tcW w:w="625" w:type="dxa"/>
            <w:vMerge w:val="restart"/>
          </w:tcPr>
          <w:p w14:paraId="0D1EBC8C"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2.</w:t>
            </w:r>
          </w:p>
        </w:tc>
        <w:tc>
          <w:tcPr>
            <w:tcW w:w="2160" w:type="dxa"/>
            <w:vMerge w:val="restart"/>
          </w:tcPr>
          <w:p w14:paraId="6F340951" w14:textId="20807CDE" w:rsidR="00F74593" w:rsidRPr="0012750C" w:rsidRDefault="00F74593" w:rsidP="00AC18ED">
            <w:pPr>
              <w:rPr>
                <w:rFonts w:ascii="Times New Roman" w:eastAsia="Times New Roman" w:hAnsi="Times New Roman" w:cs="Times New Roman"/>
                <w:sz w:val="20"/>
                <w:szCs w:val="22"/>
                <w:lang w:val="es-ES"/>
              </w:rPr>
            </w:pPr>
            <w:r w:rsidRPr="0012750C">
              <w:rPr>
                <w:rFonts w:ascii="Times New Roman" w:eastAsia="Times New Roman" w:hAnsi="Times New Roman" w:cs="Times New Roman"/>
                <w:sz w:val="20"/>
                <w:szCs w:val="22"/>
                <w:lang w:val="es-ES"/>
              </w:rPr>
              <w:t xml:space="preserve">Nitrogen </w:t>
            </w:r>
            <w:r w:rsidR="008F6DBB">
              <w:rPr>
                <w:rFonts w:ascii="Times New Roman" w:eastAsia="Times New Roman" w:hAnsi="Times New Roman" w:cs="Times New Roman"/>
                <w:sz w:val="20"/>
                <w:szCs w:val="22"/>
                <w:lang w:val="es-ES"/>
              </w:rPr>
              <w:t>d</w:t>
            </w:r>
            <w:r w:rsidR="008F6DBB" w:rsidRPr="0012750C">
              <w:rPr>
                <w:rFonts w:ascii="Times New Roman" w:eastAsia="Times New Roman" w:hAnsi="Times New Roman" w:cs="Times New Roman"/>
                <w:sz w:val="20"/>
                <w:szCs w:val="22"/>
                <w:lang w:val="es-ES"/>
              </w:rPr>
              <w:t xml:space="preserve">ioxide </w:t>
            </w:r>
          </w:p>
          <w:p w14:paraId="3A566D0D" w14:textId="77777777" w:rsidR="00F74593" w:rsidRPr="0012750C" w:rsidRDefault="00F74593" w:rsidP="00AC18ED">
            <w:pPr>
              <w:rPr>
                <w:rFonts w:ascii="Times New Roman" w:eastAsia="Times New Roman" w:hAnsi="Times New Roman" w:cs="Times New Roman"/>
                <w:sz w:val="20"/>
                <w:szCs w:val="22"/>
                <w:lang w:val="es-ES"/>
              </w:rPr>
            </w:pPr>
            <w:r w:rsidRPr="0012750C">
              <w:rPr>
                <w:rFonts w:ascii="Times New Roman" w:eastAsia="Times New Roman" w:hAnsi="Times New Roman" w:cs="Times New Roman"/>
                <w:sz w:val="20"/>
                <w:szCs w:val="22"/>
                <w:lang w:val="es-ES"/>
              </w:rPr>
              <w:t>(NO</w:t>
            </w:r>
            <w:r w:rsidRPr="0012750C">
              <w:rPr>
                <w:rFonts w:ascii="Times New Roman" w:eastAsia="Times New Roman" w:hAnsi="Times New Roman" w:cs="Times New Roman"/>
                <w:sz w:val="20"/>
                <w:szCs w:val="22"/>
                <w:vertAlign w:val="subscript"/>
                <w:lang w:val="es-ES"/>
              </w:rPr>
              <w:t>2</w:t>
            </w:r>
            <w:r w:rsidRPr="0012750C">
              <w:rPr>
                <w:rFonts w:ascii="Times New Roman" w:eastAsia="Times New Roman" w:hAnsi="Times New Roman" w:cs="Times New Roman"/>
                <w:sz w:val="20"/>
                <w:szCs w:val="22"/>
                <w:lang w:val="es-ES"/>
              </w:rPr>
              <w:t xml:space="preserve">), </w:t>
            </w:r>
            <w:r w:rsidRPr="00AC18ED">
              <w:rPr>
                <w:rFonts w:ascii="Times New Roman" w:eastAsia="Times New Roman" w:hAnsi="Times New Roman" w:cs="Times New Roman"/>
                <w:sz w:val="20"/>
                <w:szCs w:val="22"/>
              </w:rPr>
              <w:t>μ</w:t>
            </w:r>
            <w:r w:rsidRPr="0012750C">
              <w:rPr>
                <w:rFonts w:ascii="Times New Roman" w:eastAsia="Times New Roman" w:hAnsi="Times New Roman" w:cs="Times New Roman"/>
                <w:sz w:val="20"/>
                <w:szCs w:val="22"/>
                <w:lang w:val="es-ES"/>
              </w:rPr>
              <w:t>g/m</w:t>
            </w:r>
            <w:r w:rsidRPr="0012750C">
              <w:rPr>
                <w:rFonts w:ascii="Times New Roman" w:eastAsia="Times New Roman" w:hAnsi="Times New Roman" w:cs="Times New Roman"/>
                <w:sz w:val="20"/>
                <w:szCs w:val="22"/>
                <w:vertAlign w:val="superscript"/>
                <w:lang w:val="es-ES"/>
              </w:rPr>
              <w:t>3</w:t>
            </w:r>
          </w:p>
        </w:tc>
        <w:tc>
          <w:tcPr>
            <w:tcW w:w="1321" w:type="dxa"/>
          </w:tcPr>
          <w:p w14:paraId="20A252AF"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Annual*</w:t>
            </w:r>
          </w:p>
        </w:tc>
        <w:tc>
          <w:tcPr>
            <w:tcW w:w="810" w:type="dxa"/>
          </w:tcPr>
          <w:p w14:paraId="0E4AB794" w14:textId="77777777" w:rsidR="00F74593" w:rsidRPr="00AC18ED" w:rsidRDefault="00F74593" w:rsidP="00AC18ED">
            <w:pPr>
              <w:jc w:val="right"/>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40</w:t>
            </w:r>
          </w:p>
        </w:tc>
        <w:tc>
          <w:tcPr>
            <w:tcW w:w="1110" w:type="dxa"/>
          </w:tcPr>
          <w:p w14:paraId="63715E7D" w14:textId="77777777" w:rsidR="00F74593" w:rsidRPr="00AC18ED" w:rsidRDefault="00F74593" w:rsidP="00AC18ED">
            <w:pPr>
              <w:jc w:val="right"/>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30</w:t>
            </w:r>
          </w:p>
        </w:tc>
        <w:tc>
          <w:tcPr>
            <w:tcW w:w="3082" w:type="dxa"/>
            <w:vMerge w:val="restart"/>
          </w:tcPr>
          <w:p w14:paraId="0F42C452" w14:textId="289BAF32"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1. Modified Jacob &amp; Hochheiser (Na-Arsenite) </w:t>
            </w:r>
          </w:p>
          <w:p w14:paraId="0F722847" w14:textId="77777777"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2. Chemiluminescence</w:t>
            </w:r>
          </w:p>
        </w:tc>
      </w:tr>
      <w:tr w:rsidR="00F74593" w:rsidRPr="00AC18ED" w14:paraId="6F856873" w14:textId="77777777" w:rsidTr="00F74593">
        <w:tc>
          <w:tcPr>
            <w:tcW w:w="625" w:type="dxa"/>
            <w:vMerge/>
          </w:tcPr>
          <w:p w14:paraId="2996CC63" w14:textId="77777777" w:rsidR="00F74593" w:rsidRPr="00AC18ED" w:rsidRDefault="00F74593" w:rsidP="00AC18ED">
            <w:pPr>
              <w:rPr>
                <w:rFonts w:ascii="Times New Roman" w:hAnsi="Times New Roman" w:cs="Times New Roman"/>
                <w:sz w:val="20"/>
                <w:szCs w:val="22"/>
              </w:rPr>
            </w:pPr>
          </w:p>
        </w:tc>
        <w:tc>
          <w:tcPr>
            <w:tcW w:w="2160" w:type="dxa"/>
            <w:vMerge/>
          </w:tcPr>
          <w:p w14:paraId="192BB999" w14:textId="77777777" w:rsidR="00F74593" w:rsidRPr="00AC18ED" w:rsidRDefault="00F74593" w:rsidP="00AC18ED">
            <w:pPr>
              <w:rPr>
                <w:rFonts w:ascii="Times New Roman" w:hAnsi="Times New Roman" w:cs="Times New Roman"/>
                <w:sz w:val="20"/>
                <w:szCs w:val="22"/>
              </w:rPr>
            </w:pPr>
          </w:p>
        </w:tc>
        <w:tc>
          <w:tcPr>
            <w:tcW w:w="1321" w:type="dxa"/>
          </w:tcPr>
          <w:p w14:paraId="3D7BEEEF"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24 Hours**</w:t>
            </w:r>
          </w:p>
        </w:tc>
        <w:tc>
          <w:tcPr>
            <w:tcW w:w="810" w:type="dxa"/>
          </w:tcPr>
          <w:p w14:paraId="568A242F"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80</w:t>
            </w:r>
          </w:p>
        </w:tc>
        <w:tc>
          <w:tcPr>
            <w:tcW w:w="1110" w:type="dxa"/>
          </w:tcPr>
          <w:p w14:paraId="0C9B055B"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80</w:t>
            </w:r>
          </w:p>
        </w:tc>
        <w:tc>
          <w:tcPr>
            <w:tcW w:w="3082" w:type="dxa"/>
            <w:vMerge/>
          </w:tcPr>
          <w:p w14:paraId="32292536" w14:textId="77777777" w:rsidR="00F74593" w:rsidRPr="00AC18ED" w:rsidRDefault="00F74593" w:rsidP="00AC18ED">
            <w:pPr>
              <w:jc w:val="both"/>
              <w:rPr>
                <w:rFonts w:ascii="Times New Roman" w:hAnsi="Times New Roman" w:cs="Times New Roman"/>
                <w:sz w:val="20"/>
                <w:szCs w:val="22"/>
              </w:rPr>
            </w:pPr>
          </w:p>
        </w:tc>
      </w:tr>
      <w:tr w:rsidR="00F74593" w:rsidRPr="00AC18ED" w14:paraId="26955565" w14:textId="77777777" w:rsidTr="00F74593">
        <w:tc>
          <w:tcPr>
            <w:tcW w:w="625" w:type="dxa"/>
            <w:vMerge w:val="restart"/>
          </w:tcPr>
          <w:p w14:paraId="6C04E9D4" w14:textId="77777777" w:rsidR="00F74593" w:rsidRPr="00AC18ED" w:rsidRDefault="00F74593" w:rsidP="00AC18ED">
            <w:pPr>
              <w:rPr>
                <w:rFonts w:ascii="Times New Roman" w:hAnsi="Times New Roman" w:cs="Times New Roman"/>
                <w:sz w:val="20"/>
                <w:szCs w:val="22"/>
              </w:rPr>
            </w:pPr>
            <w:r w:rsidRPr="00AC18ED">
              <w:rPr>
                <w:rFonts w:ascii="Times New Roman" w:hAnsi="Times New Roman" w:cs="Times New Roman"/>
                <w:sz w:val="20"/>
                <w:szCs w:val="22"/>
              </w:rPr>
              <w:t>3.</w:t>
            </w:r>
          </w:p>
        </w:tc>
        <w:tc>
          <w:tcPr>
            <w:tcW w:w="2160" w:type="dxa"/>
            <w:vMerge w:val="restart"/>
          </w:tcPr>
          <w:p w14:paraId="138B5325"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Particulate Matter </w:t>
            </w:r>
          </w:p>
          <w:p w14:paraId="63015FEC"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(Size &lt;10μm) or </w:t>
            </w:r>
          </w:p>
          <w:p w14:paraId="46C9C464"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PM</w:t>
            </w:r>
            <w:r w:rsidRPr="00AC18ED">
              <w:rPr>
                <w:rFonts w:ascii="Times New Roman" w:eastAsia="Times New Roman" w:hAnsi="Times New Roman" w:cs="Times New Roman"/>
                <w:sz w:val="20"/>
                <w:szCs w:val="22"/>
                <w:vertAlign w:val="subscript"/>
              </w:rPr>
              <w:t>10</w:t>
            </w:r>
            <w:r w:rsidRPr="00AC18ED">
              <w:rPr>
                <w:rFonts w:ascii="Times New Roman" w:eastAsia="Times New Roman" w:hAnsi="Times New Roman" w:cs="Times New Roman"/>
                <w:sz w:val="20"/>
                <w:szCs w:val="22"/>
              </w:rPr>
              <w:t>, μg/m</w:t>
            </w:r>
            <w:r w:rsidRPr="00AC18ED">
              <w:rPr>
                <w:rFonts w:ascii="Times New Roman" w:eastAsia="Times New Roman" w:hAnsi="Times New Roman" w:cs="Times New Roman"/>
                <w:sz w:val="20"/>
                <w:szCs w:val="22"/>
                <w:vertAlign w:val="superscript"/>
              </w:rPr>
              <w:t>3</w:t>
            </w:r>
          </w:p>
        </w:tc>
        <w:tc>
          <w:tcPr>
            <w:tcW w:w="1321" w:type="dxa"/>
          </w:tcPr>
          <w:p w14:paraId="457FFA22"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Annual*</w:t>
            </w:r>
          </w:p>
        </w:tc>
        <w:tc>
          <w:tcPr>
            <w:tcW w:w="810" w:type="dxa"/>
          </w:tcPr>
          <w:p w14:paraId="59ABC0F8"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60</w:t>
            </w:r>
          </w:p>
        </w:tc>
        <w:tc>
          <w:tcPr>
            <w:tcW w:w="1110" w:type="dxa"/>
          </w:tcPr>
          <w:p w14:paraId="2D16C309"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60</w:t>
            </w:r>
          </w:p>
        </w:tc>
        <w:tc>
          <w:tcPr>
            <w:tcW w:w="3082" w:type="dxa"/>
            <w:vMerge w:val="restart"/>
          </w:tcPr>
          <w:p w14:paraId="5D44FB0C" w14:textId="77777777" w:rsidR="00F74593" w:rsidRPr="00D101AC" w:rsidRDefault="00F74593" w:rsidP="00AC18ED">
            <w:pPr>
              <w:jc w:val="both"/>
              <w:rPr>
                <w:rFonts w:ascii="Times New Roman" w:eastAsia="Times New Roman" w:hAnsi="Times New Roman" w:cs="Times New Roman"/>
                <w:sz w:val="20"/>
                <w:szCs w:val="22"/>
              </w:rPr>
            </w:pPr>
            <w:r w:rsidRPr="00D101AC">
              <w:rPr>
                <w:rFonts w:ascii="Times New Roman" w:eastAsia="Times New Roman" w:hAnsi="Times New Roman" w:cs="Times New Roman"/>
                <w:sz w:val="20"/>
                <w:szCs w:val="22"/>
              </w:rPr>
              <w:t xml:space="preserve">1. Gravimetric </w:t>
            </w:r>
          </w:p>
          <w:p w14:paraId="3A5FDFD7" w14:textId="77777777" w:rsidR="00F74593" w:rsidRPr="00A7166F" w:rsidRDefault="00F74593" w:rsidP="00AC18ED">
            <w:pPr>
              <w:jc w:val="both"/>
              <w:rPr>
                <w:rFonts w:ascii="Times New Roman" w:eastAsia="Times New Roman" w:hAnsi="Times New Roman" w:cs="Times New Roman"/>
                <w:sz w:val="20"/>
                <w:szCs w:val="22"/>
              </w:rPr>
            </w:pPr>
            <w:r w:rsidRPr="00A7166F">
              <w:rPr>
                <w:rFonts w:ascii="Times New Roman" w:eastAsia="Times New Roman" w:hAnsi="Times New Roman" w:cs="Times New Roman"/>
                <w:sz w:val="20"/>
                <w:szCs w:val="22"/>
              </w:rPr>
              <w:t xml:space="preserve">2. TEOM </w:t>
            </w:r>
          </w:p>
          <w:p w14:paraId="0B1B04D7" w14:textId="77777777" w:rsidR="00F74593" w:rsidRPr="00A7166F" w:rsidRDefault="00F74593" w:rsidP="00AC18ED">
            <w:pPr>
              <w:jc w:val="both"/>
              <w:rPr>
                <w:rFonts w:ascii="Times New Roman" w:eastAsia="Times New Roman" w:hAnsi="Times New Roman" w:cs="Times New Roman"/>
                <w:sz w:val="20"/>
                <w:szCs w:val="22"/>
              </w:rPr>
            </w:pPr>
            <w:r w:rsidRPr="00A7166F">
              <w:rPr>
                <w:rFonts w:ascii="Times New Roman" w:eastAsia="Times New Roman" w:hAnsi="Times New Roman" w:cs="Times New Roman"/>
                <w:sz w:val="20"/>
                <w:szCs w:val="22"/>
              </w:rPr>
              <w:t xml:space="preserve">3. Beta attenuation </w:t>
            </w:r>
          </w:p>
        </w:tc>
      </w:tr>
      <w:tr w:rsidR="00F74593" w:rsidRPr="00AC18ED" w14:paraId="63DC2216" w14:textId="77777777" w:rsidTr="00F74593">
        <w:tc>
          <w:tcPr>
            <w:tcW w:w="625" w:type="dxa"/>
            <w:vMerge/>
          </w:tcPr>
          <w:p w14:paraId="49F9BA64" w14:textId="77777777" w:rsidR="00F74593" w:rsidRPr="00AC18ED" w:rsidRDefault="00F74593" w:rsidP="00AC18ED">
            <w:pPr>
              <w:rPr>
                <w:rFonts w:ascii="Times New Roman" w:hAnsi="Times New Roman" w:cs="Times New Roman"/>
                <w:sz w:val="20"/>
                <w:szCs w:val="22"/>
              </w:rPr>
            </w:pPr>
          </w:p>
        </w:tc>
        <w:tc>
          <w:tcPr>
            <w:tcW w:w="2160" w:type="dxa"/>
            <w:vMerge/>
          </w:tcPr>
          <w:p w14:paraId="0C7058BC" w14:textId="77777777" w:rsidR="00F74593" w:rsidRPr="00AC18ED" w:rsidRDefault="00F74593" w:rsidP="00AC18ED">
            <w:pPr>
              <w:rPr>
                <w:rFonts w:ascii="Times New Roman" w:hAnsi="Times New Roman" w:cs="Times New Roman"/>
                <w:sz w:val="20"/>
                <w:szCs w:val="22"/>
              </w:rPr>
            </w:pPr>
          </w:p>
        </w:tc>
        <w:tc>
          <w:tcPr>
            <w:tcW w:w="1321" w:type="dxa"/>
          </w:tcPr>
          <w:p w14:paraId="4D08E5EF"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24 Hours**</w:t>
            </w:r>
          </w:p>
        </w:tc>
        <w:tc>
          <w:tcPr>
            <w:tcW w:w="810" w:type="dxa"/>
          </w:tcPr>
          <w:p w14:paraId="6969E028"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100</w:t>
            </w:r>
          </w:p>
        </w:tc>
        <w:tc>
          <w:tcPr>
            <w:tcW w:w="1110" w:type="dxa"/>
          </w:tcPr>
          <w:p w14:paraId="1DC952AC"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100</w:t>
            </w:r>
          </w:p>
        </w:tc>
        <w:tc>
          <w:tcPr>
            <w:tcW w:w="3082" w:type="dxa"/>
            <w:vMerge/>
          </w:tcPr>
          <w:p w14:paraId="4F7558CA" w14:textId="77777777" w:rsidR="00F74593" w:rsidRPr="00C35D33" w:rsidRDefault="00F74593" w:rsidP="00AC18ED">
            <w:pPr>
              <w:jc w:val="both"/>
              <w:rPr>
                <w:rFonts w:ascii="Times New Roman" w:hAnsi="Times New Roman" w:cs="Times New Roman"/>
                <w:sz w:val="20"/>
                <w:szCs w:val="22"/>
              </w:rPr>
            </w:pPr>
          </w:p>
        </w:tc>
      </w:tr>
      <w:tr w:rsidR="00F74593" w:rsidRPr="00AC18ED" w14:paraId="7AFD78CB" w14:textId="77777777" w:rsidTr="00F74593">
        <w:tc>
          <w:tcPr>
            <w:tcW w:w="625" w:type="dxa"/>
            <w:vMerge w:val="restart"/>
          </w:tcPr>
          <w:p w14:paraId="0F1484A1" w14:textId="77777777" w:rsidR="00F74593" w:rsidRPr="00AC18ED" w:rsidRDefault="00F74593" w:rsidP="00AC18ED">
            <w:pPr>
              <w:rPr>
                <w:rFonts w:ascii="Times New Roman" w:hAnsi="Times New Roman" w:cs="Times New Roman"/>
                <w:sz w:val="20"/>
                <w:szCs w:val="22"/>
              </w:rPr>
            </w:pPr>
            <w:r w:rsidRPr="00AC18ED">
              <w:rPr>
                <w:rFonts w:ascii="Times New Roman" w:hAnsi="Times New Roman" w:cs="Times New Roman"/>
                <w:sz w:val="20"/>
                <w:szCs w:val="22"/>
              </w:rPr>
              <w:t>4.</w:t>
            </w:r>
          </w:p>
        </w:tc>
        <w:tc>
          <w:tcPr>
            <w:tcW w:w="2160" w:type="dxa"/>
            <w:vMerge w:val="restart"/>
          </w:tcPr>
          <w:p w14:paraId="2130D7C7"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Particulate Matter </w:t>
            </w:r>
          </w:p>
          <w:p w14:paraId="69D2A51D"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(Size &lt;2.5μm) or </w:t>
            </w:r>
          </w:p>
          <w:p w14:paraId="51152FBD"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PM</w:t>
            </w:r>
            <w:r w:rsidRPr="00AC18ED">
              <w:rPr>
                <w:rFonts w:ascii="Times New Roman" w:eastAsia="Times New Roman" w:hAnsi="Times New Roman" w:cs="Times New Roman"/>
                <w:sz w:val="20"/>
                <w:szCs w:val="22"/>
                <w:vertAlign w:val="subscript"/>
              </w:rPr>
              <w:t>2.5</w:t>
            </w:r>
            <w:r w:rsidRPr="00AC18ED">
              <w:rPr>
                <w:rFonts w:ascii="Times New Roman" w:eastAsia="Times New Roman" w:hAnsi="Times New Roman" w:cs="Times New Roman"/>
                <w:sz w:val="20"/>
                <w:szCs w:val="22"/>
              </w:rPr>
              <w:t>, μg/m</w:t>
            </w:r>
            <w:r w:rsidRPr="00AC18ED">
              <w:rPr>
                <w:rFonts w:ascii="Times New Roman" w:eastAsia="Times New Roman" w:hAnsi="Times New Roman" w:cs="Times New Roman"/>
                <w:sz w:val="20"/>
                <w:szCs w:val="22"/>
                <w:vertAlign w:val="superscript"/>
              </w:rPr>
              <w:t>3</w:t>
            </w:r>
          </w:p>
        </w:tc>
        <w:tc>
          <w:tcPr>
            <w:tcW w:w="1321" w:type="dxa"/>
          </w:tcPr>
          <w:p w14:paraId="34D53636"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Annual*</w:t>
            </w:r>
          </w:p>
        </w:tc>
        <w:tc>
          <w:tcPr>
            <w:tcW w:w="810" w:type="dxa"/>
          </w:tcPr>
          <w:p w14:paraId="728D7335"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40</w:t>
            </w:r>
          </w:p>
        </w:tc>
        <w:tc>
          <w:tcPr>
            <w:tcW w:w="1110" w:type="dxa"/>
          </w:tcPr>
          <w:p w14:paraId="37899DEF"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40</w:t>
            </w:r>
          </w:p>
        </w:tc>
        <w:tc>
          <w:tcPr>
            <w:tcW w:w="3082" w:type="dxa"/>
            <w:vMerge w:val="restart"/>
          </w:tcPr>
          <w:p w14:paraId="357CA008" w14:textId="77777777" w:rsidR="00F74593" w:rsidRPr="00D101AC" w:rsidRDefault="00F74593" w:rsidP="00AC18ED">
            <w:pPr>
              <w:jc w:val="both"/>
              <w:rPr>
                <w:rFonts w:ascii="Times New Roman" w:eastAsia="Times New Roman" w:hAnsi="Times New Roman" w:cs="Times New Roman"/>
                <w:sz w:val="20"/>
                <w:szCs w:val="22"/>
              </w:rPr>
            </w:pPr>
            <w:r w:rsidRPr="00D101AC">
              <w:rPr>
                <w:rFonts w:ascii="Times New Roman" w:eastAsia="Times New Roman" w:hAnsi="Times New Roman" w:cs="Times New Roman"/>
                <w:sz w:val="20"/>
                <w:szCs w:val="22"/>
              </w:rPr>
              <w:t xml:space="preserve">1. Gravimetric </w:t>
            </w:r>
          </w:p>
          <w:p w14:paraId="09143451" w14:textId="77777777" w:rsidR="00F74593" w:rsidRPr="00A7166F" w:rsidRDefault="00F74593" w:rsidP="00AC18ED">
            <w:pPr>
              <w:jc w:val="both"/>
              <w:rPr>
                <w:rFonts w:ascii="Times New Roman" w:eastAsia="Times New Roman" w:hAnsi="Times New Roman" w:cs="Times New Roman"/>
                <w:sz w:val="20"/>
                <w:szCs w:val="22"/>
              </w:rPr>
            </w:pPr>
            <w:r w:rsidRPr="00A7166F">
              <w:rPr>
                <w:rFonts w:ascii="Times New Roman" w:eastAsia="Times New Roman" w:hAnsi="Times New Roman" w:cs="Times New Roman"/>
                <w:sz w:val="20"/>
                <w:szCs w:val="22"/>
              </w:rPr>
              <w:t xml:space="preserve">2. TEOM </w:t>
            </w:r>
          </w:p>
          <w:p w14:paraId="6727BFFF" w14:textId="77777777" w:rsidR="00F74593" w:rsidRPr="00A7166F" w:rsidRDefault="00F74593" w:rsidP="00AC18ED">
            <w:pPr>
              <w:jc w:val="both"/>
              <w:rPr>
                <w:rFonts w:ascii="Times New Roman" w:eastAsia="Times New Roman" w:hAnsi="Times New Roman" w:cs="Times New Roman"/>
                <w:sz w:val="20"/>
                <w:szCs w:val="22"/>
              </w:rPr>
            </w:pPr>
            <w:r w:rsidRPr="00A7166F">
              <w:rPr>
                <w:rFonts w:ascii="Times New Roman" w:eastAsia="Times New Roman" w:hAnsi="Times New Roman" w:cs="Times New Roman"/>
                <w:sz w:val="20"/>
                <w:szCs w:val="22"/>
              </w:rPr>
              <w:t xml:space="preserve">3. Beta attenuation </w:t>
            </w:r>
          </w:p>
        </w:tc>
      </w:tr>
      <w:tr w:rsidR="00F74593" w:rsidRPr="00AC18ED" w14:paraId="081C84DD" w14:textId="77777777" w:rsidTr="00F74593">
        <w:tc>
          <w:tcPr>
            <w:tcW w:w="625" w:type="dxa"/>
            <w:vMerge/>
          </w:tcPr>
          <w:p w14:paraId="690FF7CF" w14:textId="77777777" w:rsidR="00F74593" w:rsidRPr="00AC18ED" w:rsidRDefault="00F74593" w:rsidP="00AC18ED">
            <w:pPr>
              <w:rPr>
                <w:rFonts w:ascii="Times New Roman" w:hAnsi="Times New Roman" w:cs="Times New Roman"/>
                <w:sz w:val="20"/>
                <w:szCs w:val="22"/>
              </w:rPr>
            </w:pPr>
          </w:p>
        </w:tc>
        <w:tc>
          <w:tcPr>
            <w:tcW w:w="2160" w:type="dxa"/>
            <w:vMerge/>
          </w:tcPr>
          <w:p w14:paraId="24A2A7FA" w14:textId="77777777" w:rsidR="00F74593" w:rsidRPr="00AC18ED" w:rsidRDefault="00F74593" w:rsidP="00AC18ED">
            <w:pPr>
              <w:rPr>
                <w:rFonts w:ascii="Times New Roman" w:hAnsi="Times New Roman" w:cs="Times New Roman"/>
                <w:sz w:val="20"/>
                <w:szCs w:val="22"/>
              </w:rPr>
            </w:pPr>
          </w:p>
        </w:tc>
        <w:tc>
          <w:tcPr>
            <w:tcW w:w="1321" w:type="dxa"/>
          </w:tcPr>
          <w:p w14:paraId="0F12EB41"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24 Hours**</w:t>
            </w:r>
          </w:p>
        </w:tc>
        <w:tc>
          <w:tcPr>
            <w:tcW w:w="810" w:type="dxa"/>
          </w:tcPr>
          <w:p w14:paraId="63D7D063"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60</w:t>
            </w:r>
          </w:p>
        </w:tc>
        <w:tc>
          <w:tcPr>
            <w:tcW w:w="1110" w:type="dxa"/>
          </w:tcPr>
          <w:p w14:paraId="69625382"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60</w:t>
            </w:r>
          </w:p>
        </w:tc>
        <w:tc>
          <w:tcPr>
            <w:tcW w:w="3082" w:type="dxa"/>
            <w:vMerge/>
          </w:tcPr>
          <w:p w14:paraId="7C2A917E" w14:textId="77777777" w:rsidR="00F74593" w:rsidRPr="00AC18ED" w:rsidRDefault="00F74593" w:rsidP="00AC18ED">
            <w:pPr>
              <w:jc w:val="both"/>
              <w:rPr>
                <w:rFonts w:ascii="Times New Roman" w:hAnsi="Times New Roman" w:cs="Times New Roman"/>
                <w:sz w:val="20"/>
                <w:szCs w:val="22"/>
              </w:rPr>
            </w:pPr>
          </w:p>
        </w:tc>
      </w:tr>
      <w:tr w:rsidR="00F74593" w:rsidRPr="00AC18ED" w14:paraId="3A49C091" w14:textId="77777777" w:rsidTr="00F74593">
        <w:tc>
          <w:tcPr>
            <w:tcW w:w="625" w:type="dxa"/>
            <w:vMerge w:val="restart"/>
          </w:tcPr>
          <w:p w14:paraId="4921CFF3" w14:textId="77777777" w:rsidR="00F74593" w:rsidRPr="00AC18ED" w:rsidRDefault="00F74593" w:rsidP="00AC18ED">
            <w:pPr>
              <w:rPr>
                <w:rFonts w:ascii="Times New Roman" w:hAnsi="Times New Roman" w:cs="Times New Roman"/>
                <w:sz w:val="20"/>
                <w:szCs w:val="22"/>
              </w:rPr>
            </w:pPr>
            <w:r w:rsidRPr="00AC18ED">
              <w:rPr>
                <w:rFonts w:ascii="Times New Roman" w:hAnsi="Times New Roman" w:cs="Times New Roman"/>
                <w:sz w:val="20"/>
                <w:szCs w:val="22"/>
              </w:rPr>
              <w:t>5.</w:t>
            </w:r>
          </w:p>
        </w:tc>
        <w:tc>
          <w:tcPr>
            <w:tcW w:w="2160" w:type="dxa"/>
            <w:vMerge w:val="restart"/>
          </w:tcPr>
          <w:p w14:paraId="313389ED"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Ozone (O</w:t>
            </w:r>
            <w:r w:rsidRPr="00AC18ED">
              <w:rPr>
                <w:rFonts w:ascii="Times New Roman" w:eastAsia="Times New Roman" w:hAnsi="Times New Roman" w:cs="Times New Roman"/>
                <w:sz w:val="20"/>
                <w:szCs w:val="22"/>
                <w:vertAlign w:val="subscript"/>
              </w:rPr>
              <w:t>3</w:t>
            </w:r>
            <w:r w:rsidRPr="00AC18ED">
              <w:rPr>
                <w:rFonts w:ascii="Times New Roman" w:eastAsia="Times New Roman" w:hAnsi="Times New Roman" w:cs="Times New Roman"/>
                <w:sz w:val="20"/>
                <w:szCs w:val="22"/>
              </w:rPr>
              <w:t>), μg/m</w:t>
            </w:r>
            <w:r w:rsidRPr="00AC18ED">
              <w:rPr>
                <w:rFonts w:ascii="Times New Roman" w:eastAsia="Times New Roman" w:hAnsi="Times New Roman" w:cs="Times New Roman"/>
                <w:sz w:val="20"/>
                <w:szCs w:val="22"/>
                <w:vertAlign w:val="superscript"/>
              </w:rPr>
              <w:t>3</w:t>
            </w:r>
          </w:p>
        </w:tc>
        <w:tc>
          <w:tcPr>
            <w:tcW w:w="1321" w:type="dxa"/>
          </w:tcPr>
          <w:p w14:paraId="213F0B1D"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8 Annual**</w:t>
            </w:r>
          </w:p>
        </w:tc>
        <w:tc>
          <w:tcPr>
            <w:tcW w:w="810" w:type="dxa"/>
          </w:tcPr>
          <w:p w14:paraId="0A9A0BFD"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100</w:t>
            </w:r>
          </w:p>
        </w:tc>
        <w:tc>
          <w:tcPr>
            <w:tcW w:w="1110" w:type="dxa"/>
          </w:tcPr>
          <w:p w14:paraId="52CAA214"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100</w:t>
            </w:r>
          </w:p>
        </w:tc>
        <w:tc>
          <w:tcPr>
            <w:tcW w:w="3082" w:type="dxa"/>
            <w:vMerge w:val="restart"/>
          </w:tcPr>
          <w:p w14:paraId="42B8C9CF" w14:textId="77777777"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1. UV photometric </w:t>
            </w:r>
          </w:p>
          <w:p w14:paraId="4622DD4B" w14:textId="77777777"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2. Chemiluminescence </w:t>
            </w:r>
          </w:p>
          <w:p w14:paraId="429070F2" w14:textId="77777777"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3. Chemical Method</w:t>
            </w:r>
          </w:p>
        </w:tc>
      </w:tr>
      <w:tr w:rsidR="00F74593" w:rsidRPr="00AC18ED" w14:paraId="057C24AB" w14:textId="77777777" w:rsidTr="00F74593">
        <w:trPr>
          <w:trHeight w:val="305"/>
        </w:trPr>
        <w:tc>
          <w:tcPr>
            <w:tcW w:w="625" w:type="dxa"/>
            <w:vMerge/>
          </w:tcPr>
          <w:p w14:paraId="3A6D4D8C" w14:textId="77777777" w:rsidR="00F74593" w:rsidRPr="00AC18ED" w:rsidRDefault="00F74593" w:rsidP="00AC18ED">
            <w:pPr>
              <w:rPr>
                <w:rFonts w:ascii="Times New Roman" w:hAnsi="Times New Roman" w:cs="Times New Roman"/>
                <w:sz w:val="20"/>
                <w:szCs w:val="22"/>
              </w:rPr>
            </w:pPr>
          </w:p>
        </w:tc>
        <w:tc>
          <w:tcPr>
            <w:tcW w:w="2160" w:type="dxa"/>
            <w:vMerge/>
          </w:tcPr>
          <w:p w14:paraId="0E44C9A8" w14:textId="77777777" w:rsidR="00F74593" w:rsidRPr="00AC18ED" w:rsidRDefault="00F74593" w:rsidP="00AC18ED">
            <w:pPr>
              <w:rPr>
                <w:rFonts w:ascii="Times New Roman" w:hAnsi="Times New Roman" w:cs="Times New Roman"/>
                <w:sz w:val="20"/>
                <w:szCs w:val="22"/>
              </w:rPr>
            </w:pPr>
          </w:p>
        </w:tc>
        <w:tc>
          <w:tcPr>
            <w:tcW w:w="1321" w:type="dxa"/>
          </w:tcPr>
          <w:p w14:paraId="7FF8E4AE"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1 Hours**</w:t>
            </w:r>
          </w:p>
        </w:tc>
        <w:tc>
          <w:tcPr>
            <w:tcW w:w="810" w:type="dxa"/>
          </w:tcPr>
          <w:p w14:paraId="0A69DF53"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180</w:t>
            </w:r>
          </w:p>
        </w:tc>
        <w:tc>
          <w:tcPr>
            <w:tcW w:w="1110" w:type="dxa"/>
          </w:tcPr>
          <w:p w14:paraId="1AA92D39"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180</w:t>
            </w:r>
          </w:p>
        </w:tc>
        <w:tc>
          <w:tcPr>
            <w:tcW w:w="3082" w:type="dxa"/>
            <w:vMerge/>
          </w:tcPr>
          <w:p w14:paraId="6738B4C7" w14:textId="77777777" w:rsidR="00F74593" w:rsidRPr="00AC18ED" w:rsidRDefault="00F74593" w:rsidP="00AC18ED">
            <w:pPr>
              <w:jc w:val="both"/>
              <w:rPr>
                <w:rFonts w:ascii="Times New Roman" w:hAnsi="Times New Roman" w:cs="Times New Roman"/>
                <w:sz w:val="20"/>
                <w:szCs w:val="22"/>
              </w:rPr>
            </w:pPr>
          </w:p>
        </w:tc>
      </w:tr>
      <w:tr w:rsidR="00F74593" w:rsidRPr="00AC18ED" w14:paraId="5449C56D" w14:textId="77777777" w:rsidTr="00F74593">
        <w:tc>
          <w:tcPr>
            <w:tcW w:w="625" w:type="dxa"/>
            <w:vMerge w:val="restart"/>
          </w:tcPr>
          <w:p w14:paraId="06975698" w14:textId="77777777" w:rsidR="00F74593" w:rsidRPr="00AC18ED" w:rsidRDefault="00F74593" w:rsidP="00AC18ED">
            <w:pPr>
              <w:rPr>
                <w:rFonts w:ascii="Times New Roman" w:hAnsi="Times New Roman" w:cs="Times New Roman"/>
                <w:sz w:val="20"/>
                <w:szCs w:val="22"/>
              </w:rPr>
            </w:pPr>
            <w:r w:rsidRPr="00AC18ED">
              <w:rPr>
                <w:rFonts w:ascii="Times New Roman" w:hAnsi="Times New Roman" w:cs="Times New Roman"/>
                <w:sz w:val="20"/>
                <w:szCs w:val="22"/>
              </w:rPr>
              <w:t>6.</w:t>
            </w:r>
          </w:p>
        </w:tc>
        <w:tc>
          <w:tcPr>
            <w:tcW w:w="2160" w:type="dxa"/>
            <w:vMerge w:val="restart"/>
          </w:tcPr>
          <w:p w14:paraId="76E1A79C"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Lead (Pb), μg/m</w:t>
            </w:r>
            <w:r w:rsidRPr="00AC18ED">
              <w:rPr>
                <w:rFonts w:ascii="Times New Roman" w:eastAsia="Times New Roman" w:hAnsi="Times New Roman" w:cs="Times New Roman"/>
                <w:sz w:val="20"/>
                <w:szCs w:val="22"/>
                <w:vertAlign w:val="superscript"/>
              </w:rPr>
              <w:t>3</w:t>
            </w:r>
          </w:p>
        </w:tc>
        <w:tc>
          <w:tcPr>
            <w:tcW w:w="1321" w:type="dxa"/>
          </w:tcPr>
          <w:p w14:paraId="49E7F3D2"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Annual *</w:t>
            </w:r>
          </w:p>
          <w:p w14:paraId="6281ABB5" w14:textId="77777777" w:rsidR="00F74593" w:rsidRPr="00AC18ED" w:rsidRDefault="00F74593" w:rsidP="00AC18ED">
            <w:pPr>
              <w:rPr>
                <w:rFonts w:ascii="Times New Roman" w:hAnsi="Times New Roman" w:cs="Times New Roman"/>
                <w:sz w:val="20"/>
                <w:szCs w:val="22"/>
              </w:rPr>
            </w:pPr>
          </w:p>
        </w:tc>
        <w:tc>
          <w:tcPr>
            <w:tcW w:w="810" w:type="dxa"/>
          </w:tcPr>
          <w:p w14:paraId="23A53897"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0.50</w:t>
            </w:r>
          </w:p>
        </w:tc>
        <w:tc>
          <w:tcPr>
            <w:tcW w:w="1110" w:type="dxa"/>
          </w:tcPr>
          <w:p w14:paraId="1478B9AC"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0.50</w:t>
            </w:r>
          </w:p>
        </w:tc>
        <w:tc>
          <w:tcPr>
            <w:tcW w:w="3082" w:type="dxa"/>
            <w:vMerge w:val="restart"/>
          </w:tcPr>
          <w:p w14:paraId="7677B387" w14:textId="77777777"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1. AAS/ICP Method after sampling using EPM 2000 or equivalent filter paper</w:t>
            </w:r>
          </w:p>
          <w:p w14:paraId="692F3D26" w14:textId="77777777"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2. ED-XRF using Teflon filter </w:t>
            </w:r>
          </w:p>
        </w:tc>
      </w:tr>
      <w:tr w:rsidR="00F74593" w:rsidRPr="00AC18ED" w14:paraId="6FF238B7" w14:textId="77777777" w:rsidTr="00F74593">
        <w:tc>
          <w:tcPr>
            <w:tcW w:w="625" w:type="dxa"/>
            <w:vMerge/>
          </w:tcPr>
          <w:p w14:paraId="2D27D2A5" w14:textId="77777777" w:rsidR="00F74593" w:rsidRPr="00AC18ED" w:rsidRDefault="00F74593" w:rsidP="00AC18ED">
            <w:pPr>
              <w:rPr>
                <w:rFonts w:ascii="Times New Roman" w:hAnsi="Times New Roman" w:cs="Times New Roman"/>
                <w:sz w:val="20"/>
                <w:szCs w:val="22"/>
              </w:rPr>
            </w:pPr>
          </w:p>
        </w:tc>
        <w:tc>
          <w:tcPr>
            <w:tcW w:w="2160" w:type="dxa"/>
            <w:vMerge/>
          </w:tcPr>
          <w:p w14:paraId="6BC8DAEE" w14:textId="77777777" w:rsidR="00F74593" w:rsidRPr="00AC18ED" w:rsidRDefault="00F74593" w:rsidP="00AC18ED">
            <w:pPr>
              <w:rPr>
                <w:rFonts w:ascii="Times New Roman" w:hAnsi="Times New Roman" w:cs="Times New Roman"/>
                <w:sz w:val="20"/>
                <w:szCs w:val="22"/>
              </w:rPr>
            </w:pPr>
          </w:p>
        </w:tc>
        <w:tc>
          <w:tcPr>
            <w:tcW w:w="1321" w:type="dxa"/>
          </w:tcPr>
          <w:p w14:paraId="1383D83F" w14:textId="77777777" w:rsidR="00F74593" w:rsidRPr="00AC18ED" w:rsidRDefault="00F74593" w:rsidP="00AC18ED">
            <w:pPr>
              <w:rPr>
                <w:rFonts w:ascii="Times New Roman" w:hAnsi="Times New Roman" w:cs="Times New Roman"/>
                <w:sz w:val="20"/>
                <w:szCs w:val="22"/>
              </w:rPr>
            </w:pPr>
            <w:r w:rsidRPr="00AC18ED">
              <w:rPr>
                <w:rFonts w:ascii="Times New Roman" w:hAnsi="Times New Roman" w:cs="Times New Roman"/>
                <w:sz w:val="20"/>
                <w:szCs w:val="22"/>
              </w:rPr>
              <w:t>24 Hour**</w:t>
            </w:r>
          </w:p>
        </w:tc>
        <w:tc>
          <w:tcPr>
            <w:tcW w:w="810" w:type="dxa"/>
          </w:tcPr>
          <w:p w14:paraId="440B9F0F"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1</w:t>
            </w:r>
          </w:p>
        </w:tc>
        <w:tc>
          <w:tcPr>
            <w:tcW w:w="1110" w:type="dxa"/>
          </w:tcPr>
          <w:p w14:paraId="0CE1E8CE"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1</w:t>
            </w:r>
          </w:p>
        </w:tc>
        <w:tc>
          <w:tcPr>
            <w:tcW w:w="3082" w:type="dxa"/>
            <w:vMerge/>
          </w:tcPr>
          <w:p w14:paraId="51ACDEF5" w14:textId="77777777" w:rsidR="00F74593" w:rsidRPr="00AC18ED" w:rsidRDefault="00F74593" w:rsidP="00AC18ED">
            <w:pPr>
              <w:jc w:val="both"/>
              <w:rPr>
                <w:rFonts w:ascii="Times New Roman" w:hAnsi="Times New Roman" w:cs="Times New Roman"/>
                <w:sz w:val="20"/>
                <w:szCs w:val="22"/>
              </w:rPr>
            </w:pPr>
          </w:p>
        </w:tc>
      </w:tr>
      <w:tr w:rsidR="00F74593" w:rsidRPr="00AC18ED" w14:paraId="6F421B83" w14:textId="77777777" w:rsidTr="00F74593">
        <w:tc>
          <w:tcPr>
            <w:tcW w:w="625" w:type="dxa"/>
            <w:vMerge w:val="restart"/>
          </w:tcPr>
          <w:p w14:paraId="3A76AAE8" w14:textId="77777777" w:rsidR="00F74593" w:rsidRPr="00AC18ED" w:rsidRDefault="00F74593" w:rsidP="00AC18ED">
            <w:pPr>
              <w:rPr>
                <w:rFonts w:ascii="Times New Roman" w:hAnsi="Times New Roman" w:cs="Times New Roman"/>
                <w:sz w:val="20"/>
                <w:szCs w:val="22"/>
              </w:rPr>
            </w:pPr>
            <w:r w:rsidRPr="00AC18ED">
              <w:rPr>
                <w:rFonts w:ascii="Times New Roman" w:hAnsi="Times New Roman" w:cs="Times New Roman"/>
                <w:sz w:val="20"/>
                <w:szCs w:val="22"/>
              </w:rPr>
              <w:t>7.</w:t>
            </w:r>
          </w:p>
        </w:tc>
        <w:tc>
          <w:tcPr>
            <w:tcW w:w="2160" w:type="dxa"/>
            <w:vMerge w:val="restart"/>
          </w:tcPr>
          <w:p w14:paraId="75876BCE" w14:textId="7C43264A"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Carbon </w:t>
            </w:r>
            <w:r w:rsidR="008F6DBB">
              <w:rPr>
                <w:rFonts w:ascii="Times New Roman" w:eastAsia="Times New Roman" w:hAnsi="Times New Roman" w:cs="Times New Roman"/>
                <w:sz w:val="20"/>
                <w:szCs w:val="22"/>
              </w:rPr>
              <w:t>m</w:t>
            </w:r>
            <w:r w:rsidR="008F6DBB" w:rsidRPr="00AC18ED">
              <w:rPr>
                <w:rFonts w:ascii="Times New Roman" w:eastAsia="Times New Roman" w:hAnsi="Times New Roman" w:cs="Times New Roman"/>
                <w:sz w:val="20"/>
                <w:szCs w:val="22"/>
              </w:rPr>
              <w:t xml:space="preserve">onoxide </w:t>
            </w:r>
            <w:r w:rsidRPr="00AC18ED">
              <w:rPr>
                <w:rFonts w:ascii="Times New Roman" w:eastAsia="Times New Roman" w:hAnsi="Times New Roman" w:cs="Times New Roman"/>
                <w:sz w:val="20"/>
                <w:szCs w:val="22"/>
              </w:rPr>
              <w:t>(CO), mg/m</w:t>
            </w:r>
            <w:r w:rsidRPr="00AC18ED">
              <w:rPr>
                <w:rFonts w:ascii="Times New Roman" w:eastAsia="Times New Roman" w:hAnsi="Times New Roman" w:cs="Times New Roman"/>
                <w:sz w:val="20"/>
                <w:szCs w:val="22"/>
                <w:vertAlign w:val="superscript"/>
              </w:rPr>
              <w:t>3</w:t>
            </w:r>
          </w:p>
        </w:tc>
        <w:tc>
          <w:tcPr>
            <w:tcW w:w="1321" w:type="dxa"/>
          </w:tcPr>
          <w:p w14:paraId="673FC2C2"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8 Annual**</w:t>
            </w:r>
          </w:p>
        </w:tc>
        <w:tc>
          <w:tcPr>
            <w:tcW w:w="810" w:type="dxa"/>
          </w:tcPr>
          <w:p w14:paraId="141F6F4F"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2</w:t>
            </w:r>
          </w:p>
        </w:tc>
        <w:tc>
          <w:tcPr>
            <w:tcW w:w="1110" w:type="dxa"/>
          </w:tcPr>
          <w:p w14:paraId="14FDF395"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2</w:t>
            </w:r>
          </w:p>
        </w:tc>
        <w:tc>
          <w:tcPr>
            <w:tcW w:w="3082" w:type="dxa"/>
            <w:vMerge w:val="restart"/>
          </w:tcPr>
          <w:p w14:paraId="6D765259" w14:textId="77777777"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Non dispersive Infra-Red (NDIR) Spectroscopy</w:t>
            </w:r>
          </w:p>
        </w:tc>
      </w:tr>
      <w:tr w:rsidR="00F74593" w:rsidRPr="00AC18ED" w14:paraId="3B3320B4" w14:textId="77777777" w:rsidTr="00F74593">
        <w:tc>
          <w:tcPr>
            <w:tcW w:w="625" w:type="dxa"/>
            <w:vMerge/>
          </w:tcPr>
          <w:p w14:paraId="5626621B" w14:textId="77777777" w:rsidR="00F74593" w:rsidRPr="00AC18ED" w:rsidRDefault="00F74593" w:rsidP="00AC18ED">
            <w:pPr>
              <w:rPr>
                <w:rFonts w:ascii="Times New Roman" w:hAnsi="Times New Roman" w:cs="Times New Roman"/>
                <w:sz w:val="20"/>
                <w:szCs w:val="22"/>
              </w:rPr>
            </w:pPr>
          </w:p>
        </w:tc>
        <w:tc>
          <w:tcPr>
            <w:tcW w:w="2160" w:type="dxa"/>
            <w:vMerge/>
          </w:tcPr>
          <w:p w14:paraId="198E86D8" w14:textId="77777777" w:rsidR="00F74593" w:rsidRPr="00AC18ED" w:rsidRDefault="00F74593" w:rsidP="00AC18ED">
            <w:pPr>
              <w:rPr>
                <w:rFonts w:ascii="Times New Roman" w:hAnsi="Times New Roman" w:cs="Times New Roman"/>
                <w:sz w:val="20"/>
                <w:szCs w:val="22"/>
              </w:rPr>
            </w:pPr>
          </w:p>
        </w:tc>
        <w:tc>
          <w:tcPr>
            <w:tcW w:w="1321" w:type="dxa"/>
          </w:tcPr>
          <w:p w14:paraId="0BD7C891"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1 Hours**</w:t>
            </w:r>
          </w:p>
        </w:tc>
        <w:tc>
          <w:tcPr>
            <w:tcW w:w="810" w:type="dxa"/>
          </w:tcPr>
          <w:p w14:paraId="703609B6"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4</w:t>
            </w:r>
          </w:p>
        </w:tc>
        <w:tc>
          <w:tcPr>
            <w:tcW w:w="1110" w:type="dxa"/>
          </w:tcPr>
          <w:p w14:paraId="641F7D4E"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4</w:t>
            </w:r>
          </w:p>
        </w:tc>
        <w:tc>
          <w:tcPr>
            <w:tcW w:w="3082" w:type="dxa"/>
            <w:vMerge/>
          </w:tcPr>
          <w:p w14:paraId="271712A6" w14:textId="77777777" w:rsidR="00F74593" w:rsidRPr="00AC18ED" w:rsidRDefault="00F74593" w:rsidP="00AC18ED">
            <w:pPr>
              <w:jc w:val="both"/>
              <w:rPr>
                <w:rFonts w:ascii="Times New Roman" w:hAnsi="Times New Roman" w:cs="Times New Roman"/>
                <w:sz w:val="20"/>
                <w:szCs w:val="22"/>
              </w:rPr>
            </w:pPr>
          </w:p>
        </w:tc>
      </w:tr>
      <w:tr w:rsidR="00F74593" w:rsidRPr="00AC18ED" w14:paraId="543D08C7" w14:textId="77777777" w:rsidTr="00F74593">
        <w:tc>
          <w:tcPr>
            <w:tcW w:w="625" w:type="dxa"/>
            <w:vMerge w:val="restart"/>
          </w:tcPr>
          <w:p w14:paraId="337A6E49" w14:textId="77777777" w:rsidR="00F74593" w:rsidRPr="00AC18ED" w:rsidRDefault="00F74593" w:rsidP="00AC18ED">
            <w:pPr>
              <w:rPr>
                <w:rFonts w:ascii="Times New Roman" w:hAnsi="Times New Roman" w:cs="Times New Roman"/>
                <w:sz w:val="20"/>
                <w:szCs w:val="22"/>
              </w:rPr>
            </w:pPr>
            <w:r w:rsidRPr="00AC18ED">
              <w:rPr>
                <w:rFonts w:ascii="Times New Roman" w:hAnsi="Times New Roman" w:cs="Times New Roman"/>
                <w:sz w:val="20"/>
                <w:szCs w:val="22"/>
              </w:rPr>
              <w:t>8.</w:t>
            </w:r>
          </w:p>
        </w:tc>
        <w:tc>
          <w:tcPr>
            <w:tcW w:w="2160" w:type="dxa"/>
          </w:tcPr>
          <w:p w14:paraId="7AE5B8A3"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Ammonia (NH</w:t>
            </w:r>
            <w:r w:rsidRPr="00AC18ED">
              <w:rPr>
                <w:rFonts w:ascii="Times New Roman" w:eastAsia="Times New Roman" w:hAnsi="Times New Roman" w:cs="Times New Roman"/>
                <w:sz w:val="20"/>
                <w:szCs w:val="22"/>
                <w:vertAlign w:val="subscript"/>
              </w:rPr>
              <w:t>3</w:t>
            </w:r>
            <w:r w:rsidRPr="00AC18ED">
              <w:rPr>
                <w:rFonts w:ascii="Times New Roman" w:eastAsia="Times New Roman" w:hAnsi="Times New Roman" w:cs="Times New Roman"/>
                <w:sz w:val="20"/>
                <w:szCs w:val="22"/>
              </w:rPr>
              <w:t>), μg/m</w:t>
            </w:r>
            <w:r w:rsidRPr="00AC18ED">
              <w:rPr>
                <w:rFonts w:ascii="Times New Roman" w:eastAsia="Times New Roman" w:hAnsi="Times New Roman" w:cs="Times New Roman"/>
                <w:sz w:val="20"/>
                <w:szCs w:val="22"/>
                <w:vertAlign w:val="superscript"/>
              </w:rPr>
              <w:t>3</w:t>
            </w:r>
          </w:p>
          <w:p w14:paraId="59E9486A" w14:textId="77777777" w:rsidR="00F74593" w:rsidRPr="00AC18ED" w:rsidRDefault="00F74593" w:rsidP="00AC18ED">
            <w:pPr>
              <w:rPr>
                <w:rFonts w:ascii="Times New Roman" w:hAnsi="Times New Roman" w:cs="Times New Roman"/>
                <w:sz w:val="20"/>
                <w:szCs w:val="22"/>
              </w:rPr>
            </w:pPr>
          </w:p>
        </w:tc>
        <w:tc>
          <w:tcPr>
            <w:tcW w:w="1321" w:type="dxa"/>
          </w:tcPr>
          <w:p w14:paraId="658BE671"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Annual*</w:t>
            </w:r>
          </w:p>
        </w:tc>
        <w:tc>
          <w:tcPr>
            <w:tcW w:w="810" w:type="dxa"/>
          </w:tcPr>
          <w:p w14:paraId="43147862"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100</w:t>
            </w:r>
          </w:p>
        </w:tc>
        <w:tc>
          <w:tcPr>
            <w:tcW w:w="1110" w:type="dxa"/>
          </w:tcPr>
          <w:p w14:paraId="035B20B2"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100</w:t>
            </w:r>
          </w:p>
        </w:tc>
        <w:tc>
          <w:tcPr>
            <w:tcW w:w="3082" w:type="dxa"/>
          </w:tcPr>
          <w:p w14:paraId="5A01FF04" w14:textId="77777777"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1. Chemiluminescence </w:t>
            </w:r>
          </w:p>
          <w:p w14:paraId="19A118B1" w14:textId="77777777"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2. Indophernol blue method </w:t>
            </w:r>
          </w:p>
        </w:tc>
      </w:tr>
      <w:tr w:rsidR="00F74593" w:rsidRPr="00AC18ED" w14:paraId="5B251B53" w14:textId="77777777" w:rsidTr="00F74593">
        <w:tc>
          <w:tcPr>
            <w:tcW w:w="625" w:type="dxa"/>
            <w:vMerge/>
          </w:tcPr>
          <w:p w14:paraId="4486A943" w14:textId="77777777" w:rsidR="00F74593" w:rsidRPr="00AC18ED" w:rsidRDefault="00F74593" w:rsidP="00AC18ED">
            <w:pPr>
              <w:rPr>
                <w:rFonts w:ascii="Times New Roman" w:hAnsi="Times New Roman" w:cs="Times New Roman"/>
                <w:sz w:val="20"/>
                <w:szCs w:val="22"/>
              </w:rPr>
            </w:pPr>
          </w:p>
        </w:tc>
        <w:tc>
          <w:tcPr>
            <w:tcW w:w="2160" w:type="dxa"/>
          </w:tcPr>
          <w:p w14:paraId="7D18498D" w14:textId="77777777" w:rsidR="00F74593" w:rsidRPr="00AC18ED" w:rsidRDefault="00F74593" w:rsidP="00AC18ED">
            <w:pPr>
              <w:rPr>
                <w:rFonts w:ascii="Times New Roman" w:hAnsi="Times New Roman" w:cs="Times New Roman"/>
                <w:sz w:val="20"/>
                <w:szCs w:val="22"/>
              </w:rPr>
            </w:pPr>
          </w:p>
        </w:tc>
        <w:tc>
          <w:tcPr>
            <w:tcW w:w="1321" w:type="dxa"/>
          </w:tcPr>
          <w:p w14:paraId="27CA9ABD"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24 Hours**</w:t>
            </w:r>
          </w:p>
        </w:tc>
        <w:tc>
          <w:tcPr>
            <w:tcW w:w="810" w:type="dxa"/>
          </w:tcPr>
          <w:p w14:paraId="229F0985"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400</w:t>
            </w:r>
          </w:p>
        </w:tc>
        <w:tc>
          <w:tcPr>
            <w:tcW w:w="1110" w:type="dxa"/>
          </w:tcPr>
          <w:p w14:paraId="4A3D0A62"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400</w:t>
            </w:r>
          </w:p>
        </w:tc>
        <w:tc>
          <w:tcPr>
            <w:tcW w:w="3082" w:type="dxa"/>
          </w:tcPr>
          <w:p w14:paraId="22C42DFE" w14:textId="77777777" w:rsidR="00F74593" w:rsidRPr="00AC18ED" w:rsidRDefault="00F74593" w:rsidP="00AC18ED">
            <w:pPr>
              <w:jc w:val="both"/>
              <w:rPr>
                <w:rFonts w:ascii="Times New Roman" w:hAnsi="Times New Roman" w:cs="Times New Roman"/>
                <w:sz w:val="20"/>
                <w:szCs w:val="22"/>
              </w:rPr>
            </w:pPr>
          </w:p>
        </w:tc>
      </w:tr>
      <w:tr w:rsidR="00F74593" w:rsidRPr="00AC18ED" w14:paraId="0905CCCA" w14:textId="77777777" w:rsidTr="00F74593">
        <w:tc>
          <w:tcPr>
            <w:tcW w:w="625" w:type="dxa"/>
          </w:tcPr>
          <w:p w14:paraId="399625E1" w14:textId="77777777" w:rsidR="00F74593" w:rsidRPr="00AC18ED" w:rsidRDefault="00F74593" w:rsidP="00AC18ED">
            <w:pPr>
              <w:rPr>
                <w:rFonts w:ascii="Times New Roman" w:hAnsi="Times New Roman" w:cs="Times New Roman"/>
                <w:sz w:val="20"/>
                <w:szCs w:val="22"/>
              </w:rPr>
            </w:pPr>
            <w:r w:rsidRPr="00AC18ED">
              <w:rPr>
                <w:rFonts w:ascii="Times New Roman" w:hAnsi="Times New Roman" w:cs="Times New Roman"/>
                <w:sz w:val="20"/>
                <w:szCs w:val="22"/>
              </w:rPr>
              <w:t>9.</w:t>
            </w:r>
          </w:p>
        </w:tc>
        <w:tc>
          <w:tcPr>
            <w:tcW w:w="2160" w:type="dxa"/>
          </w:tcPr>
          <w:p w14:paraId="503803B3"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Benzene (C</w:t>
            </w:r>
            <w:r w:rsidRPr="00AC18ED">
              <w:rPr>
                <w:rFonts w:ascii="Times New Roman" w:eastAsia="Times New Roman" w:hAnsi="Times New Roman" w:cs="Times New Roman"/>
                <w:sz w:val="20"/>
                <w:szCs w:val="22"/>
                <w:vertAlign w:val="subscript"/>
              </w:rPr>
              <w:t>6</w:t>
            </w:r>
            <w:r w:rsidRPr="00AC18ED">
              <w:rPr>
                <w:rFonts w:ascii="Times New Roman" w:eastAsia="Times New Roman" w:hAnsi="Times New Roman" w:cs="Times New Roman"/>
                <w:sz w:val="20"/>
                <w:szCs w:val="22"/>
              </w:rPr>
              <w:t>H</w:t>
            </w:r>
            <w:r w:rsidRPr="00AC18ED">
              <w:rPr>
                <w:rFonts w:ascii="Times New Roman" w:eastAsia="Times New Roman" w:hAnsi="Times New Roman" w:cs="Times New Roman"/>
                <w:sz w:val="20"/>
                <w:szCs w:val="22"/>
                <w:vertAlign w:val="subscript"/>
              </w:rPr>
              <w:t>6</w:t>
            </w:r>
            <w:r w:rsidRPr="00AC18ED">
              <w:rPr>
                <w:rFonts w:ascii="Times New Roman" w:eastAsia="Times New Roman" w:hAnsi="Times New Roman" w:cs="Times New Roman"/>
                <w:sz w:val="20"/>
                <w:szCs w:val="22"/>
              </w:rPr>
              <w:t>), μg/m</w:t>
            </w:r>
            <w:r w:rsidRPr="00AC18ED">
              <w:rPr>
                <w:rFonts w:ascii="Times New Roman" w:eastAsia="Times New Roman" w:hAnsi="Times New Roman" w:cs="Times New Roman"/>
                <w:sz w:val="20"/>
                <w:szCs w:val="22"/>
                <w:vertAlign w:val="superscript"/>
              </w:rPr>
              <w:t>3</w:t>
            </w:r>
          </w:p>
          <w:p w14:paraId="0FF2D780" w14:textId="77777777" w:rsidR="00F74593" w:rsidRPr="00AC18ED" w:rsidRDefault="00F74593" w:rsidP="00AC18ED">
            <w:pPr>
              <w:rPr>
                <w:rFonts w:ascii="Times New Roman" w:hAnsi="Times New Roman" w:cs="Times New Roman"/>
                <w:sz w:val="20"/>
                <w:szCs w:val="22"/>
              </w:rPr>
            </w:pPr>
          </w:p>
        </w:tc>
        <w:tc>
          <w:tcPr>
            <w:tcW w:w="1321" w:type="dxa"/>
          </w:tcPr>
          <w:p w14:paraId="72420B6F"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Annual *</w:t>
            </w:r>
          </w:p>
          <w:p w14:paraId="6ABD9B88" w14:textId="77777777" w:rsidR="00F74593" w:rsidRPr="00AC18ED" w:rsidRDefault="00F74593" w:rsidP="00AC18ED">
            <w:pPr>
              <w:rPr>
                <w:rFonts w:ascii="Times New Roman" w:hAnsi="Times New Roman" w:cs="Times New Roman"/>
                <w:sz w:val="20"/>
                <w:szCs w:val="22"/>
              </w:rPr>
            </w:pPr>
          </w:p>
        </w:tc>
        <w:tc>
          <w:tcPr>
            <w:tcW w:w="810" w:type="dxa"/>
          </w:tcPr>
          <w:p w14:paraId="07049424"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5</w:t>
            </w:r>
          </w:p>
        </w:tc>
        <w:tc>
          <w:tcPr>
            <w:tcW w:w="1110" w:type="dxa"/>
          </w:tcPr>
          <w:p w14:paraId="55B3D37D"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5</w:t>
            </w:r>
          </w:p>
        </w:tc>
        <w:tc>
          <w:tcPr>
            <w:tcW w:w="3082" w:type="dxa"/>
          </w:tcPr>
          <w:p w14:paraId="6EC534E7" w14:textId="012DBC25"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1. Gas chromatography</w:t>
            </w:r>
            <w:r w:rsidR="00944B5A">
              <w:rPr>
                <w:rFonts w:ascii="Times New Roman" w:eastAsia="Times New Roman" w:hAnsi="Times New Roman" w:cs="Times New Roman"/>
                <w:sz w:val="20"/>
                <w:szCs w:val="22"/>
              </w:rPr>
              <w:t>-</w:t>
            </w:r>
            <w:r w:rsidRPr="00AC18ED">
              <w:rPr>
                <w:rFonts w:ascii="Times New Roman" w:eastAsia="Times New Roman" w:hAnsi="Times New Roman" w:cs="Times New Roman"/>
                <w:sz w:val="20"/>
                <w:szCs w:val="22"/>
              </w:rPr>
              <w:t xml:space="preserve"> </w:t>
            </w:r>
          </w:p>
          <w:p w14:paraId="1E8B8199" w14:textId="77777777"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based continuous analyzer</w:t>
            </w:r>
          </w:p>
          <w:p w14:paraId="68F791D6" w14:textId="77777777"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2. Adsorption and Desorption </w:t>
            </w:r>
          </w:p>
          <w:p w14:paraId="7CA2B4FA" w14:textId="77777777"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followed by GC analysis </w:t>
            </w:r>
          </w:p>
        </w:tc>
      </w:tr>
      <w:tr w:rsidR="00F74593" w:rsidRPr="00AC18ED" w14:paraId="7B554FC2" w14:textId="77777777" w:rsidTr="00F74593">
        <w:tc>
          <w:tcPr>
            <w:tcW w:w="625" w:type="dxa"/>
          </w:tcPr>
          <w:p w14:paraId="3E8E1F80" w14:textId="77777777" w:rsidR="00F74593" w:rsidRPr="00AC18ED" w:rsidRDefault="00F74593" w:rsidP="00AC18ED">
            <w:pPr>
              <w:rPr>
                <w:rFonts w:ascii="Times New Roman" w:hAnsi="Times New Roman" w:cs="Times New Roman"/>
                <w:sz w:val="20"/>
                <w:szCs w:val="22"/>
              </w:rPr>
            </w:pPr>
            <w:r w:rsidRPr="00AC18ED">
              <w:rPr>
                <w:rFonts w:ascii="Times New Roman" w:hAnsi="Times New Roman" w:cs="Times New Roman"/>
                <w:sz w:val="20"/>
                <w:szCs w:val="22"/>
              </w:rPr>
              <w:t>10.</w:t>
            </w:r>
          </w:p>
        </w:tc>
        <w:tc>
          <w:tcPr>
            <w:tcW w:w="2160" w:type="dxa"/>
          </w:tcPr>
          <w:p w14:paraId="6D5B3B3A"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Benzo(a)Pyrene (BaP)- </w:t>
            </w:r>
          </w:p>
          <w:p w14:paraId="5FFC1615"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particulate phase only, ng/m</w:t>
            </w:r>
            <w:r w:rsidRPr="00AC18ED">
              <w:rPr>
                <w:rFonts w:ascii="Times New Roman" w:eastAsia="Times New Roman" w:hAnsi="Times New Roman" w:cs="Times New Roman"/>
                <w:sz w:val="20"/>
                <w:szCs w:val="22"/>
                <w:vertAlign w:val="superscript"/>
              </w:rPr>
              <w:t>3</w:t>
            </w:r>
          </w:p>
        </w:tc>
        <w:tc>
          <w:tcPr>
            <w:tcW w:w="1321" w:type="dxa"/>
          </w:tcPr>
          <w:p w14:paraId="64E800C3"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Annual*</w:t>
            </w:r>
          </w:p>
        </w:tc>
        <w:tc>
          <w:tcPr>
            <w:tcW w:w="810" w:type="dxa"/>
          </w:tcPr>
          <w:p w14:paraId="33723094"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1</w:t>
            </w:r>
          </w:p>
        </w:tc>
        <w:tc>
          <w:tcPr>
            <w:tcW w:w="1110" w:type="dxa"/>
          </w:tcPr>
          <w:p w14:paraId="3EBE5B48"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1</w:t>
            </w:r>
          </w:p>
        </w:tc>
        <w:tc>
          <w:tcPr>
            <w:tcW w:w="3082" w:type="dxa"/>
          </w:tcPr>
          <w:p w14:paraId="27C0B7DE" w14:textId="77777777"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Solvent extraction followed by </w:t>
            </w:r>
          </w:p>
          <w:p w14:paraId="275A89E7" w14:textId="77777777"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HPLC/GC analysis </w:t>
            </w:r>
          </w:p>
          <w:p w14:paraId="57693CFB" w14:textId="77777777" w:rsidR="00F74593" w:rsidRPr="00AC18ED" w:rsidRDefault="00F74593" w:rsidP="00AC18ED">
            <w:pPr>
              <w:jc w:val="both"/>
              <w:rPr>
                <w:rFonts w:ascii="Times New Roman" w:hAnsi="Times New Roman" w:cs="Times New Roman"/>
                <w:sz w:val="20"/>
                <w:szCs w:val="22"/>
              </w:rPr>
            </w:pPr>
          </w:p>
        </w:tc>
      </w:tr>
      <w:tr w:rsidR="00F74593" w:rsidRPr="00AC18ED" w14:paraId="69A88DA4" w14:textId="77777777" w:rsidTr="00F74593">
        <w:tc>
          <w:tcPr>
            <w:tcW w:w="625" w:type="dxa"/>
          </w:tcPr>
          <w:p w14:paraId="12E1B8DF" w14:textId="77777777" w:rsidR="00F74593" w:rsidRPr="00AC18ED" w:rsidRDefault="00F74593" w:rsidP="00AC18ED">
            <w:pPr>
              <w:rPr>
                <w:rFonts w:ascii="Times New Roman" w:hAnsi="Times New Roman" w:cs="Times New Roman"/>
                <w:sz w:val="20"/>
                <w:szCs w:val="22"/>
              </w:rPr>
            </w:pPr>
            <w:r w:rsidRPr="00AC18ED">
              <w:rPr>
                <w:rFonts w:ascii="Times New Roman" w:hAnsi="Times New Roman" w:cs="Times New Roman"/>
                <w:sz w:val="20"/>
                <w:szCs w:val="22"/>
              </w:rPr>
              <w:t>11.</w:t>
            </w:r>
          </w:p>
        </w:tc>
        <w:tc>
          <w:tcPr>
            <w:tcW w:w="2160" w:type="dxa"/>
          </w:tcPr>
          <w:p w14:paraId="787DEBFF"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Arsenic (As), ng/m</w:t>
            </w:r>
            <w:r w:rsidRPr="00AC18ED">
              <w:rPr>
                <w:rFonts w:ascii="Times New Roman" w:eastAsia="Times New Roman" w:hAnsi="Times New Roman" w:cs="Times New Roman"/>
                <w:sz w:val="20"/>
                <w:szCs w:val="22"/>
                <w:vertAlign w:val="superscript"/>
              </w:rPr>
              <w:t>3</w:t>
            </w:r>
          </w:p>
          <w:p w14:paraId="11D37D31" w14:textId="77777777" w:rsidR="00F74593" w:rsidRPr="00AC18ED" w:rsidRDefault="00F74593" w:rsidP="00AC18ED">
            <w:pPr>
              <w:rPr>
                <w:rFonts w:ascii="Times New Roman" w:hAnsi="Times New Roman" w:cs="Times New Roman"/>
                <w:sz w:val="20"/>
                <w:szCs w:val="22"/>
              </w:rPr>
            </w:pPr>
          </w:p>
        </w:tc>
        <w:tc>
          <w:tcPr>
            <w:tcW w:w="1321" w:type="dxa"/>
          </w:tcPr>
          <w:p w14:paraId="79767579"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Annual*</w:t>
            </w:r>
          </w:p>
          <w:p w14:paraId="50859765" w14:textId="77777777" w:rsidR="00F74593" w:rsidRPr="00AC18ED" w:rsidRDefault="00F74593" w:rsidP="00AC18ED">
            <w:pPr>
              <w:rPr>
                <w:rFonts w:ascii="Times New Roman" w:hAnsi="Times New Roman" w:cs="Times New Roman"/>
                <w:sz w:val="20"/>
                <w:szCs w:val="22"/>
              </w:rPr>
            </w:pPr>
          </w:p>
        </w:tc>
        <w:tc>
          <w:tcPr>
            <w:tcW w:w="810" w:type="dxa"/>
          </w:tcPr>
          <w:p w14:paraId="300DE206"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06</w:t>
            </w:r>
          </w:p>
        </w:tc>
        <w:tc>
          <w:tcPr>
            <w:tcW w:w="1110" w:type="dxa"/>
          </w:tcPr>
          <w:p w14:paraId="1FA4BBFA"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06</w:t>
            </w:r>
          </w:p>
        </w:tc>
        <w:tc>
          <w:tcPr>
            <w:tcW w:w="3082" w:type="dxa"/>
          </w:tcPr>
          <w:p w14:paraId="0DCC175A" w14:textId="77777777"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 xml:space="preserve">AAS/ICP method after sampling on EPM 2000 or equivalent filter paper </w:t>
            </w:r>
          </w:p>
        </w:tc>
      </w:tr>
      <w:tr w:rsidR="00F74593" w:rsidRPr="00AC18ED" w14:paraId="71E80120" w14:textId="77777777" w:rsidTr="00F74593">
        <w:tc>
          <w:tcPr>
            <w:tcW w:w="625" w:type="dxa"/>
          </w:tcPr>
          <w:p w14:paraId="024EC464" w14:textId="77777777" w:rsidR="00F74593" w:rsidRPr="00AC18ED" w:rsidRDefault="00F74593" w:rsidP="00AC18ED">
            <w:pPr>
              <w:rPr>
                <w:rFonts w:ascii="Times New Roman" w:hAnsi="Times New Roman" w:cs="Times New Roman"/>
                <w:sz w:val="20"/>
                <w:szCs w:val="22"/>
              </w:rPr>
            </w:pPr>
            <w:r w:rsidRPr="00AC18ED">
              <w:rPr>
                <w:rFonts w:ascii="Times New Roman" w:hAnsi="Times New Roman" w:cs="Times New Roman"/>
                <w:sz w:val="20"/>
                <w:szCs w:val="22"/>
              </w:rPr>
              <w:t>12.</w:t>
            </w:r>
          </w:p>
        </w:tc>
        <w:tc>
          <w:tcPr>
            <w:tcW w:w="2160" w:type="dxa"/>
          </w:tcPr>
          <w:p w14:paraId="22D0F4D1"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hAnsi="Times New Roman" w:cs="Times New Roman"/>
                <w:sz w:val="20"/>
                <w:szCs w:val="22"/>
              </w:rPr>
              <w:t>N</w:t>
            </w:r>
            <w:r w:rsidRPr="00AC18ED">
              <w:rPr>
                <w:rFonts w:ascii="Times New Roman" w:eastAsia="Times New Roman" w:hAnsi="Times New Roman" w:cs="Times New Roman"/>
                <w:sz w:val="20"/>
                <w:szCs w:val="22"/>
              </w:rPr>
              <w:t>ickel (Ni), ng/m</w:t>
            </w:r>
            <w:r w:rsidRPr="00AC18ED">
              <w:rPr>
                <w:rFonts w:ascii="Times New Roman" w:eastAsia="Times New Roman" w:hAnsi="Times New Roman" w:cs="Times New Roman"/>
                <w:sz w:val="20"/>
                <w:szCs w:val="22"/>
                <w:vertAlign w:val="superscript"/>
              </w:rPr>
              <w:t>3</w:t>
            </w:r>
          </w:p>
          <w:p w14:paraId="454CAA27" w14:textId="77777777" w:rsidR="00F74593" w:rsidRPr="00AC18ED" w:rsidRDefault="00F74593" w:rsidP="00AC18ED">
            <w:pPr>
              <w:rPr>
                <w:rFonts w:ascii="Times New Roman" w:hAnsi="Times New Roman" w:cs="Times New Roman"/>
                <w:sz w:val="20"/>
                <w:szCs w:val="22"/>
              </w:rPr>
            </w:pPr>
          </w:p>
        </w:tc>
        <w:tc>
          <w:tcPr>
            <w:tcW w:w="1321" w:type="dxa"/>
          </w:tcPr>
          <w:p w14:paraId="29287BCD" w14:textId="77777777" w:rsidR="00F74593" w:rsidRPr="00AC18ED" w:rsidRDefault="00F74593" w:rsidP="00AC18ED">
            <w:pPr>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Annual*</w:t>
            </w:r>
          </w:p>
          <w:p w14:paraId="112234F4" w14:textId="77777777" w:rsidR="00F74593" w:rsidRPr="00AC18ED" w:rsidRDefault="00F74593" w:rsidP="00AC18ED">
            <w:pPr>
              <w:rPr>
                <w:rFonts w:ascii="Times New Roman" w:hAnsi="Times New Roman" w:cs="Times New Roman"/>
                <w:sz w:val="20"/>
                <w:szCs w:val="22"/>
              </w:rPr>
            </w:pPr>
          </w:p>
        </w:tc>
        <w:tc>
          <w:tcPr>
            <w:tcW w:w="810" w:type="dxa"/>
          </w:tcPr>
          <w:p w14:paraId="68562112"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20</w:t>
            </w:r>
          </w:p>
        </w:tc>
        <w:tc>
          <w:tcPr>
            <w:tcW w:w="1110" w:type="dxa"/>
          </w:tcPr>
          <w:p w14:paraId="4B3FA4BA" w14:textId="77777777" w:rsidR="00F74593" w:rsidRPr="00AC18ED" w:rsidRDefault="00F74593" w:rsidP="00AC18ED">
            <w:pPr>
              <w:jc w:val="right"/>
              <w:rPr>
                <w:rFonts w:ascii="Times New Roman" w:hAnsi="Times New Roman" w:cs="Times New Roman"/>
                <w:sz w:val="20"/>
                <w:szCs w:val="22"/>
              </w:rPr>
            </w:pPr>
            <w:r w:rsidRPr="00AC18ED">
              <w:rPr>
                <w:rFonts w:ascii="Times New Roman" w:hAnsi="Times New Roman" w:cs="Times New Roman"/>
                <w:sz w:val="20"/>
                <w:szCs w:val="22"/>
              </w:rPr>
              <w:t>20</w:t>
            </w:r>
          </w:p>
        </w:tc>
        <w:tc>
          <w:tcPr>
            <w:tcW w:w="3082" w:type="dxa"/>
          </w:tcPr>
          <w:p w14:paraId="639F50B4" w14:textId="77777777" w:rsidR="00F74593" w:rsidRPr="00AC18ED" w:rsidRDefault="00F74593" w:rsidP="00AC18ED">
            <w:pPr>
              <w:jc w:val="both"/>
              <w:rPr>
                <w:rFonts w:ascii="Times New Roman" w:eastAsia="Times New Roman" w:hAnsi="Times New Roman" w:cs="Times New Roman"/>
                <w:sz w:val="20"/>
                <w:szCs w:val="22"/>
              </w:rPr>
            </w:pPr>
            <w:r w:rsidRPr="00AC18ED">
              <w:rPr>
                <w:rFonts w:ascii="Times New Roman" w:eastAsia="Times New Roman" w:hAnsi="Times New Roman" w:cs="Times New Roman"/>
                <w:sz w:val="20"/>
                <w:szCs w:val="22"/>
              </w:rPr>
              <w:t>AAS/ICP method after sampling on EPM 2000 or equivalent filter paper</w:t>
            </w:r>
          </w:p>
        </w:tc>
      </w:tr>
    </w:tbl>
    <w:p w14:paraId="6C800C81" w14:textId="579126F1" w:rsidR="00F74593" w:rsidRPr="002A73C5" w:rsidRDefault="00F74593" w:rsidP="00AC18ED">
      <w:pPr>
        <w:spacing w:after="120" w:line="276" w:lineRule="auto"/>
        <w:jc w:val="both"/>
        <w:rPr>
          <w:rFonts w:ascii="Times New Roman" w:hAnsi="Times New Roman"/>
          <w:sz w:val="20"/>
        </w:rPr>
      </w:pPr>
      <w:r w:rsidRPr="002A73C5">
        <w:rPr>
          <w:rFonts w:ascii="Times New Roman" w:hAnsi="Times New Roman"/>
          <w:sz w:val="20"/>
        </w:rPr>
        <w:t xml:space="preserve">*Annual </w:t>
      </w:r>
      <w:r w:rsidR="007F1A67" w:rsidRPr="002A73C5">
        <w:rPr>
          <w:rFonts w:ascii="Times New Roman" w:hAnsi="Times New Roman"/>
          <w:sz w:val="20"/>
        </w:rPr>
        <w:t xml:space="preserve">arithmetic </w:t>
      </w:r>
      <w:r w:rsidRPr="002A73C5">
        <w:rPr>
          <w:rFonts w:ascii="Times New Roman" w:hAnsi="Times New Roman"/>
          <w:sz w:val="20"/>
        </w:rPr>
        <w:t>mean of minimum 104 measurements in a year at a particular site taken twice a week 24 hourly at uniform interval.</w:t>
      </w:r>
    </w:p>
    <w:p w14:paraId="076C8FA7" w14:textId="54CB257C" w:rsidR="00F74593" w:rsidRPr="002A73C5" w:rsidRDefault="00F74593" w:rsidP="00AC18ED">
      <w:pPr>
        <w:spacing w:after="120" w:line="276" w:lineRule="auto"/>
        <w:jc w:val="both"/>
        <w:rPr>
          <w:rFonts w:ascii="Times New Roman" w:hAnsi="Times New Roman"/>
          <w:sz w:val="20"/>
        </w:rPr>
      </w:pPr>
      <w:r w:rsidRPr="002A73C5">
        <w:rPr>
          <w:rFonts w:ascii="Times New Roman" w:hAnsi="Times New Roman"/>
          <w:sz w:val="20"/>
        </w:rPr>
        <w:t>** 24 hourly</w:t>
      </w:r>
      <w:r w:rsidR="003E5AA6" w:rsidRPr="002A73C5">
        <w:rPr>
          <w:rFonts w:ascii="Times New Roman" w:hAnsi="Times New Roman"/>
          <w:sz w:val="20"/>
        </w:rPr>
        <w:t xml:space="preserve"> or 8 </w:t>
      </w:r>
      <w:r w:rsidRPr="002A73C5">
        <w:rPr>
          <w:rFonts w:ascii="Times New Roman" w:hAnsi="Times New Roman"/>
          <w:sz w:val="20"/>
        </w:rPr>
        <w:t>hourly or 01 hourly monitored values, as applicable shall be complied with 98% of the time in a year. 2% of the time, they may exceed the limits but not on two consecutive days of monitoring.</w:t>
      </w:r>
    </w:p>
    <w:p w14:paraId="6ACFA499" w14:textId="2306D11E" w:rsidR="00F74593" w:rsidRPr="002A73C5" w:rsidRDefault="00F74593" w:rsidP="00AC18ED">
      <w:pPr>
        <w:spacing w:after="120" w:line="276" w:lineRule="auto"/>
        <w:jc w:val="both"/>
        <w:rPr>
          <w:rFonts w:ascii="Times New Roman" w:hAnsi="Times New Roman"/>
          <w:sz w:val="20"/>
        </w:rPr>
      </w:pPr>
      <w:r w:rsidRPr="002A73C5">
        <w:rPr>
          <w:rFonts w:ascii="Times New Roman" w:hAnsi="Times New Roman"/>
          <w:b/>
          <w:sz w:val="20"/>
        </w:rPr>
        <w:t xml:space="preserve">NOTE: </w:t>
      </w:r>
      <w:r w:rsidRPr="002A73C5">
        <w:rPr>
          <w:rFonts w:ascii="Times New Roman" w:hAnsi="Times New Roman"/>
          <w:sz w:val="20"/>
        </w:rPr>
        <w:t>Whenever and wherever monitoring results on two consecutive days of monitoring exceed the limits specified above for the respective category, it shall be considered adequate reason to institute regular or continuous monitoring and further investigation.</w:t>
      </w:r>
    </w:p>
    <w:p w14:paraId="3AEA84DB" w14:textId="671184C4" w:rsidR="00F74593" w:rsidRPr="002A73C5" w:rsidRDefault="00F74593" w:rsidP="00AC18ED">
      <w:pPr>
        <w:spacing w:after="120" w:line="276" w:lineRule="auto"/>
        <w:jc w:val="both"/>
        <w:rPr>
          <w:rFonts w:ascii="Times New Roman" w:hAnsi="Times New Roman"/>
          <w:sz w:val="20"/>
        </w:rPr>
      </w:pPr>
      <w:r w:rsidRPr="002A73C5">
        <w:rPr>
          <w:rFonts w:ascii="Times New Roman" w:hAnsi="Times New Roman"/>
          <w:sz w:val="20"/>
        </w:rPr>
        <w:t>Source: CPCB</w:t>
      </w:r>
      <w:r w:rsidR="00E94AFC" w:rsidRPr="002A73C5">
        <w:rPr>
          <w:rFonts w:ascii="Times New Roman" w:hAnsi="Times New Roman"/>
          <w:sz w:val="20"/>
        </w:rPr>
        <w:t xml:space="preserve"> </w:t>
      </w:r>
      <w:r w:rsidR="007B2180" w:rsidRPr="002A73C5">
        <w:rPr>
          <w:rFonts w:ascii="Times New Roman" w:hAnsi="Times New Roman"/>
          <w:sz w:val="20"/>
        </w:rPr>
        <w:t>(</w:t>
      </w:r>
      <w:r w:rsidRPr="002A73C5">
        <w:rPr>
          <w:rFonts w:ascii="Times New Roman" w:hAnsi="Times New Roman"/>
          <w:sz w:val="20"/>
        </w:rPr>
        <w:t>2012</w:t>
      </w:r>
      <w:r w:rsidR="007B2180" w:rsidRPr="005E225F">
        <w:rPr>
          <w:rFonts w:ascii="Times New Roman" w:hAnsi="Times New Roman" w:cs="Times New Roman"/>
          <w:sz w:val="20"/>
        </w:rPr>
        <w:t>)</w:t>
      </w:r>
    </w:p>
    <w:p w14:paraId="2CC880F3" w14:textId="77777777" w:rsidR="00287B8E" w:rsidRPr="00AC18ED" w:rsidRDefault="00287B8E" w:rsidP="00AC18ED">
      <w:pPr>
        <w:pStyle w:val="Heading1"/>
        <w:numPr>
          <w:ilvl w:val="0"/>
          <w:numId w:val="11"/>
        </w:numPr>
        <w:spacing w:before="0" w:after="120" w:line="276" w:lineRule="auto"/>
        <w:rPr>
          <w:rFonts w:ascii="Times New Roman" w:hAnsi="Times New Roman" w:cs="Times New Roman"/>
          <w:b/>
          <w:sz w:val="24"/>
          <w:szCs w:val="22"/>
        </w:rPr>
      </w:pPr>
      <w:bookmarkStart w:id="11" w:name="_Toc22630731"/>
      <w:r w:rsidRPr="00AC18ED">
        <w:rPr>
          <w:rFonts w:ascii="Times New Roman" w:hAnsi="Times New Roman" w:cs="Times New Roman"/>
          <w:b/>
          <w:sz w:val="24"/>
          <w:szCs w:val="22"/>
        </w:rPr>
        <w:lastRenderedPageBreak/>
        <w:t>Air Quality in Kolkata</w:t>
      </w:r>
      <w:bookmarkEnd w:id="11"/>
    </w:p>
    <w:p w14:paraId="77A8ED5C" w14:textId="6B18670A" w:rsidR="00287B8E" w:rsidRPr="00AC18ED" w:rsidRDefault="00944B5A" w:rsidP="00AC18ED">
      <w:pPr>
        <w:adjustRightInd w:val="0"/>
        <w:spacing w:after="120" w:line="276" w:lineRule="auto"/>
        <w:jc w:val="both"/>
        <w:rPr>
          <w:rFonts w:ascii="Times New Roman" w:hAnsi="Times New Roman" w:cs="Times New Roman"/>
          <w:szCs w:val="22"/>
        </w:rPr>
      </w:pPr>
      <w:r>
        <w:rPr>
          <w:rFonts w:ascii="Times New Roman" w:hAnsi="Times New Roman" w:cs="Times New Roman"/>
          <w:szCs w:val="22"/>
        </w:rPr>
        <w:t>The l</w:t>
      </w:r>
      <w:r w:rsidRPr="00AC18ED">
        <w:rPr>
          <w:rFonts w:ascii="Times New Roman" w:hAnsi="Times New Roman" w:cs="Times New Roman"/>
          <w:szCs w:val="22"/>
        </w:rPr>
        <w:t xml:space="preserve">evel of air pollution </w:t>
      </w:r>
      <w:r>
        <w:rPr>
          <w:rFonts w:ascii="Times New Roman" w:hAnsi="Times New Roman" w:cs="Times New Roman"/>
          <w:szCs w:val="22"/>
        </w:rPr>
        <w:t xml:space="preserve">in </w:t>
      </w:r>
      <w:r w:rsidR="006D4044" w:rsidRPr="00AC18ED">
        <w:rPr>
          <w:rFonts w:ascii="Times New Roman" w:hAnsi="Times New Roman" w:cs="Times New Roman"/>
          <w:szCs w:val="22"/>
        </w:rPr>
        <w:t>Kolkata city is severe</w:t>
      </w:r>
      <w:r>
        <w:rPr>
          <w:rFonts w:ascii="Times New Roman" w:hAnsi="Times New Roman" w:cs="Times New Roman"/>
          <w:szCs w:val="22"/>
        </w:rPr>
        <w:t>,</w:t>
      </w:r>
      <w:r w:rsidR="006D4044" w:rsidRPr="00AC18ED">
        <w:rPr>
          <w:rFonts w:ascii="Times New Roman" w:hAnsi="Times New Roman" w:cs="Times New Roman"/>
          <w:szCs w:val="22"/>
        </w:rPr>
        <w:t xml:space="preserve"> and the status </w:t>
      </w:r>
      <w:r>
        <w:rPr>
          <w:rFonts w:ascii="Times New Roman" w:hAnsi="Times New Roman" w:cs="Times New Roman"/>
          <w:szCs w:val="22"/>
        </w:rPr>
        <w:t xml:space="preserve">has been </w:t>
      </w:r>
      <w:r w:rsidR="006D4044" w:rsidRPr="00AC18ED">
        <w:rPr>
          <w:rFonts w:ascii="Times New Roman" w:hAnsi="Times New Roman" w:cs="Times New Roman"/>
          <w:szCs w:val="22"/>
        </w:rPr>
        <w:t xml:space="preserve">alarming </w:t>
      </w:r>
      <w:r>
        <w:rPr>
          <w:rFonts w:ascii="Times New Roman" w:hAnsi="Times New Roman" w:cs="Times New Roman"/>
          <w:szCs w:val="22"/>
        </w:rPr>
        <w:t>for the</w:t>
      </w:r>
      <w:r w:rsidRPr="00AC18ED">
        <w:rPr>
          <w:rFonts w:ascii="Times New Roman" w:hAnsi="Times New Roman" w:cs="Times New Roman"/>
          <w:szCs w:val="22"/>
        </w:rPr>
        <w:t xml:space="preserve"> </w:t>
      </w:r>
      <w:r w:rsidR="006D4044" w:rsidRPr="00AC18ED">
        <w:rPr>
          <w:rFonts w:ascii="Times New Roman" w:hAnsi="Times New Roman" w:cs="Times New Roman"/>
          <w:szCs w:val="22"/>
        </w:rPr>
        <w:t>past two decades (</w:t>
      </w:r>
      <w:r w:rsidR="006D4044" w:rsidRPr="005E225F">
        <w:rPr>
          <w:rFonts w:ascii="Times New Roman" w:hAnsi="Times New Roman" w:cs="Times New Roman"/>
          <w:szCs w:val="22"/>
        </w:rPr>
        <w:t>Ghose et al., 2005; Das et al., 2006; Chatterjee et al., 2013; Lelieveld et al., 2015</w:t>
      </w:r>
      <w:r w:rsidR="006D4044" w:rsidRPr="00AC18ED">
        <w:rPr>
          <w:rFonts w:ascii="Times New Roman" w:hAnsi="Times New Roman" w:cs="Times New Roman"/>
          <w:szCs w:val="22"/>
        </w:rPr>
        <w:t>). Especially with respect to NO</w:t>
      </w:r>
      <w:r w:rsidR="006D4044" w:rsidRPr="00AC18ED">
        <w:rPr>
          <w:rFonts w:ascii="Times New Roman" w:hAnsi="Times New Roman" w:cs="Times New Roman"/>
          <w:szCs w:val="22"/>
          <w:vertAlign w:val="subscript"/>
        </w:rPr>
        <w:t>x</w:t>
      </w:r>
      <w:r w:rsidR="006D4044" w:rsidRPr="00AC18ED">
        <w:rPr>
          <w:rFonts w:ascii="Times New Roman" w:hAnsi="Times New Roman" w:cs="Times New Roman"/>
          <w:szCs w:val="22"/>
        </w:rPr>
        <w:t xml:space="preserve"> and </w:t>
      </w:r>
      <w:r w:rsidR="00D410A6">
        <w:rPr>
          <w:rFonts w:ascii="Times New Roman" w:hAnsi="Times New Roman" w:cs="Times New Roman"/>
          <w:szCs w:val="22"/>
        </w:rPr>
        <w:t xml:space="preserve">respirable suspended particulate matter i.e., </w:t>
      </w:r>
      <w:r w:rsidR="006D4044" w:rsidRPr="00D101AC">
        <w:rPr>
          <w:rFonts w:ascii="Times New Roman" w:hAnsi="Times New Roman" w:cs="Times New Roman"/>
          <w:szCs w:val="22"/>
        </w:rPr>
        <w:t>RSPM</w:t>
      </w:r>
      <w:r w:rsidR="006D4044" w:rsidRPr="00AC18ED">
        <w:rPr>
          <w:rFonts w:ascii="Times New Roman" w:hAnsi="Times New Roman" w:cs="Times New Roman"/>
          <w:szCs w:val="22"/>
        </w:rPr>
        <w:t xml:space="preserve"> (~PM</w:t>
      </w:r>
      <w:r w:rsidR="006D4044" w:rsidRPr="00AC18ED">
        <w:rPr>
          <w:rFonts w:ascii="Times New Roman" w:hAnsi="Times New Roman" w:cs="Times New Roman"/>
          <w:szCs w:val="22"/>
          <w:vertAlign w:val="subscript"/>
        </w:rPr>
        <w:t>10</w:t>
      </w:r>
      <w:r w:rsidR="006D4044" w:rsidRPr="00AC18ED">
        <w:rPr>
          <w:rFonts w:ascii="Times New Roman" w:hAnsi="Times New Roman" w:cs="Times New Roman"/>
          <w:szCs w:val="22"/>
        </w:rPr>
        <w:t xml:space="preserve">) the annual average </w:t>
      </w:r>
      <w:r w:rsidR="007F1A67">
        <w:rPr>
          <w:rFonts w:ascii="Times New Roman" w:hAnsi="Times New Roman" w:cs="Times New Roman"/>
          <w:szCs w:val="22"/>
        </w:rPr>
        <w:t>was</w:t>
      </w:r>
      <w:r w:rsidR="006D4044" w:rsidRPr="00AC18ED">
        <w:rPr>
          <w:rFonts w:ascii="Times New Roman" w:hAnsi="Times New Roman" w:cs="Times New Roman"/>
          <w:szCs w:val="22"/>
        </w:rPr>
        <w:t xml:space="preserve"> consistently non-compliant </w:t>
      </w:r>
      <w:r>
        <w:rPr>
          <w:rFonts w:ascii="Times New Roman" w:hAnsi="Times New Roman" w:cs="Times New Roman"/>
          <w:szCs w:val="22"/>
        </w:rPr>
        <w:t xml:space="preserve">with </w:t>
      </w:r>
      <w:r w:rsidR="007F1A67">
        <w:rPr>
          <w:rFonts w:ascii="Times New Roman" w:hAnsi="Times New Roman" w:cs="Times New Roman"/>
          <w:szCs w:val="22"/>
        </w:rPr>
        <w:t xml:space="preserve">the </w:t>
      </w:r>
      <w:r w:rsidR="006D4044" w:rsidRPr="00AC18ED">
        <w:rPr>
          <w:rFonts w:ascii="Times New Roman" w:hAnsi="Times New Roman" w:cs="Times New Roman"/>
          <w:szCs w:val="22"/>
        </w:rPr>
        <w:t xml:space="preserve">national standard during </w:t>
      </w:r>
      <w:r>
        <w:rPr>
          <w:rFonts w:ascii="Times New Roman" w:hAnsi="Times New Roman" w:cs="Times New Roman"/>
          <w:szCs w:val="22"/>
        </w:rPr>
        <w:t xml:space="preserve">the </w:t>
      </w:r>
      <w:r w:rsidR="006D4044" w:rsidRPr="00AC18ED">
        <w:rPr>
          <w:rFonts w:ascii="Times New Roman" w:hAnsi="Times New Roman" w:cs="Times New Roman"/>
          <w:szCs w:val="22"/>
        </w:rPr>
        <w:t>1999</w:t>
      </w:r>
      <w:r>
        <w:rPr>
          <w:rFonts w:ascii="Times New Roman" w:hAnsi="Times New Roman" w:cs="Times New Roman"/>
          <w:szCs w:val="22"/>
        </w:rPr>
        <w:t>–</w:t>
      </w:r>
      <w:r w:rsidR="006D4044" w:rsidRPr="00AC18ED">
        <w:rPr>
          <w:rFonts w:ascii="Times New Roman" w:hAnsi="Times New Roman" w:cs="Times New Roman"/>
          <w:szCs w:val="22"/>
        </w:rPr>
        <w:t>2011</w:t>
      </w:r>
      <w:r>
        <w:rPr>
          <w:rFonts w:ascii="Times New Roman" w:hAnsi="Times New Roman" w:cs="Times New Roman"/>
          <w:szCs w:val="22"/>
        </w:rPr>
        <w:t xml:space="preserve"> period</w:t>
      </w:r>
      <w:r w:rsidR="006D4044" w:rsidRPr="00AC18ED">
        <w:rPr>
          <w:rFonts w:ascii="Times New Roman" w:hAnsi="Times New Roman" w:cs="Times New Roman"/>
          <w:szCs w:val="22"/>
        </w:rPr>
        <w:t xml:space="preserve"> (</w:t>
      </w:r>
      <w:r w:rsidR="006D4044" w:rsidRPr="00240D26">
        <w:rPr>
          <w:rFonts w:ascii="Times New Roman" w:hAnsi="Times New Roman" w:cs="Times New Roman"/>
          <w:szCs w:val="22"/>
        </w:rPr>
        <w:t>CPCB, 2015a</w:t>
      </w:r>
      <w:r w:rsidR="00F91E43" w:rsidRPr="002A73C5">
        <w:rPr>
          <w:rFonts w:ascii="Times New Roman" w:hAnsi="Times New Roman" w:cs="Times New Roman"/>
          <w:szCs w:val="22"/>
        </w:rPr>
        <w:t>, 2015b</w:t>
      </w:r>
      <w:r w:rsidR="006D4044" w:rsidRPr="00AC18ED">
        <w:rPr>
          <w:rFonts w:ascii="Times New Roman" w:hAnsi="Times New Roman" w:cs="Times New Roman"/>
          <w:szCs w:val="22"/>
        </w:rPr>
        <w:t xml:space="preserve">). The dominant sources were </w:t>
      </w:r>
      <w:r>
        <w:rPr>
          <w:rFonts w:ascii="Times New Roman" w:hAnsi="Times New Roman" w:cs="Times New Roman"/>
          <w:szCs w:val="22"/>
        </w:rPr>
        <w:t xml:space="preserve">identified as </w:t>
      </w:r>
      <w:r w:rsidR="006D4044" w:rsidRPr="00AC18ED">
        <w:rPr>
          <w:rFonts w:ascii="Times New Roman" w:hAnsi="Times New Roman" w:cs="Times New Roman"/>
          <w:szCs w:val="22"/>
        </w:rPr>
        <w:t>coal combustion, soil dust, road dust</w:t>
      </w:r>
      <w:r>
        <w:rPr>
          <w:rFonts w:ascii="Times New Roman" w:hAnsi="Times New Roman" w:cs="Times New Roman"/>
          <w:szCs w:val="22"/>
        </w:rPr>
        <w:t>,</w:t>
      </w:r>
      <w:r w:rsidR="006D4044" w:rsidRPr="00AC18ED">
        <w:rPr>
          <w:rFonts w:ascii="Times New Roman" w:hAnsi="Times New Roman" w:cs="Times New Roman"/>
          <w:szCs w:val="22"/>
        </w:rPr>
        <w:t xml:space="preserve"> and solid wastes (</w:t>
      </w:r>
      <w:r w:rsidR="006D4044" w:rsidRPr="00240D26">
        <w:rPr>
          <w:rFonts w:ascii="Times New Roman" w:hAnsi="Times New Roman" w:cs="Times New Roman"/>
          <w:szCs w:val="22"/>
        </w:rPr>
        <w:t>Gupta et al., 2007</w:t>
      </w:r>
      <w:r w:rsidR="006D4044" w:rsidRPr="00AC18ED">
        <w:rPr>
          <w:rFonts w:ascii="Times New Roman" w:hAnsi="Times New Roman" w:cs="Times New Roman"/>
          <w:szCs w:val="22"/>
        </w:rPr>
        <w:t xml:space="preserve">). </w:t>
      </w:r>
      <w:r>
        <w:rPr>
          <w:rFonts w:ascii="Times New Roman" w:hAnsi="Times New Roman" w:cs="Times New Roman"/>
          <w:szCs w:val="22"/>
        </w:rPr>
        <w:t xml:space="preserve">The </w:t>
      </w:r>
      <w:r w:rsidR="006D4044" w:rsidRPr="00AC18ED">
        <w:rPr>
          <w:rFonts w:ascii="Times New Roman" w:hAnsi="Times New Roman" w:cs="Times New Roman"/>
          <w:szCs w:val="22"/>
        </w:rPr>
        <w:t xml:space="preserve">Kolkata urban air shed is considered to be </w:t>
      </w:r>
      <w:r w:rsidRPr="00AC18ED">
        <w:rPr>
          <w:rFonts w:ascii="Times New Roman" w:hAnsi="Times New Roman" w:cs="Times New Roman"/>
          <w:szCs w:val="22"/>
        </w:rPr>
        <w:t>NO</w:t>
      </w:r>
      <w:r w:rsidRPr="00C35D33">
        <w:rPr>
          <w:rFonts w:ascii="Times New Roman" w:hAnsi="Times New Roman" w:cs="Times New Roman"/>
          <w:szCs w:val="22"/>
          <w:vertAlign w:val="subscript"/>
        </w:rPr>
        <w:t>x</w:t>
      </w:r>
      <w:r>
        <w:rPr>
          <w:rFonts w:ascii="Times New Roman" w:hAnsi="Times New Roman" w:cs="Times New Roman"/>
          <w:szCs w:val="22"/>
        </w:rPr>
        <w:t>-</w:t>
      </w:r>
      <w:r w:rsidR="006D4044" w:rsidRPr="00AC18ED">
        <w:rPr>
          <w:rFonts w:ascii="Times New Roman" w:hAnsi="Times New Roman" w:cs="Times New Roman"/>
          <w:szCs w:val="22"/>
        </w:rPr>
        <w:t xml:space="preserve">sensitive based on </w:t>
      </w:r>
      <w:r>
        <w:rPr>
          <w:rFonts w:ascii="Times New Roman" w:hAnsi="Times New Roman" w:cs="Times New Roman"/>
          <w:szCs w:val="22"/>
        </w:rPr>
        <w:t xml:space="preserve">the </w:t>
      </w:r>
      <w:r w:rsidR="006D4044" w:rsidRPr="00AC18ED">
        <w:rPr>
          <w:rFonts w:ascii="Times New Roman" w:hAnsi="Times New Roman" w:cs="Times New Roman"/>
          <w:szCs w:val="22"/>
        </w:rPr>
        <w:t>VOC/NO</w:t>
      </w:r>
      <w:r w:rsidR="006D4044" w:rsidRPr="00AC18ED">
        <w:rPr>
          <w:rFonts w:ascii="Times New Roman" w:hAnsi="Times New Roman" w:cs="Times New Roman"/>
          <w:szCs w:val="22"/>
          <w:vertAlign w:val="subscript"/>
        </w:rPr>
        <w:t>x</w:t>
      </w:r>
      <w:r w:rsidR="006D4044" w:rsidRPr="00AC18ED">
        <w:rPr>
          <w:rFonts w:ascii="Times New Roman" w:hAnsi="Times New Roman" w:cs="Times New Roman"/>
          <w:szCs w:val="22"/>
        </w:rPr>
        <w:t xml:space="preserve"> ratio (</w:t>
      </w:r>
      <w:r w:rsidR="006D4044" w:rsidRPr="00240D26">
        <w:rPr>
          <w:rFonts w:ascii="Times New Roman" w:hAnsi="Times New Roman" w:cs="Times New Roman"/>
          <w:szCs w:val="22"/>
        </w:rPr>
        <w:t xml:space="preserve">CPCB, 2010). </w:t>
      </w:r>
      <w:r w:rsidR="006D4044" w:rsidRPr="00AC18ED">
        <w:rPr>
          <w:rFonts w:ascii="Times New Roman" w:hAnsi="Times New Roman" w:cs="Times New Roman"/>
          <w:szCs w:val="22"/>
        </w:rPr>
        <w:t>However, SO</w:t>
      </w:r>
      <w:r w:rsidR="006D4044" w:rsidRPr="00AC18ED">
        <w:rPr>
          <w:rFonts w:ascii="Times New Roman" w:hAnsi="Times New Roman" w:cs="Times New Roman"/>
          <w:szCs w:val="22"/>
          <w:vertAlign w:val="subscript"/>
        </w:rPr>
        <w:t>2</w:t>
      </w:r>
      <w:r w:rsidR="006D4044" w:rsidRPr="00AC18ED">
        <w:rPr>
          <w:rFonts w:ascii="Times New Roman" w:hAnsi="Times New Roman" w:cs="Times New Roman"/>
          <w:szCs w:val="22"/>
        </w:rPr>
        <w:t xml:space="preserve"> levels in Kolkata </w:t>
      </w:r>
      <w:r>
        <w:rPr>
          <w:rFonts w:ascii="Times New Roman" w:hAnsi="Times New Roman" w:cs="Times New Roman"/>
          <w:szCs w:val="22"/>
        </w:rPr>
        <w:t xml:space="preserve">have been </w:t>
      </w:r>
      <w:r w:rsidR="006D4044" w:rsidRPr="00AC18ED">
        <w:rPr>
          <w:rFonts w:ascii="Times New Roman" w:hAnsi="Times New Roman" w:cs="Times New Roman"/>
          <w:szCs w:val="22"/>
        </w:rPr>
        <w:t>well below the NAAQS during last two decades. In recent years,</w:t>
      </w:r>
      <w:r w:rsidR="007F1A67">
        <w:rPr>
          <w:rFonts w:ascii="Times New Roman" w:hAnsi="Times New Roman" w:cs="Times New Roman"/>
          <w:szCs w:val="22"/>
        </w:rPr>
        <w:t xml:space="preserve"> however,</w:t>
      </w:r>
      <w:r w:rsidR="006D4044" w:rsidRPr="00AC18ED">
        <w:rPr>
          <w:rFonts w:ascii="Times New Roman" w:hAnsi="Times New Roman" w:cs="Times New Roman"/>
          <w:szCs w:val="22"/>
        </w:rPr>
        <w:t xml:space="preserve"> </w:t>
      </w:r>
      <w:r>
        <w:rPr>
          <w:rFonts w:ascii="Times New Roman" w:hAnsi="Times New Roman" w:cs="Times New Roman"/>
          <w:szCs w:val="22"/>
        </w:rPr>
        <w:t xml:space="preserve">the </w:t>
      </w:r>
      <w:r w:rsidR="006D4044" w:rsidRPr="00AC18ED">
        <w:rPr>
          <w:rFonts w:ascii="Times New Roman" w:hAnsi="Times New Roman" w:cs="Times New Roman"/>
          <w:szCs w:val="22"/>
        </w:rPr>
        <w:t>annual average PM</w:t>
      </w:r>
      <w:r w:rsidR="006D4044" w:rsidRPr="00AC18ED">
        <w:rPr>
          <w:rFonts w:ascii="Times New Roman" w:hAnsi="Times New Roman" w:cs="Times New Roman"/>
          <w:szCs w:val="22"/>
          <w:vertAlign w:val="subscript"/>
        </w:rPr>
        <w:t>10</w:t>
      </w:r>
      <w:r w:rsidR="006D4044" w:rsidRPr="00AC18ED">
        <w:rPr>
          <w:rFonts w:ascii="Times New Roman" w:hAnsi="Times New Roman" w:cs="Times New Roman"/>
          <w:szCs w:val="22"/>
        </w:rPr>
        <w:t xml:space="preserve"> and NO</w:t>
      </w:r>
      <w:r w:rsidR="006D4044" w:rsidRPr="00AC18ED">
        <w:rPr>
          <w:rFonts w:ascii="Times New Roman" w:hAnsi="Times New Roman" w:cs="Times New Roman"/>
          <w:szCs w:val="22"/>
          <w:vertAlign w:val="subscript"/>
        </w:rPr>
        <w:t>x</w:t>
      </w:r>
      <w:r w:rsidR="006D4044" w:rsidRPr="00AC18ED">
        <w:rPr>
          <w:rFonts w:ascii="Times New Roman" w:hAnsi="Times New Roman" w:cs="Times New Roman"/>
          <w:szCs w:val="22"/>
        </w:rPr>
        <w:t xml:space="preserve"> level </w:t>
      </w:r>
      <w:r>
        <w:rPr>
          <w:rFonts w:ascii="Times New Roman" w:hAnsi="Times New Roman" w:cs="Times New Roman"/>
          <w:szCs w:val="22"/>
        </w:rPr>
        <w:t>has been</w:t>
      </w:r>
      <w:r w:rsidRPr="00AC18ED">
        <w:rPr>
          <w:rFonts w:ascii="Times New Roman" w:hAnsi="Times New Roman" w:cs="Times New Roman"/>
          <w:szCs w:val="22"/>
        </w:rPr>
        <w:t xml:space="preserve"> </w:t>
      </w:r>
      <w:r w:rsidR="006D4044" w:rsidRPr="00AC18ED">
        <w:rPr>
          <w:rFonts w:ascii="Times New Roman" w:hAnsi="Times New Roman" w:cs="Times New Roman"/>
          <w:szCs w:val="22"/>
        </w:rPr>
        <w:t xml:space="preserve">found to consistently </w:t>
      </w:r>
      <w:r>
        <w:rPr>
          <w:rFonts w:ascii="Times New Roman" w:hAnsi="Times New Roman" w:cs="Times New Roman"/>
          <w:szCs w:val="22"/>
        </w:rPr>
        <w:t xml:space="preserve">exceed the </w:t>
      </w:r>
      <w:r w:rsidR="006D4044" w:rsidRPr="00AC18ED">
        <w:rPr>
          <w:rFonts w:ascii="Times New Roman" w:hAnsi="Times New Roman" w:cs="Times New Roman"/>
          <w:szCs w:val="22"/>
        </w:rPr>
        <w:t>NAAQS</w:t>
      </w:r>
      <w:r>
        <w:rPr>
          <w:rFonts w:ascii="Times New Roman" w:hAnsi="Times New Roman" w:cs="Times New Roman"/>
          <w:szCs w:val="22"/>
        </w:rPr>
        <w:t>,</w:t>
      </w:r>
      <w:r w:rsidR="006D4044" w:rsidRPr="00AC18ED">
        <w:rPr>
          <w:rFonts w:ascii="Times New Roman" w:hAnsi="Times New Roman" w:cs="Times New Roman"/>
          <w:szCs w:val="22"/>
        </w:rPr>
        <w:t xml:space="preserve"> while </w:t>
      </w:r>
      <w:r w:rsidR="007F1A67">
        <w:rPr>
          <w:rFonts w:ascii="Times New Roman" w:hAnsi="Times New Roman" w:cs="Times New Roman"/>
          <w:szCs w:val="22"/>
        </w:rPr>
        <w:t xml:space="preserve">the </w:t>
      </w:r>
      <w:r w:rsidR="006D4044" w:rsidRPr="00AC18ED">
        <w:rPr>
          <w:rFonts w:ascii="Times New Roman" w:hAnsi="Times New Roman" w:cs="Times New Roman"/>
          <w:szCs w:val="22"/>
        </w:rPr>
        <w:t>PM</w:t>
      </w:r>
      <w:r w:rsidR="006D4044" w:rsidRPr="00AC18ED">
        <w:rPr>
          <w:rFonts w:ascii="Times New Roman" w:hAnsi="Times New Roman" w:cs="Times New Roman"/>
          <w:szCs w:val="22"/>
          <w:vertAlign w:val="subscript"/>
        </w:rPr>
        <w:t>2.5</w:t>
      </w:r>
      <w:r w:rsidR="00774A64">
        <w:rPr>
          <w:rFonts w:ascii="Times New Roman" w:hAnsi="Times New Roman" w:cs="Times New Roman"/>
          <w:szCs w:val="22"/>
        </w:rPr>
        <w:t xml:space="preserve"> </w:t>
      </w:r>
      <w:r w:rsidR="007F1A67">
        <w:rPr>
          <w:rFonts w:ascii="Times New Roman" w:hAnsi="Times New Roman" w:cs="Times New Roman"/>
          <w:szCs w:val="22"/>
        </w:rPr>
        <w:t xml:space="preserve">level </w:t>
      </w:r>
      <w:r w:rsidR="006D4044" w:rsidRPr="00AC18ED">
        <w:rPr>
          <w:rFonts w:ascii="Times New Roman" w:hAnsi="Times New Roman" w:cs="Times New Roman"/>
          <w:szCs w:val="22"/>
        </w:rPr>
        <w:t xml:space="preserve">far </w:t>
      </w:r>
      <w:r w:rsidRPr="00AC18ED">
        <w:rPr>
          <w:rFonts w:ascii="Times New Roman" w:hAnsi="Times New Roman" w:cs="Times New Roman"/>
          <w:szCs w:val="22"/>
        </w:rPr>
        <w:t>exceed</w:t>
      </w:r>
      <w:r>
        <w:rPr>
          <w:rFonts w:ascii="Times New Roman" w:hAnsi="Times New Roman" w:cs="Times New Roman"/>
          <w:szCs w:val="22"/>
        </w:rPr>
        <w:t>s</w:t>
      </w:r>
      <w:r w:rsidRPr="00AC18ED">
        <w:rPr>
          <w:rFonts w:ascii="Times New Roman" w:hAnsi="Times New Roman" w:cs="Times New Roman"/>
          <w:szCs w:val="22"/>
        </w:rPr>
        <w:t xml:space="preserve"> </w:t>
      </w:r>
      <w:r w:rsidR="006D4044" w:rsidRPr="00AC18ED">
        <w:rPr>
          <w:rFonts w:ascii="Times New Roman" w:hAnsi="Times New Roman" w:cs="Times New Roman"/>
          <w:szCs w:val="22"/>
        </w:rPr>
        <w:t xml:space="preserve">the standard in </w:t>
      </w:r>
      <w:r>
        <w:rPr>
          <w:rFonts w:ascii="Times New Roman" w:hAnsi="Times New Roman" w:cs="Times New Roman"/>
          <w:szCs w:val="22"/>
        </w:rPr>
        <w:t xml:space="preserve">the </w:t>
      </w:r>
      <w:r w:rsidR="006D4044" w:rsidRPr="00AC18ED">
        <w:rPr>
          <w:rFonts w:ascii="Times New Roman" w:hAnsi="Times New Roman" w:cs="Times New Roman"/>
          <w:szCs w:val="22"/>
        </w:rPr>
        <w:t>winter months (Figure 1). NO</w:t>
      </w:r>
      <w:r w:rsidR="006D4044" w:rsidRPr="00AC18ED">
        <w:rPr>
          <w:rFonts w:ascii="Times New Roman" w:hAnsi="Times New Roman" w:cs="Times New Roman"/>
          <w:szCs w:val="22"/>
          <w:vertAlign w:val="subscript"/>
        </w:rPr>
        <w:t>x</w:t>
      </w:r>
      <w:r w:rsidR="006D4044" w:rsidRPr="00AC18ED">
        <w:rPr>
          <w:rFonts w:ascii="Times New Roman" w:hAnsi="Times New Roman" w:cs="Times New Roman"/>
          <w:szCs w:val="22"/>
        </w:rPr>
        <w:t xml:space="preserve"> concentrations exceeded </w:t>
      </w:r>
      <w:r w:rsidR="007F1A67">
        <w:rPr>
          <w:rFonts w:ascii="Times New Roman" w:hAnsi="Times New Roman" w:cs="Times New Roman"/>
          <w:szCs w:val="22"/>
        </w:rPr>
        <w:t xml:space="preserve">the </w:t>
      </w:r>
      <w:r w:rsidR="006D4044" w:rsidRPr="00AC18ED">
        <w:rPr>
          <w:rFonts w:ascii="Times New Roman" w:hAnsi="Times New Roman" w:cs="Times New Roman"/>
          <w:szCs w:val="22"/>
        </w:rPr>
        <w:t xml:space="preserve">NAAQS </w:t>
      </w:r>
      <w:r>
        <w:rPr>
          <w:rFonts w:ascii="Times New Roman" w:hAnsi="Times New Roman" w:cs="Times New Roman"/>
          <w:szCs w:val="22"/>
        </w:rPr>
        <w:t>on</w:t>
      </w:r>
      <w:r w:rsidRPr="00AC18ED">
        <w:rPr>
          <w:rFonts w:ascii="Times New Roman" w:hAnsi="Times New Roman" w:cs="Times New Roman"/>
          <w:szCs w:val="22"/>
        </w:rPr>
        <w:t xml:space="preserve"> </w:t>
      </w:r>
      <w:r w:rsidR="006D4044" w:rsidRPr="00AC18ED">
        <w:rPr>
          <w:rFonts w:ascii="Times New Roman" w:hAnsi="Times New Roman" w:cs="Times New Roman"/>
          <w:szCs w:val="22"/>
        </w:rPr>
        <w:t xml:space="preserve">several occasions at all the </w:t>
      </w:r>
      <w:r>
        <w:rPr>
          <w:rFonts w:ascii="Times New Roman" w:hAnsi="Times New Roman" w:cs="Times New Roman"/>
          <w:szCs w:val="22"/>
        </w:rPr>
        <w:t xml:space="preserve">monitoring </w:t>
      </w:r>
      <w:r w:rsidR="006D4044" w:rsidRPr="00AC18ED">
        <w:rPr>
          <w:rFonts w:ascii="Times New Roman" w:hAnsi="Times New Roman" w:cs="Times New Roman"/>
          <w:szCs w:val="22"/>
        </w:rPr>
        <w:t>sites</w:t>
      </w:r>
      <w:r>
        <w:rPr>
          <w:rFonts w:ascii="Times New Roman" w:hAnsi="Times New Roman" w:cs="Times New Roman"/>
          <w:szCs w:val="22"/>
        </w:rPr>
        <w:t>,</w:t>
      </w:r>
      <w:r w:rsidR="006D4044" w:rsidRPr="00AC18ED">
        <w:rPr>
          <w:rFonts w:ascii="Times New Roman" w:hAnsi="Times New Roman" w:cs="Times New Roman"/>
          <w:szCs w:val="22"/>
        </w:rPr>
        <w:t xml:space="preserve"> while PM</w:t>
      </w:r>
      <w:r w:rsidR="006D4044" w:rsidRPr="00AC18ED">
        <w:rPr>
          <w:rFonts w:ascii="Times New Roman" w:hAnsi="Times New Roman" w:cs="Times New Roman"/>
          <w:szCs w:val="22"/>
          <w:vertAlign w:val="subscript"/>
        </w:rPr>
        <w:t>10</w:t>
      </w:r>
      <w:r w:rsidR="006D4044" w:rsidRPr="00AC18ED">
        <w:rPr>
          <w:rFonts w:ascii="Times New Roman" w:hAnsi="Times New Roman" w:cs="Times New Roman"/>
          <w:szCs w:val="22"/>
        </w:rPr>
        <w:t xml:space="preserve"> and PM</w:t>
      </w:r>
      <w:r w:rsidR="006D4044" w:rsidRPr="00AC18ED">
        <w:rPr>
          <w:rFonts w:ascii="Times New Roman" w:hAnsi="Times New Roman" w:cs="Times New Roman"/>
          <w:szCs w:val="22"/>
          <w:vertAlign w:val="subscript"/>
        </w:rPr>
        <w:t xml:space="preserve">2.5 </w:t>
      </w:r>
      <w:r w:rsidR="006D4044" w:rsidRPr="00AC18ED">
        <w:rPr>
          <w:rFonts w:ascii="Times New Roman" w:hAnsi="Times New Roman" w:cs="Times New Roman"/>
          <w:szCs w:val="22"/>
        </w:rPr>
        <w:t>exceeded more than 60% and ~40% of days</w:t>
      </w:r>
      <w:r>
        <w:rPr>
          <w:rFonts w:ascii="Times New Roman" w:hAnsi="Times New Roman" w:cs="Times New Roman"/>
          <w:szCs w:val="22"/>
        </w:rPr>
        <w:t>,</w:t>
      </w:r>
      <w:r w:rsidR="006D4044" w:rsidRPr="00AC18ED">
        <w:rPr>
          <w:rFonts w:ascii="Times New Roman" w:hAnsi="Times New Roman" w:cs="Times New Roman"/>
          <w:szCs w:val="22"/>
        </w:rPr>
        <w:t xml:space="preserve"> respectively</w:t>
      </w:r>
      <w:r>
        <w:rPr>
          <w:rFonts w:ascii="Times New Roman" w:hAnsi="Times New Roman" w:cs="Times New Roman"/>
          <w:szCs w:val="22"/>
        </w:rPr>
        <w:t>,</w:t>
      </w:r>
      <w:r w:rsidR="006D4044" w:rsidRPr="00AC18ED">
        <w:rPr>
          <w:rFonts w:ascii="Times New Roman" w:hAnsi="Times New Roman" w:cs="Times New Roman"/>
          <w:szCs w:val="22"/>
        </w:rPr>
        <w:t xml:space="preserve"> in Kolkata during 2013</w:t>
      </w:r>
      <w:r>
        <w:rPr>
          <w:rFonts w:ascii="Times New Roman" w:hAnsi="Times New Roman" w:cs="Times New Roman"/>
          <w:szCs w:val="22"/>
        </w:rPr>
        <w:t>–</w:t>
      </w:r>
      <w:r w:rsidR="006D4044" w:rsidRPr="00AC18ED">
        <w:rPr>
          <w:rFonts w:ascii="Times New Roman" w:hAnsi="Times New Roman" w:cs="Times New Roman"/>
          <w:szCs w:val="22"/>
        </w:rPr>
        <w:t>2015 (</w:t>
      </w:r>
      <w:bookmarkStart w:id="12" w:name="_Hlk22053107"/>
      <w:r w:rsidR="006D4044" w:rsidRPr="00240D26">
        <w:rPr>
          <w:rFonts w:ascii="Times New Roman" w:hAnsi="Times New Roman" w:cs="Times New Roman"/>
          <w:szCs w:val="22"/>
        </w:rPr>
        <w:t>CPCB</w:t>
      </w:r>
      <w:r w:rsidR="008C2D4A" w:rsidRPr="00240D26">
        <w:rPr>
          <w:rFonts w:ascii="Times New Roman" w:hAnsi="Times New Roman" w:cs="Times New Roman"/>
          <w:szCs w:val="22"/>
        </w:rPr>
        <w:t>,</w:t>
      </w:r>
      <w:r w:rsidR="006D4044" w:rsidRPr="00240D26">
        <w:rPr>
          <w:rFonts w:ascii="Times New Roman" w:hAnsi="Times New Roman" w:cs="Times New Roman"/>
          <w:szCs w:val="22"/>
        </w:rPr>
        <w:t xml:space="preserve"> 2014; </w:t>
      </w:r>
      <w:r w:rsidR="008C2D4A" w:rsidRPr="00240D26">
        <w:rPr>
          <w:rFonts w:ascii="Times New Roman" w:hAnsi="Times New Roman" w:cs="Times New Roman"/>
          <w:szCs w:val="22"/>
        </w:rPr>
        <w:t xml:space="preserve">CPCB, </w:t>
      </w:r>
      <w:r w:rsidR="006D4044" w:rsidRPr="00240D26">
        <w:rPr>
          <w:rFonts w:ascii="Times New Roman" w:hAnsi="Times New Roman" w:cs="Times New Roman"/>
          <w:szCs w:val="22"/>
        </w:rPr>
        <w:t xml:space="preserve">2015b; </w:t>
      </w:r>
      <w:r w:rsidR="008C2D4A" w:rsidRPr="00240D26">
        <w:rPr>
          <w:rFonts w:ascii="Times New Roman" w:hAnsi="Times New Roman" w:cs="Times New Roman"/>
          <w:szCs w:val="22"/>
        </w:rPr>
        <w:t xml:space="preserve">CPCB, </w:t>
      </w:r>
      <w:r w:rsidR="006D4044" w:rsidRPr="00240D26">
        <w:rPr>
          <w:rFonts w:ascii="Times New Roman" w:hAnsi="Times New Roman" w:cs="Times New Roman"/>
          <w:szCs w:val="22"/>
        </w:rPr>
        <w:t>2016; WBPCB, 2016</w:t>
      </w:r>
      <w:bookmarkEnd w:id="12"/>
      <w:r w:rsidR="006D4044" w:rsidRPr="00AC18ED">
        <w:rPr>
          <w:rFonts w:ascii="Times New Roman" w:hAnsi="Times New Roman" w:cs="Times New Roman"/>
          <w:szCs w:val="22"/>
        </w:rPr>
        <w:t>). Kolkata shows typical seasonal variation with respect to key air pollutants</w:t>
      </w:r>
      <w:r>
        <w:rPr>
          <w:rFonts w:ascii="Times New Roman" w:hAnsi="Times New Roman" w:cs="Times New Roman"/>
          <w:szCs w:val="22"/>
        </w:rPr>
        <w:t>,</w:t>
      </w:r>
      <w:r w:rsidR="006D4044" w:rsidRPr="00AC18ED">
        <w:rPr>
          <w:rFonts w:ascii="Times New Roman" w:hAnsi="Times New Roman" w:cs="Times New Roman"/>
          <w:szCs w:val="22"/>
        </w:rPr>
        <w:t xml:space="preserve"> with </w:t>
      </w:r>
      <w:r>
        <w:rPr>
          <w:rFonts w:ascii="Times New Roman" w:hAnsi="Times New Roman" w:cs="Times New Roman"/>
          <w:szCs w:val="22"/>
        </w:rPr>
        <w:t xml:space="preserve">a </w:t>
      </w:r>
      <w:r w:rsidR="006D4044" w:rsidRPr="00AC18ED">
        <w:rPr>
          <w:rFonts w:ascii="Times New Roman" w:hAnsi="Times New Roman" w:cs="Times New Roman"/>
          <w:szCs w:val="22"/>
        </w:rPr>
        <w:t>very high</w:t>
      </w:r>
      <w:r>
        <w:rPr>
          <w:rFonts w:ascii="Times New Roman" w:hAnsi="Times New Roman" w:cs="Times New Roman"/>
          <w:szCs w:val="22"/>
        </w:rPr>
        <w:t xml:space="preserve"> </w:t>
      </w:r>
      <w:r w:rsidR="006D4044" w:rsidRPr="00AC18ED">
        <w:rPr>
          <w:rFonts w:ascii="Times New Roman" w:hAnsi="Times New Roman" w:cs="Times New Roman"/>
          <w:szCs w:val="22"/>
        </w:rPr>
        <w:t xml:space="preserve">level during </w:t>
      </w:r>
      <w:r>
        <w:rPr>
          <w:rFonts w:ascii="Times New Roman" w:hAnsi="Times New Roman" w:cs="Times New Roman"/>
          <w:szCs w:val="22"/>
        </w:rPr>
        <w:t xml:space="preserve">the </w:t>
      </w:r>
      <w:r w:rsidR="006D4044" w:rsidRPr="00AC18ED">
        <w:rPr>
          <w:rFonts w:ascii="Times New Roman" w:hAnsi="Times New Roman" w:cs="Times New Roman"/>
          <w:szCs w:val="22"/>
        </w:rPr>
        <w:t xml:space="preserve">winter months (September to February) due to meteorological factors </w:t>
      </w:r>
      <w:r w:rsidR="006D4044" w:rsidRPr="00240D26">
        <w:rPr>
          <w:rFonts w:ascii="Times New Roman" w:hAnsi="Times New Roman" w:cs="Times New Roman"/>
          <w:szCs w:val="22"/>
        </w:rPr>
        <w:t>(CPCB, 2015a</w:t>
      </w:r>
      <w:r w:rsidR="006D4044" w:rsidRPr="00AC18ED">
        <w:rPr>
          <w:rFonts w:ascii="Times New Roman" w:hAnsi="Times New Roman" w:cs="Times New Roman"/>
          <w:szCs w:val="22"/>
        </w:rPr>
        <w:t>).</w:t>
      </w:r>
    </w:p>
    <w:p w14:paraId="2616BE91" w14:textId="77777777" w:rsidR="005F4BD2" w:rsidRPr="00AC18ED" w:rsidRDefault="005F4BD2" w:rsidP="00AC18ED">
      <w:pPr>
        <w:adjustRightInd w:val="0"/>
        <w:spacing w:after="120" w:line="276" w:lineRule="auto"/>
        <w:jc w:val="both"/>
        <w:rPr>
          <w:rFonts w:ascii="Times New Roman" w:hAnsi="Times New Roman" w:cs="Times New Roman"/>
          <w:szCs w:val="22"/>
        </w:rPr>
      </w:pPr>
    </w:p>
    <w:p w14:paraId="15EE0018" w14:textId="6DA3A26A" w:rsidR="006D4044" w:rsidRPr="00AC18ED" w:rsidRDefault="005F4BD2" w:rsidP="00AC18ED">
      <w:pPr>
        <w:adjustRightInd w:val="0"/>
        <w:spacing w:after="120" w:line="276" w:lineRule="auto"/>
        <w:jc w:val="both"/>
        <w:rPr>
          <w:rFonts w:ascii="Times New Roman" w:hAnsi="Times New Roman" w:cs="Times New Roman"/>
          <w:noProof/>
          <w:szCs w:val="22"/>
          <w:lang w:eastAsia="en-IN" w:bidi="ar-SA"/>
        </w:rPr>
      </w:pPr>
      <w:r w:rsidRPr="00AC18ED">
        <w:rPr>
          <w:rFonts w:ascii="Times New Roman" w:hAnsi="Times New Roman" w:cs="Times New Roman"/>
          <w:noProof/>
          <w:szCs w:val="22"/>
          <w:lang w:eastAsia="en-IN" w:bidi="ar-SA"/>
        </w:rPr>
        <w:drawing>
          <wp:inline distT="0" distB="0" distL="0" distR="0" wp14:anchorId="68A29A85" wp14:editId="272DE0D3">
            <wp:extent cx="5715635" cy="190039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7066" cy="1910848"/>
                    </a:xfrm>
                    <a:prstGeom prst="rect">
                      <a:avLst/>
                    </a:prstGeom>
                    <a:noFill/>
                  </pic:spPr>
                </pic:pic>
              </a:graphicData>
            </a:graphic>
          </wp:inline>
        </w:drawing>
      </w:r>
    </w:p>
    <w:p w14:paraId="3DA2797A" w14:textId="77777777" w:rsidR="006D4044" w:rsidRPr="00AC18ED" w:rsidRDefault="006D4044" w:rsidP="00AC18ED">
      <w:pPr>
        <w:spacing w:after="120" w:line="276" w:lineRule="auto"/>
        <w:ind w:left="1440" w:firstLine="720"/>
        <w:rPr>
          <w:rFonts w:ascii="Times New Roman" w:hAnsi="Times New Roman" w:cs="Times New Roman"/>
          <w:szCs w:val="22"/>
        </w:rPr>
      </w:pPr>
      <w:r w:rsidRPr="00AC18ED">
        <w:rPr>
          <w:rFonts w:ascii="Times New Roman" w:hAnsi="Times New Roman" w:cs="Times New Roman"/>
          <w:szCs w:val="22"/>
        </w:rPr>
        <w:t xml:space="preserve">(a) </w:t>
      </w:r>
      <w:r w:rsidRPr="00AC18ED">
        <w:rPr>
          <w:rFonts w:ascii="Times New Roman" w:hAnsi="Times New Roman" w:cs="Times New Roman"/>
          <w:szCs w:val="22"/>
        </w:rPr>
        <w:tab/>
      </w:r>
      <w:r w:rsidRPr="00AC18ED">
        <w:rPr>
          <w:rFonts w:ascii="Times New Roman" w:hAnsi="Times New Roman" w:cs="Times New Roman"/>
          <w:szCs w:val="22"/>
        </w:rPr>
        <w:tab/>
      </w:r>
      <w:r w:rsidRPr="00AC18ED">
        <w:rPr>
          <w:rFonts w:ascii="Times New Roman" w:hAnsi="Times New Roman" w:cs="Times New Roman"/>
          <w:szCs w:val="22"/>
        </w:rPr>
        <w:tab/>
      </w:r>
      <w:r w:rsidRPr="00AC18ED">
        <w:rPr>
          <w:rFonts w:ascii="Times New Roman" w:hAnsi="Times New Roman" w:cs="Times New Roman"/>
          <w:szCs w:val="22"/>
        </w:rPr>
        <w:tab/>
      </w:r>
      <w:r w:rsidRPr="00AC18ED">
        <w:rPr>
          <w:rFonts w:ascii="Times New Roman" w:hAnsi="Times New Roman" w:cs="Times New Roman"/>
          <w:szCs w:val="22"/>
        </w:rPr>
        <w:tab/>
      </w:r>
      <w:r w:rsidRPr="00AC18ED">
        <w:rPr>
          <w:rFonts w:ascii="Times New Roman" w:hAnsi="Times New Roman" w:cs="Times New Roman"/>
          <w:szCs w:val="22"/>
        </w:rPr>
        <w:tab/>
      </w:r>
      <w:r w:rsidRPr="00AC18ED">
        <w:rPr>
          <w:rFonts w:ascii="Times New Roman" w:hAnsi="Times New Roman" w:cs="Times New Roman"/>
          <w:szCs w:val="22"/>
        </w:rPr>
        <w:tab/>
        <w:t>(b)</w:t>
      </w:r>
    </w:p>
    <w:p w14:paraId="1D1B028E" w14:textId="34DDBB85" w:rsidR="006D4044" w:rsidRPr="00AC18ED" w:rsidRDefault="006D4044" w:rsidP="002A73C5">
      <w:pPr>
        <w:spacing w:after="120" w:line="276" w:lineRule="auto"/>
        <w:jc w:val="both"/>
        <w:rPr>
          <w:rFonts w:ascii="Times New Roman" w:hAnsi="Times New Roman" w:cs="Times New Roman"/>
          <w:b/>
          <w:szCs w:val="22"/>
        </w:rPr>
      </w:pPr>
      <w:r w:rsidRPr="00AC18ED">
        <w:rPr>
          <w:rFonts w:ascii="Times New Roman" w:hAnsi="Times New Roman" w:cs="Times New Roman"/>
          <w:b/>
          <w:szCs w:val="22"/>
        </w:rPr>
        <w:t xml:space="preserve">Figure </w:t>
      </w:r>
      <w:r w:rsidR="00DD21FC" w:rsidRPr="00AC18ED">
        <w:rPr>
          <w:rFonts w:ascii="Times New Roman" w:hAnsi="Times New Roman" w:cs="Times New Roman"/>
          <w:b/>
          <w:szCs w:val="22"/>
        </w:rPr>
        <w:t>S3</w:t>
      </w:r>
      <w:r w:rsidRPr="00AC18ED">
        <w:rPr>
          <w:rFonts w:ascii="Times New Roman" w:hAnsi="Times New Roman" w:cs="Times New Roman"/>
          <w:b/>
          <w:szCs w:val="22"/>
        </w:rPr>
        <w:t>: (a) Ambient air quality (annual average) of Kolkata</w:t>
      </w:r>
      <w:r w:rsidR="00675909">
        <w:rPr>
          <w:rFonts w:ascii="Times New Roman" w:hAnsi="Times New Roman" w:cs="Times New Roman"/>
          <w:b/>
          <w:szCs w:val="22"/>
        </w:rPr>
        <w:t>;</w:t>
      </w:r>
      <w:r w:rsidR="00774A64">
        <w:rPr>
          <w:rFonts w:ascii="Times New Roman" w:hAnsi="Times New Roman" w:cs="Times New Roman"/>
          <w:b/>
          <w:szCs w:val="22"/>
        </w:rPr>
        <w:t xml:space="preserve"> </w:t>
      </w:r>
      <w:r w:rsidRPr="00AC18ED">
        <w:rPr>
          <w:rFonts w:ascii="Times New Roman" w:hAnsi="Times New Roman" w:cs="Times New Roman"/>
          <w:b/>
          <w:szCs w:val="22"/>
        </w:rPr>
        <w:t xml:space="preserve">(b) monthly variation </w:t>
      </w:r>
      <w:r w:rsidR="00675909">
        <w:rPr>
          <w:rFonts w:ascii="Times New Roman" w:hAnsi="Times New Roman" w:cs="Times New Roman"/>
          <w:b/>
          <w:szCs w:val="22"/>
        </w:rPr>
        <w:t xml:space="preserve">in </w:t>
      </w:r>
      <w:r w:rsidRPr="00AC18ED">
        <w:rPr>
          <w:rFonts w:ascii="Times New Roman" w:hAnsi="Times New Roman" w:cs="Times New Roman"/>
          <w:b/>
          <w:szCs w:val="22"/>
        </w:rPr>
        <w:t>ambient PM</w:t>
      </w:r>
      <w:r w:rsidRPr="00AC18ED">
        <w:rPr>
          <w:rFonts w:ascii="Times New Roman" w:hAnsi="Times New Roman" w:cs="Times New Roman"/>
          <w:b/>
          <w:szCs w:val="22"/>
          <w:vertAlign w:val="subscript"/>
        </w:rPr>
        <w:t>2.5</w:t>
      </w:r>
      <w:r w:rsidRPr="00AC18ED">
        <w:rPr>
          <w:rFonts w:ascii="Times New Roman" w:hAnsi="Times New Roman" w:cs="Times New Roman"/>
          <w:b/>
          <w:szCs w:val="22"/>
        </w:rPr>
        <w:t xml:space="preserve"> level of Kolkata</w:t>
      </w:r>
    </w:p>
    <w:p w14:paraId="108ED793" w14:textId="261B3018" w:rsidR="00DD21FC" w:rsidRPr="00AC18ED" w:rsidRDefault="00DD21FC" w:rsidP="00AC18ED">
      <w:pPr>
        <w:spacing w:after="120" w:line="276" w:lineRule="auto"/>
        <w:jc w:val="both"/>
        <w:rPr>
          <w:rFonts w:ascii="Times New Roman" w:hAnsi="Times New Roman" w:cs="Times New Roman"/>
          <w:szCs w:val="22"/>
        </w:rPr>
      </w:pPr>
      <w:r w:rsidRPr="00AC18ED">
        <w:rPr>
          <w:rFonts w:ascii="Times New Roman" w:hAnsi="Times New Roman" w:cs="Times New Roman"/>
          <w:szCs w:val="22"/>
        </w:rPr>
        <w:t>Source</w:t>
      </w:r>
      <w:r w:rsidR="007F1A67">
        <w:rPr>
          <w:rFonts w:ascii="Times New Roman" w:hAnsi="Times New Roman" w:cs="Times New Roman"/>
          <w:szCs w:val="22"/>
        </w:rPr>
        <w:t>s</w:t>
      </w:r>
      <w:r w:rsidRPr="00AC18ED">
        <w:rPr>
          <w:rFonts w:ascii="Times New Roman" w:hAnsi="Times New Roman" w:cs="Times New Roman"/>
          <w:szCs w:val="22"/>
        </w:rPr>
        <w:t>:</w:t>
      </w:r>
      <w:r w:rsidR="00774A64">
        <w:rPr>
          <w:rFonts w:ascii="Times New Roman" w:hAnsi="Times New Roman" w:cs="Times New Roman"/>
          <w:szCs w:val="22"/>
        </w:rPr>
        <w:t xml:space="preserve"> </w:t>
      </w:r>
      <w:r w:rsidRPr="00F76DB4">
        <w:rPr>
          <w:rFonts w:ascii="Times New Roman" w:hAnsi="Times New Roman" w:cs="Times New Roman"/>
          <w:szCs w:val="22"/>
        </w:rPr>
        <w:t xml:space="preserve">CPCB </w:t>
      </w:r>
      <w:r w:rsidR="00081589" w:rsidRPr="00F76DB4">
        <w:rPr>
          <w:rFonts w:ascii="Times New Roman" w:hAnsi="Times New Roman" w:cs="Times New Roman"/>
          <w:szCs w:val="22"/>
        </w:rPr>
        <w:t>(</w:t>
      </w:r>
      <w:r w:rsidRPr="00F76DB4">
        <w:rPr>
          <w:rFonts w:ascii="Times New Roman" w:hAnsi="Times New Roman" w:cs="Times New Roman"/>
          <w:szCs w:val="22"/>
        </w:rPr>
        <w:t>2014, 2015b, 2016</w:t>
      </w:r>
      <w:r w:rsidR="00081589" w:rsidRPr="00F76DB4">
        <w:rPr>
          <w:rFonts w:ascii="Times New Roman" w:hAnsi="Times New Roman" w:cs="Times New Roman"/>
          <w:szCs w:val="22"/>
        </w:rPr>
        <w:t>)</w:t>
      </w:r>
      <w:r w:rsidRPr="00F76DB4">
        <w:rPr>
          <w:rFonts w:ascii="Times New Roman" w:hAnsi="Times New Roman" w:cs="Times New Roman"/>
          <w:szCs w:val="22"/>
        </w:rPr>
        <w:t xml:space="preserve">; WBPCB </w:t>
      </w:r>
      <w:r w:rsidR="00081589" w:rsidRPr="00F76DB4">
        <w:rPr>
          <w:rFonts w:ascii="Times New Roman" w:hAnsi="Times New Roman" w:cs="Times New Roman"/>
          <w:szCs w:val="22"/>
        </w:rPr>
        <w:t>(</w:t>
      </w:r>
      <w:r w:rsidRPr="00F76DB4">
        <w:rPr>
          <w:rFonts w:ascii="Times New Roman" w:hAnsi="Times New Roman" w:cs="Times New Roman"/>
          <w:szCs w:val="22"/>
        </w:rPr>
        <w:t>2016</w:t>
      </w:r>
      <w:r w:rsidR="00081589" w:rsidRPr="00F76DB4">
        <w:rPr>
          <w:rFonts w:ascii="Times New Roman" w:hAnsi="Times New Roman" w:cs="Times New Roman"/>
          <w:szCs w:val="22"/>
        </w:rPr>
        <w:t>)</w:t>
      </w:r>
      <w:r w:rsidRPr="00F76DB4">
        <w:rPr>
          <w:rFonts w:ascii="Times New Roman" w:hAnsi="Times New Roman" w:cs="Times New Roman"/>
          <w:szCs w:val="22"/>
        </w:rPr>
        <w:t xml:space="preserve">; AQIS </w:t>
      </w:r>
      <w:r w:rsidR="007B2180" w:rsidRPr="00F76DB4">
        <w:rPr>
          <w:rFonts w:ascii="Times New Roman" w:hAnsi="Times New Roman" w:cs="Times New Roman"/>
          <w:szCs w:val="22"/>
        </w:rPr>
        <w:t>(</w:t>
      </w:r>
      <w:r w:rsidR="0088474A" w:rsidRPr="00F76DB4">
        <w:rPr>
          <w:rFonts w:ascii="Times New Roman" w:hAnsi="Times New Roman" w:cs="Times New Roman"/>
          <w:szCs w:val="22"/>
        </w:rPr>
        <w:t>2019</w:t>
      </w:r>
      <w:r w:rsidR="007B2180" w:rsidRPr="00F76DB4">
        <w:rPr>
          <w:rFonts w:ascii="Times New Roman" w:hAnsi="Times New Roman" w:cs="Times New Roman"/>
          <w:szCs w:val="22"/>
        </w:rPr>
        <w:t>)</w:t>
      </w:r>
    </w:p>
    <w:p w14:paraId="695746FC" w14:textId="77777777" w:rsidR="00287B8E" w:rsidRPr="00AC18ED" w:rsidRDefault="00287B8E" w:rsidP="00AC18ED">
      <w:pPr>
        <w:adjustRightInd w:val="0"/>
        <w:spacing w:after="120" w:line="276" w:lineRule="auto"/>
        <w:jc w:val="both"/>
        <w:rPr>
          <w:rFonts w:ascii="Times New Roman" w:eastAsiaTheme="majorEastAsia" w:hAnsi="Times New Roman" w:cs="Times New Roman"/>
          <w:b/>
          <w:color w:val="2E74B5" w:themeColor="accent1" w:themeShade="BF"/>
          <w:szCs w:val="22"/>
        </w:rPr>
      </w:pPr>
    </w:p>
    <w:p w14:paraId="544B2C5B" w14:textId="77777777" w:rsidR="00287B8E" w:rsidRPr="00AC18ED" w:rsidRDefault="00287B8E" w:rsidP="00AC18ED">
      <w:pPr>
        <w:adjustRightInd w:val="0"/>
        <w:spacing w:after="120" w:line="276" w:lineRule="auto"/>
        <w:jc w:val="both"/>
        <w:rPr>
          <w:rFonts w:ascii="Times New Roman" w:eastAsiaTheme="majorEastAsia" w:hAnsi="Times New Roman" w:cs="Times New Roman"/>
          <w:b/>
          <w:color w:val="2E74B5" w:themeColor="accent1" w:themeShade="BF"/>
          <w:szCs w:val="22"/>
        </w:rPr>
      </w:pPr>
    </w:p>
    <w:p w14:paraId="62F184BC" w14:textId="77777777" w:rsidR="00287B8E" w:rsidRPr="00AC18ED" w:rsidRDefault="00287B8E" w:rsidP="00AC18ED">
      <w:pPr>
        <w:adjustRightInd w:val="0"/>
        <w:spacing w:after="120" w:line="276" w:lineRule="auto"/>
        <w:jc w:val="both"/>
        <w:rPr>
          <w:rFonts w:ascii="Times New Roman" w:eastAsiaTheme="majorEastAsia" w:hAnsi="Times New Roman" w:cs="Times New Roman"/>
          <w:b/>
          <w:color w:val="2E74B5" w:themeColor="accent1" w:themeShade="BF"/>
          <w:szCs w:val="22"/>
        </w:rPr>
      </w:pPr>
    </w:p>
    <w:p w14:paraId="2464F386" w14:textId="77777777" w:rsidR="00591748" w:rsidRPr="00AC18ED" w:rsidRDefault="00591748" w:rsidP="00AC18ED">
      <w:pPr>
        <w:adjustRightInd w:val="0"/>
        <w:spacing w:after="120" w:line="276" w:lineRule="auto"/>
        <w:jc w:val="both"/>
        <w:rPr>
          <w:rFonts w:ascii="Times New Roman" w:eastAsiaTheme="majorEastAsia" w:hAnsi="Times New Roman" w:cs="Times New Roman"/>
          <w:b/>
          <w:color w:val="2E74B5" w:themeColor="accent1" w:themeShade="BF"/>
          <w:szCs w:val="22"/>
        </w:rPr>
      </w:pPr>
    </w:p>
    <w:p w14:paraId="4FDF3179" w14:textId="77777777" w:rsidR="00591748" w:rsidRPr="00AC18ED" w:rsidRDefault="00591748" w:rsidP="00AC18ED">
      <w:pPr>
        <w:adjustRightInd w:val="0"/>
        <w:spacing w:after="120" w:line="276" w:lineRule="auto"/>
        <w:jc w:val="both"/>
        <w:rPr>
          <w:rFonts w:ascii="Times New Roman" w:eastAsiaTheme="majorEastAsia" w:hAnsi="Times New Roman" w:cs="Times New Roman"/>
          <w:b/>
          <w:color w:val="2E74B5" w:themeColor="accent1" w:themeShade="BF"/>
          <w:szCs w:val="22"/>
        </w:rPr>
      </w:pPr>
    </w:p>
    <w:p w14:paraId="4079C7F9" w14:textId="77777777" w:rsidR="00591748" w:rsidRPr="00AC18ED" w:rsidRDefault="00591748" w:rsidP="00AC18ED">
      <w:pPr>
        <w:adjustRightInd w:val="0"/>
        <w:spacing w:after="120" w:line="276" w:lineRule="auto"/>
        <w:jc w:val="both"/>
        <w:rPr>
          <w:rFonts w:ascii="Times New Roman" w:eastAsiaTheme="majorEastAsia" w:hAnsi="Times New Roman" w:cs="Times New Roman"/>
          <w:b/>
          <w:color w:val="2E74B5" w:themeColor="accent1" w:themeShade="BF"/>
          <w:szCs w:val="22"/>
        </w:rPr>
      </w:pPr>
    </w:p>
    <w:p w14:paraId="1AF96D35" w14:textId="77777777" w:rsidR="00591748" w:rsidRPr="00AC18ED" w:rsidRDefault="00591748" w:rsidP="00AC18ED">
      <w:pPr>
        <w:adjustRightInd w:val="0"/>
        <w:spacing w:after="120" w:line="276" w:lineRule="auto"/>
        <w:jc w:val="both"/>
        <w:rPr>
          <w:rFonts w:ascii="Times New Roman" w:eastAsiaTheme="majorEastAsia" w:hAnsi="Times New Roman" w:cs="Times New Roman"/>
          <w:b/>
          <w:color w:val="2E74B5" w:themeColor="accent1" w:themeShade="BF"/>
          <w:szCs w:val="22"/>
        </w:rPr>
      </w:pPr>
    </w:p>
    <w:p w14:paraId="6DDF443F" w14:textId="77777777" w:rsidR="00591748" w:rsidRPr="00AC18ED" w:rsidRDefault="00591748" w:rsidP="00AC18ED">
      <w:pPr>
        <w:adjustRightInd w:val="0"/>
        <w:spacing w:after="120" w:line="276" w:lineRule="auto"/>
        <w:jc w:val="both"/>
        <w:rPr>
          <w:rFonts w:ascii="Times New Roman" w:eastAsiaTheme="majorEastAsia" w:hAnsi="Times New Roman" w:cs="Times New Roman"/>
          <w:b/>
          <w:color w:val="2E74B5" w:themeColor="accent1" w:themeShade="BF"/>
          <w:szCs w:val="22"/>
        </w:rPr>
      </w:pPr>
    </w:p>
    <w:p w14:paraId="294A155B" w14:textId="77777777" w:rsidR="00591748" w:rsidRPr="00AC18ED" w:rsidRDefault="00591748" w:rsidP="00AC18ED">
      <w:pPr>
        <w:adjustRightInd w:val="0"/>
        <w:spacing w:after="120" w:line="276" w:lineRule="auto"/>
        <w:jc w:val="both"/>
        <w:rPr>
          <w:rFonts w:ascii="Times New Roman" w:eastAsiaTheme="majorEastAsia" w:hAnsi="Times New Roman" w:cs="Times New Roman"/>
          <w:b/>
          <w:color w:val="2E74B5" w:themeColor="accent1" w:themeShade="BF"/>
          <w:szCs w:val="22"/>
        </w:rPr>
      </w:pPr>
    </w:p>
    <w:p w14:paraId="1E0AA4D7" w14:textId="2307A746" w:rsidR="00D5729E" w:rsidRPr="00AC18ED" w:rsidRDefault="00D5729E" w:rsidP="00AC18ED">
      <w:pPr>
        <w:pStyle w:val="Heading1"/>
        <w:numPr>
          <w:ilvl w:val="0"/>
          <w:numId w:val="11"/>
        </w:numPr>
        <w:spacing w:before="0" w:after="120" w:line="276" w:lineRule="auto"/>
        <w:rPr>
          <w:rFonts w:ascii="Times New Roman" w:hAnsi="Times New Roman" w:cs="Times New Roman"/>
          <w:b/>
          <w:sz w:val="24"/>
          <w:szCs w:val="22"/>
        </w:rPr>
      </w:pPr>
      <w:bookmarkStart w:id="13" w:name="_Toc22630732"/>
      <w:r w:rsidRPr="00AC18ED">
        <w:rPr>
          <w:rFonts w:ascii="Times New Roman" w:hAnsi="Times New Roman" w:cs="Times New Roman"/>
          <w:b/>
          <w:sz w:val="24"/>
          <w:szCs w:val="22"/>
        </w:rPr>
        <w:lastRenderedPageBreak/>
        <w:t>The GAINS model</w:t>
      </w:r>
      <w:bookmarkEnd w:id="13"/>
    </w:p>
    <w:p w14:paraId="29539CB3" w14:textId="69F084E9" w:rsidR="00E53072" w:rsidRPr="001003EB" w:rsidRDefault="00D5729E" w:rsidP="00AC18ED">
      <w:pPr>
        <w:adjustRightInd w:val="0"/>
        <w:spacing w:after="120" w:line="276" w:lineRule="auto"/>
        <w:jc w:val="both"/>
        <w:rPr>
          <w:rFonts w:ascii="Times New Roman" w:hAnsi="Times New Roman" w:cs="Times New Roman"/>
          <w:color w:val="000000" w:themeColor="text1"/>
          <w:szCs w:val="22"/>
          <w:lang w:val="en-US"/>
        </w:rPr>
      </w:pPr>
      <w:r w:rsidRPr="00AC18ED">
        <w:rPr>
          <w:rFonts w:ascii="Times New Roman" w:hAnsi="Times New Roman" w:cs="Times New Roman"/>
          <w:color w:val="000000" w:themeColor="text1"/>
          <w:szCs w:val="22"/>
        </w:rPr>
        <w:t>The Greenhouse Gas and Air Pollution Interactions and Synergies (GAINS) model</w:t>
      </w:r>
      <w:r w:rsidR="008F6DBB">
        <w:rPr>
          <w:rFonts w:ascii="Times New Roman" w:hAnsi="Times New Roman" w:cs="Times New Roman"/>
          <w:color w:val="000000" w:themeColor="text1"/>
          <w:szCs w:val="22"/>
        </w:rPr>
        <w:t>,</w:t>
      </w:r>
      <w:r w:rsidRPr="00AC18ED">
        <w:rPr>
          <w:rFonts w:ascii="Times New Roman" w:hAnsi="Times New Roman" w:cs="Times New Roman"/>
          <w:color w:val="000000" w:themeColor="text1"/>
          <w:szCs w:val="22"/>
        </w:rPr>
        <w:t xml:space="preserve"> developed by the International Institute for Applied Systems Analysis (IIASA)</w:t>
      </w:r>
      <w:r w:rsidR="008F6DBB">
        <w:rPr>
          <w:rFonts w:ascii="Times New Roman" w:hAnsi="Times New Roman" w:cs="Times New Roman"/>
          <w:color w:val="000000" w:themeColor="text1"/>
          <w:szCs w:val="22"/>
        </w:rPr>
        <w:t xml:space="preserve">, </w:t>
      </w:r>
      <w:r w:rsidRPr="00AC18ED">
        <w:rPr>
          <w:rFonts w:ascii="Times New Roman" w:hAnsi="Times New Roman" w:cs="Times New Roman"/>
          <w:color w:val="000000" w:themeColor="text1"/>
          <w:szCs w:val="22"/>
        </w:rPr>
        <w:t xml:space="preserve">is an extension of </w:t>
      </w:r>
      <w:r w:rsidR="002B0D26">
        <w:rPr>
          <w:rFonts w:ascii="Times New Roman" w:hAnsi="Times New Roman" w:cs="Times New Roman"/>
          <w:color w:val="000000" w:themeColor="text1"/>
          <w:szCs w:val="22"/>
        </w:rPr>
        <w:t xml:space="preserve">the </w:t>
      </w:r>
      <w:r w:rsidRPr="00AC18ED">
        <w:rPr>
          <w:rFonts w:ascii="Times New Roman" w:hAnsi="Times New Roman" w:cs="Times New Roman"/>
          <w:color w:val="000000" w:themeColor="text1"/>
          <w:szCs w:val="22"/>
        </w:rPr>
        <w:t>RAINS (</w:t>
      </w:r>
      <w:r w:rsidRPr="00AC18ED">
        <w:rPr>
          <w:rFonts w:ascii="Times New Roman" w:hAnsi="Times New Roman" w:cs="Times New Roman"/>
          <w:szCs w:val="22"/>
        </w:rPr>
        <w:t>Regional Air Pollution Information and Simulation</w:t>
      </w:r>
      <w:r w:rsidRPr="00AC18ED">
        <w:rPr>
          <w:rFonts w:ascii="Times New Roman" w:hAnsi="Times New Roman" w:cs="Times New Roman"/>
          <w:color w:val="000000" w:themeColor="text1"/>
          <w:szCs w:val="22"/>
        </w:rPr>
        <w:t xml:space="preserve">) model </w:t>
      </w:r>
      <w:r w:rsidR="002B0D26">
        <w:rPr>
          <w:rFonts w:ascii="Times New Roman" w:hAnsi="Times New Roman" w:cs="Times New Roman"/>
          <w:color w:val="000000" w:themeColor="text1"/>
          <w:szCs w:val="22"/>
        </w:rPr>
        <w:t xml:space="preserve">which </w:t>
      </w:r>
      <w:r w:rsidRPr="00AC18ED">
        <w:rPr>
          <w:rFonts w:ascii="Times New Roman" w:hAnsi="Times New Roman" w:cs="Times New Roman"/>
          <w:color w:val="000000" w:themeColor="text1"/>
          <w:szCs w:val="22"/>
        </w:rPr>
        <w:t xml:space="preserve">deals with the synergistic relationship </w:t>
      </w:r>
      <w:r w:rsidR="002B0D26">
        <w:rPr>
          <w:rFonts w:ascii="Times New Roman" w:hAnsi="Times New Roman" w:cs="Times New Roman"/>
          <w:color w:val="000000" w:themeColor="text1"/>
          <w:szCs w:val="22"/>
        </w:rPr>
        <w:t xml:space="preserve">between </w:t>
      </w:r>
      <w:r w:rsidRPr="00AC18ED">
        <w:rPr>
          <w:rFonts w:ascii="Times New Roman" w:hAnsi="Times New Roman" w:cs="Times New Roman"/>
          <w:color w:val="000000" w:themeColor="text1"/>
          <w:szCs w:val="22"/>
        </w:rPr>
        <w:t xml:space="preserve">multiple key air pollutants and major </w:t>
      </w:r>
      <w:r w:rsidR="00AC18ED" w:rsidRPr="00AC18ED">
        <w:rPr>
          <w:rFonts w:ascii="Times New Roman" w:hAnsi="Times New Roman" w:cs="Times New Roman"/>
          <w:color w:val="000000" w:themeColor="text1"/>
          <w:szCs w:val="22"/>
        </w:rPr>
        <w:t>greenhouse</w:t>
      </w:r>
      <w:r w:rsidRPr="00AC18ED">
        <w:rPr>
          <w:rFonts w:ascii="Times New Roman" w:hAnsi="Times New Roman" w:cs="Times New Roman"/>
          <w:color w:val="000000" w:themeColor="text1"/>
          <w:szCs w:val="22"/>
        </w:rPr>
        <w:t xml:space="preserve"> gases. </w:t>
      </w:r>
      <w:r w:rsidR="002B0D26">
        <w:rPr>
          <w:rFonts w:ascii="Times New Roman" w:hAnsi="Times New Roman" w:cs="Times New Roman"/>
          <w:color w:val="000000" w:themeColor="text1"/>
          <w:szCs w:val="22"/>
        </w:rPr>
        <w:t xml:space="preserve">The </w:t>
      </w:r>
      <w:r w:rsidRPr="00AC18ED">
        <w:rPr>
          <w:rFonts w:ascii="Times New Roman" w:hAnsi="Times New Roman" w:cs="Times New Roman"/>
          <w:color w:val="000000" w:themeColor="text1"/>
          <w:szCs w:val="22"/>
        </w:rPr>
        <w:t xml:space="preserve">GAINs model </w:t>
      </w:r>
      <w:r w:rsidR="002B0D26" w:rsidRPr="00AC18ED">
        <w:rPr>
          <w:rFonts w:ascii="Times New Roman" w:hAnsi="Times New Roman" w:cs="Times New Roman"/>
          <w:color w:val="000000" w:themeColor="text1"/>
          <w:szCs w:val="22"/>
        </w:rPr>
        <w:t>ha</w:t>
      </w:r>
      <w:r w:rsidR="002B0D26">
        <w:rPr>
          <w:rFonts w:ascii="Times New Roman" w:hAnsi="Times New Roman" w:cs="Times New Roman"/>
          <w:color w:val="000000" w:themeColor="text1"/>
          <w:szCs w:val="22"/>
        </w:rPr>
        <w:t>s been</w:t>
      </w:r>
      <w:r w:rsidR="00774A64">
        <w:rPr>
          <w:rFonts w:ascii="Times New Roman" w:hAnsi="Times New Roman" w:cs="Times New Roman"/>
          <w:color w:val="000000" w:themeColor="text1"/>
          <w:szCs w:val="22"/>
        </w:rPr>
        <w:t xml:space="preserve"> </w:t>
      </w:r>
      <w:r w:rsidR="002B0D26" w:rsidRPr="00AC18ED">
        <w:rPr>
          <w:rFonts w:ascii="Times New Roman" w:hAnsi="Times New Roman" w:cs="Times New Roman"/>
          <w:color w:val="000000" w:themeColor="text1"/>
          <w:szCs w:val="22"/>
        </w:rPr>
        <w:t>ex</w:t>
      </w:r>
      <w:r w:rsidR="002B0D26">
        <w:rPr>
          <w:rFonts w:ascii="Times New Roman" w:hAnsi="Times New Roman" w:cs="Times New Roman"/>
          <w:color w:val="000000" w:themeColor="text1"/>
          <w:szCs w:val="22"/>
        </w:rPr>
        <w:t>t</w:t>
      </w:r>
      <w:r w:rsidR="002B0D26" w:rsidRPr="00AC18ED">
        <w:rPr>
          <w:rFonts w:ascii="Times New Roman" w:hAnsi="Times New Roman" w:cs="Times New Roman"/>
          <w:color w:val="000000" w:themeColor="text1"/>
          <w:szCs w:val="22"/>
        </w:rPr>
        <w:t xml:space="preserve">ensively </w:t>
      </w:r>
      <w:r w:rsidRPr="00AC18ED">
        <w:rPr>
          <w:rFonts w:ascii="Times New Roman" w:hAnsi="Times New Roman" w:cs="Times New Roman"/>
          <w:color w:val="000000" w:themeColor="text1"/>
          <w:szCs w:val="22"/>
        </w:rPr>
        <w:t xml:space="preserve">used </w:t>
      </w:r>
      <w:r w:rsidR="002B0D26">
        <w:rPr>
          <w:rFonts w:ascii="Times New Roman" w:hAnsi="Times New Roman" w:cs="Times New Roman"/>
          <w:color w:val="000000" w:themeColor="text1"/>
          <w:szCs w:val="22"/>
        </w:rPr>
        <w:t xml:space="preserve">at a </w:t>
      </w:r>
      <w:r w:rsidRPr="00AC18ED">
        <w:rPr>
          <w:rFonts w:ascii="Times New Roman" w:hAnsi="Times New Roman" w:cs="Times New Roman"/>
          <w:color w:val="000000" w:themeColor="text1"/>
          <w:szCs w:val="22"/>
        </w:rPr>
        <w:t xml:space="preserve">regional scale in Europe </w:t>
      </w:r>
      <w:r w:rsidR="002B0D26">
        <w:rPr>
          <w:rFonts w:ascii="Times New Roman" w:hAnsi="Times New Roman" w:cs="Times New Roman"/>
          <w:color w:val="000000" w:themeColor="text1"/>
          <w:szCs w:val="22"/>
        </w:rPr>
        <w:t>to evaluate the</w:t>
      </w:r>
      <w:r w:rsidRPr="00AC18ED">
        <w:rPr>
          <w:rFonts w:ascii="Times New Roman" w:hAnsi="Times New Roman" w:cs="Times New Roman"/>
          <w:color w:val="000000" w:themeColor="text1"/>
          <w:szCs w:val="22"/>
        </w:rPr>
        <w:t xml:space="preserve"> impacts of air pollutant</w:t>
      </w:r>
      <w:r w:rsidR="002B0D26">
        <w:rPr>
          <w:rFonts w:ascii="Times New Roman" w:hAnsi="Times New Roman" w:cs="Times New Roman"/>
          <w:color w:val="000000" w:themeColor="text1"/>
          <w:szCs w:val="22"/>
        </w:rPr>
        <w:t>s</w:t>
      </w:r>
      <w:r w:rsidRPr="00AC18ED">
        <w:rPr>
          <w:rFonts w:ascii="Times New Roman" w:hAnsi="Times New Roman" w:cs="Times New Roman"/>
          <w:color w:val="000000" w:themeColor="text1"/>
          <w:szCs w:val="22"/>
        </w:rPr>
        <w:t xml:space="preserve"> and </w:t>
      </w:r>
      <w:r w:rsidR="008C2D4A">
        <w:rPr>
          <w:rFonts w:ascii="Times New Roman" w:hAnsi="Times New Roman" w:cs="Times New Roman"/>
          <w:color w:val="000000" w:themeColor="text1"/>
          <w:szCs w:val="22"/>
        </w:rPr>
        <w:t>greenhouse gas (</w:t>
      </w:r>
      <w:r w:rsidRPr="00AC18ED">
        <w:rPr>
          <w:rFonts w:ascii="Times New Roman" w:hAnsi="Times New Roman" w:cs="Times New Roman"/>
          <w:color w:val="000000" w:themeColor="text1"/>
          <w:szCs w:val="22"/>
        </w:rPr>
        <w:t>GHG</w:t>
      </w:r>
      <w:r w:rsidR="008C2D4A">
        <w:rPr>
          <w:rFonts w:ascii="Times New Roman" w:hAnsi="Times New Roman" w:cs="Times New Roman"/>
          <w:color w:val="000000" w:themeColor="text1"/>
          <w:szCs w:val="22"/>
        </w:rPr>
        <w:t>)</w:t>
      </w:r>
      <w:r w:rsidRPr="00AC18ED">
        <w:rPr>
          <w:rFonts w:ascii="Times New Roman" w:hAnsi="Times New Roman" w:cs="Times New Roman"/>
          <w:color w:val="000000" w:themeColor="text1"/>
          <w:szCs w:val="22"/>
        </w:rPr>
        <w:t xml:space="preserve"> emissions and to formulate </w:t>
      </w:r>
      <w:r w:rsidR="002B0D26">
        <w:rPr>
          <w:rFonts w:ascii="Times New Roman" w:hAnsi="Times New Roman" w:cs="Times New Roman"/>
          <w:color w:val="000000" w:themeColor="text1"/>
          <w:szCs w:val="22"/>
        </w:rPr>
        <w:t xml:space="preserve">a </w:t>
      </w:r>
      <w:r w:rsidR="00AC18ED" w:rsidRPr="00AC18ED">
        <w:rPr>
          <w:rFonts w:ascii="Times New Roman" w:hAnsi="Times New Roman" w:cs="Times New Roman"/>
          <w:color w:val="000000" w:themeColor="text1"/>
          <w:szCs w:val="22"/>
        </w:rPr>
        <w:t>suitable policy</w:t>
      </w:r>
      <w:r w:rsidRPr="00AC18ED">
        <w:rPr>
          <w:rFonts w:ascii="Times New Roman" w:hAnsi="Times New Roman" w:cs="Times New Roman"/>
          <w:color w:val="000000" w:themeColor="text1"/>
          <w:szCs w:val="22"/>
        </w:rPr>
        <w:t xml:space="preserve"> framework to define appropriate mitigation measures</w:t>
      </w:r>
      <w:r w:rsidR="002B0D26" w:rsidRPr="00AC18ED">
        <w:rPr>
          <w:rFonts w:ascii="Times New Roman" w:hAnsi="Times New Roman" w:cs="Times New Roman"/>
          <w:color w:val="000000" w:themeColor="text1"/>
          <w:szCs w:val="22"/>
        </w:rPr>
        <w:t xml:space="preserve"> </w:t>
      </w:r>
      <w:r w:rsidRPr="001003EB">
        <w:rPr>
          <w:rFonts w:ascii="Times New Roman" w:hAnsi="Times New Roman" w:cs="Times New Roman"/>
          <w:color w:val="000000" w:themeColor="text1"/>
          <w:szCs w:val="22"/>
          <w:lang w:val="en-US"/>
        </w:rPr>
        <w:t>(Amann et al., 20</w:t>
      </w:r>
      <w:r w:rsidR="008C2D4A">
        <w:rPr>
          <w:rFonts w:ascii="Times New Roman" w:hAnsi="Times New Roman" w:cs="Times New Roman"/>
          <w:color w:val="000000" w:themeColor="text1"/>
          <w:szCs w:val="22"/>
          <w:lang w:val="en-US"/>
        </w:rPr>
        <w:t>11)</w:t>
      </w:r>
      <w:r w:rsidRPr="001003EB">
        <w:rPr>
          <w:rFonts w:ascii="Times New Roman" w:hAnsi="Times New Roman" w:cs="Times New Roman"/>
          <w:color w:val="000000" w:themeColor="text1"/>
          <w:szCs w:val="22"/>
          <w:lang w:val="en-US"/>
        </w:rPr>
        <w:t>.</w:t>
      </w:r>
      <w:r w:rsidR="00774A64" w:rsidRPr="001003EB">
        <w:rPr>
          <w:rFonts w:ascii="Times New Roman" w:hAnsi="Times New Roman" w:cs="Times New Roman"/>
          <w:color w:val="000000" w:themeColor="text1"/>
          <w:szCs w:val="22"/>
          <w:lang w:val="en-US"/>
        </w:rPr>
        <w:t xml:space="preserve"> </w:t>
      </w:r>
    </w:p>
    <w:p w14:paraId="1962A0ED" w14:textId="4B27C898" w:rsidR="00D5729E" w:rsidRPr="00AC18ED" w:rsidRDefault="002B0D26" w:rsidP="00AC18ED">
      <w:pPr>
        <w:adjustRightInd w:val="0"/>
        <w:spacing w:after="120" w:line="276"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The </w:t>
      </w:r>
      <w:r w:rsidR="00D5729E" w:rsidRPr="00AC18ED">
        <w:rPr>
          <w:rFonts w:ascii="Times New Roman" w:hAnsi="Times New Roman" w:cs="Times New Roman"/>
          <w:color w:val="000000" w:themeColor="text1"/>
          <w:szCs w:val="22"/>
        </w:rPr>
        <w:t>GAINS model accepts activity data for various sectors and segments that may affect the emission of key air pollutants</w:t>
      </w:r>
      <w:r>
        <w:rPr>
          <w:rFonts w:ascii="Times New Roman" w:hAnsi="Times New Roman" w:cs="Times New Roman"/>
          <w:color w:val="000000" w:themeColor="text1"/>
          <w:szCs w:val="22"/>
        </w:rPr>
        <w:t>,</w:t>
      </w:r>
      <w:r w:rsidR="00D5729E" w:rsidRPr="00AC18ED">
        <w:rPr>
          <w:rFonts w:ascii="Times New Roman" w:hAnsi="Times New Roman" w:cs="Times New Roman"/>
          <w:color w:val="000000" w:themeColor="text1"/>
          <w:szCs w:val="22"/>
        </w:rPr>
        <w:t xml:space="preserve"> both particulate (PM</w:t>
      </w:r>
      <w:r w:rsidR="00D5729E" w:rsidRPr="00AC18ED">
        <w:rPr>
          <w:rFonts w:ascii="Times New Roman" w:hAnsi="Times New Roman" w:cs="Times New Roman"/>
          <w:color w:val="000000" w:themeColor="text1"/>
          <w:szCs w:val="22"/>
          <w:vertAlign w:val="subscript"/>
        </w:rPr>
        <w:t>10</w:t>
      </w:r>
      <w:r w:rsidR="00D5729E" w:rsidRPr="00AC18ED">
        <w:rPr>
          <w:rFonts w:ascii="Times New Roman" w:hAnsi="Times New Roman" w:cs="Times New Roman"/>
          <w:color w:val="000000" w:themeColor="text1"/>
          <w:szCs w:val="22"/>
        </w:rPr>
        <w:t>, PM</w:t>
      </w:r>
      <w:r w:rsidR="00D5729E" w:rsidRPr="00AC18ED">
        <w:rPr>
          <w:rFonts w:ascii="Times New Roman" w:hAnsi="Times New Roman" w:cs="Times New Roman"/>
          <w:color w:val="000000" w:themeColor="text1"/>
          <w:szCs w:val="22"/>
          <w:vertAlign w:val="subscript"/>
        </w:rPr>
        <w:t>2.5</w:t>
      </w:r>
      <w:r w:rsidR="00D5729E" w:rsidRPr="00AC18ED">
        <w:rPr>
          <w:rFonts w:ascii="Times New Roman" w:hAnsi="Times New Roman" w:cs="Times New Roman"/>
          <w:color w:val="000000" w:themeColor="text1"/>
          <w:szCs w:val="22"/>
        </w:rPr>
        <w:t>) and gaseous (SO</w:t>
      </w:r>
      <w:r w:rsidR="00D5729E" w:rsidRPr="00AC18ED">
        <w:rPr>
          <w:rFonts w:ascii="Times New Roman" w:hAnsi="Times New Roman" w:cs="Times New Roman"/>
          <w:color w:val="000000" w:themeColor="text1"/>
          <w:szCs w:val="22"/>
          <w:vertAlign w:val="subscript"/>
        </w:rPr>
        <w:t>2</w:t>
      </w:r>
      <w:r w:rsidR="00D5729E" w:rsidRPr="00AC18ED">
        <w:rPr>
          <w:rFonts w:ascii="Times New Roman" w:hAnsi="Times New Roman" w:cs="Times New Roman"/>
          <w:color w:val="000000" w:themeColor="text1"/>
          <w:szCs w:val="22"/>
        </w:rPr>
        <w:t>, NO</w:t>
      </w:r>
      <w:r w:rsidR="00D5729E" w:rsidRPr="00AC18ED">
        <w:rPr>
          <w:rFonts w:ascii="Times New Roman" w:hAnsi="Times New Roman" w:cs="Times New Roman"/>
          <w:color w:val="000000" w:themeColor="text1"/>
          <w:szCs w:val="22"/>
          <w:vertAlign w:val="subscript"/>
        </w:rPr>
        <w:t xml:space="preserve">x, </w:t>
      </w:r>
      <w:r w:rsidR="00D5729E" w:rsidRPr="00AC18ED">
        <w:rPr>
          <w:rFonts w:ascii="Times New Roman" w:hAnsi="Times New Roman" w:cs="Times New Roman"/>
          <w:color w:val="000000" w:themeColor="text1"/>
          <w:szCs w:val="22"/>
        </w:rPr>
        <w:t>NH</w:t>
      </w:r>
      <w:r w:rsidR="00D5729E" w:rsidRPr="00AC18ED">
        <w:rPr>
          <w:rFonts w:ascii="Times New Roman" w:hAnsi="Times New Roman" w:cs="Times New Roman"/>
          <w:color w:val="000000" w:themeColor="text1"/>
          <w:szCs w:val="22"/>
          <w:vertAlign w:val="subscript"/>
        </w:rPr>
        <w:t>3</w:t>
      </w:r>
      <w:r w:rsidR="00D5729E" w:rsidRPr="00AC18ED">
        <w:rPr>
          <w:rFonts w:ascii="Times New Roman" w:hAnsi="Times New Roman" w:cs="Times New Roman"/>
          <w:color w:val="000000" w:themeColor="text1"/>
          <w:szCs w:val="22"/>
        </w:rPr>
        <w:t>, CO, and VOC</w:t>
      </w:r>
      <w:r w:rsidR="00726BA3">
        <w:rPr>
          <w:rFonts w:ascii="Times New Roman" w:hAnsi="Times New Roman" w:cs="Times New Roman"/>
          <w:color w:val="000000" w:themeColor="text1"/>
          <w:szCs w:val="22"/>
        </w:rPr>
        <w:t>s</w:t>
      </w:r>
      <w:r w:rsidR="00D5729E" w:rsidRPr="00AC18ED">
        <w:rPr>
          <w:rFonts w:ascii="Times New Roman" w:hAnsi="Times New Roman" w:cs="Times New Roman"/>
          <w:color w:val="000000" w:themeColor="text1"/>
          <w:szCs w:val="22"/>
        </w:rPr>
        <w:t xml:space="preserve">). It also accepts projected future economic data </w:t>
      </w:r>
      <w:r w:rsidR="00081589">
        <w:rPr>
          <w:rFonts w:ascii="Times New Roman" w:hAnsi="Times New Roman" w:cs="Times New Roman"/>
          <w:color w:val="000000" w:themeColor="text1"/>
          <w:szCs w:val="22"/>
        </w:rPr>
        <w:t>and</w:t>
      </w:r>
      <w:r w:rsidR="00D5729E" w:rsidRPr="00AC18ED">
        <w:rPr>
          <w:rFonts w:ascii="Times New Roman" w:hAnsi="Times New Roman" w:cs="Times New Roman"/>
          <w:color w:val="000000" w:themeColor="text1"/>
          <w:szCs w:val="22"/>
        </w:rPr>
        <w:t xml:space="preserve"> activity for future years. </w:t>
      </w:r>
      <w:r>
        <w:rPr>
          <w:rFonts w:ascii="Times New Roman" w:hAnsi="Times New Roman" w:cs="Times New Roman"/>
          <w:color w:val="000000" w:themeColor="text1"/>
          <w:szCs w:val="22"/>
        </w:rPr>
        <w:t>The model considers</w:t>
      </w:r>
      <w:r w:rsidRPr="00AC18ED">
        <w:rPr>
          <w:rFonts w:ascii="Times New Roman" w:hAnsi="Times New Roman" w:cs="Times New Roman"/>
          <w:color w:val="000000" w:themeColor="text1"/>
          <w:szCs w:val="22"/>
        </w:rPr>
        <w:t xml:space="preserve"> city</w:t>
      </w:r>
      <w:r>
        <w:rPr>
          <w:rFonts w:ascii="Times New Roman" w:hAnsi="Times New Roman" w:cs="Times New Roman"/>
          <w:color w:val="000000" w:themeColor="text1"/>
          <w:szCs w:val="22"/>
        </w:rPr>
        <w:t>-</w:t>
      </w:r>
      <w:r w:rsidR="00D5729E" w:rsidRPr="00AC18ED">
        <w:rPr>
          <w:rFonts w:ascii="Times New Roman" w:hAnsi="Times New Roman" w:cs="Times New Roman"/>
          <w:color w:val="000000" w:themeColor="text1"/>
          <w:szCs w:val="22"/>
        </w:rPr>
        <w:t>level activity data</w:t>
      </w:r>
      <w:r w:rsidR="00081589">
        <w:rPr>
          <w:rFonts w:ascii="Times New Roman" w:hAnsi="Times New Roman" w:cs="Times New Roman"/>
          <w:color w:val="000000" w:themeColor="text1"/>
          <w:szCs w:val="22"/>
        </w:rPr>
        <w:t>,</w:t>
      </w:r>
      <w:r w:rsidR="00D5729E" w:rsidRPr="00AC18ED">
        <w:rPr>
          <w:rFonts w:ascii="Times New Roman" w:hAnsi="Times New Roman" w:cs="Times New Roman"/>
          <w:color w:val="000000" w:themeColor="text1"/>
          <w:szCs w:val="22"/>
        </w:rPr>
        <w:t xml:space="preserve"> along with associated control strategies and relevant emission factors</w:t>
      </w:r>
      <w:r>
        <w:rPr>
          <w:rFonts w:ascii="Times New Roman" w:hAnsi="Times New Roman" w:cs="Times New Roman"/>
          <w:color w:val="000000" w:themeColor="text1"/>
          <w:szCs w:val="22"/>
        </w:rPr>
        <w:t>; it</w:t>
      </w:r>
      <w:r w:rsidR="00D5729E" w:rsidRPr="00AC18ED">
        <w:rPr>
          <w:rFonts w:ascii="Times New Roman" w:hAnsi="Times New Roman" w:cs="Times New Roman"/>
          <w:color w:val="000000" w:themeColor="text1"/>
          <w:szCs w:val="22"/>
        </w:rPr>
        <w:t xml:space="preserve"> generates a detailed </w:t>
      </w:r>
      <w:r w:rsidRPr="00AC18ED">
        <w:rPr>
          <w:rFonts w:ascii="Times New Roman" w:hAnsi="Times New Roman" w:cs="Times New Roman"/>
          <w:color w:val="000000" w:themeColor="text1"/>
          <w:szCs w:val="22"/>
        </w:rPr>
        <w:t>sector</w:t>
      </w:r>
      <w:r>
        <w:rPr>
          <w:rFonts w:ascii="Times New Roman" w:hAnsi="Times New Roman" w:cs="Times New Roman"/>
          <w:color w:val="000000" w:themeColor="text1"/>
          <w:szCs w:val="22"/>
        </w:rPr>
        <w:t>-</w:t>
      </w:r>
      <w:r w:rsidR="00D5729E" w:rsidRPr="00AC18ED">
        <w:rPr>
          <w:rFonts w:ascii="Times New Roman" w:hAnsi="Times New Roman" w:cs="Times New Roman"/>
          <w:color w:val="000000" w:themeColor="text1"/>
          <w:szCs w:val="22"/>
        </w:rPr>
        <w:t>wise emission</w:t>
      </w:r>
      <w:r w:rsidR="00726BA3">
        <w:rPr>
          <w:rFonts w:ascii="Times New Roman" w:hAnsi="Times New Roman" w:cs="Times New Roman"/>
          <w:color w:val="000000" w:themeColor="text1"/>
          <w:szCs w:val="22"/>
        </w:rPr>
        <w:t>s</w:t>
      </w:r>
      <w:r w:rsidR="00D5729E" w:rsidRPr="00AC18ED">
        <w:rPr>
          <w:rFonts w:ascii="Times New Roman" w:hAnsi="Times New Roman" w:cs="Times New Roman"/>
          <w:color w:val="000000" w:themeColor="text1"/>
          <w:szCs w:val="22"/>
        </w:rPr>
        <w:t xml:space="preserve"> inventory for present and future years. A number of alternate scenarios can be generated in the model related to various alternative policy scenarios along with their cost implications and </w:t>
      </w:r>
      <w:r w:rsidR="008F6DBB" w:rsidRPr="00AC18ED">
        <w:rPr>
          <w:rFonts w:ascii="Times New Roman" w:hAnsi="Times New Roman" w:cs="Times New Roman"/>
          <w:color w:val="000000" w:themeColor="text1"/>
          <w:szCs w:val="22"/>
        </w:rPr>
        <w:t>mitigati</w:t>
      </w:r>
      <w:r w:rsidR="008F6DBB">
        <w:rPr>
          <w:rFonts w:ascii="Times New Roman" w:hAnsi="Times New Roman" w:cs="Times New Roman"/>
          <w:color w:val="000000" w:themeColor="text1"/>
          <w:szCs w:val="22"/>
        </w:rPr>
        <w:t>on</w:t>
      </w:r>
      <w:r w:rsidR="008F6DBB" w:rsidRPr="00AC18ED">
        <w:rPr>
          <w:rFonts w:ascii="Times New Roman" w:hAnsi="Times New Roman" w:cs="Times New Roman"/>
          <w:color w:val="000000" w:themeColor="text1"/>
          <w:szCs w:val="22"/>
        </w:rPr>
        <w:t xml:space="preserve"> </w:t>
      </w:r>
      <w:r w:rsidR="00D5729E" w:rsidRPr="00AC18ED">
        <w:rPr>
          <w:rFonts w:ascii="Times New Roman" w:hAnsi="Times New Roman" w:cs="Times New Roman"/>
          <w:color w:val="000000" w:themeColor="text1"/>
          <w:szCs w:val="22"/>
        </w:rPr>
        <w:t>potential for key air pollutants and major GHGs (CO</w:t>
      </w:r>
      <w:r w:rsidR="00D5729E" w:rsidRPr="00AC18ED">
        <w:rPr>
          <w:rFonts w:ascii="Times New Roman" w:hAnsi="Times New Roman" w:cs="Times New Roman"/>
          <w:color w:val="000000" w:themeColor="text1"/>
          <w:szCs w:val="22"/>
          <w:vertAlign w:val="subscript"/>
        </w:rPr>
        <w:t>2</w:t>
      </w:r>
      <w:r w:rsidR="00D5729E" w:rsidRPr="00AC18ED">
        <w:rPr>
          <w:rFonts w:ascii="Times New Roman" w:hAnsi="Times New Roman" w:cs="Times New Roman"/>
          <w:color w:val="000000" w:themeColor="text1"/>
          <w:szCs w:val="22"/>
        </w:rPr>
        <w:t>, CH</w:t>
      </w:r>
      <w:r w:rsidR="00D5729E" w:rsidRPr="00AC18ED">
        <w:rPr>
          <w:rFonts w:ascii="Times New Roman" w:hAnsi="Times New Roman" w:cs="Times New Roman"/>
          <w:color w:val="000000" w:themeColor="text1"/>
          <w:szCs w:val="22"/>
          <w:vertAlign w:val="subscript"/>
        </w:rPr>
        <w:t>4</w:t>
      </w:r>
      <w:r w:rsidR="00D5729E" w:rsidRPr="00AC18ED">
        <w:rPr>
          <w:rFonts w:ascii="Times New Roman" w:hAnsi="Times New Roman" w:cs="Times New Roman"/>
          <w:color w:val="000000" w:themeColor="text1"/>
          <w:szCs w:val="22"/>
        </w:rPr>
        <w:t>, N</w:t>
      </w:r>
      <w:r w:rsidR="00D5729E" w:rsidRPr="00AC18ED">
        <w:rPr>
          <w:rFonts w:ascii="Times New Roman" w:hAnsi="Times New Roman" w:cs="Times New Roman"/>
          <w:color w:val="000000" w:themeColor="text1"/>
          <w:szCs w:val="22"/>
          <w:vertAlign w:val="subscript"/>
        </w:rPr>
        <w:t>2</w:t>
      </w:r>
      <w:r w:rsidR="00D5729E" w:rsidRPr="00AC18ED">
        <w:rPr>
          <w:rFonts w:ascii="Times New Roman" w:hAnsi="Times New Roman" w:cs="Times New Roman"/>
          <w:color w:val="000000" w:themeColor="text1"/>
          <w:szCs w:val="22"/>
        </w:rPr>
        <w:t>O, HFC, PFC, and SF</w:t>
      </w:r>
      <w:r w:rsidR="00D5729E" w:rsidRPr="00AC18ED">
        <w:rPr>
          <w:rFonts w:ascii="Times New Roman" w:hAnsi="Times New Roman" w:cs="Times New Roman"/>
          <w:color w:val="000000" w:themeColor="text1"/>
          <w:szCs w:val="22"/>
          <w:vertAlign w:val="subscript"/>
        </w:rPr>
        <w:t>6</w:t>
      </w:r>
      <w:r w:rsidR="00D5729E" w:rsidRPr="00AC18ED">
        <w:rPr>
          <w:rFonts w:ascii="Times New Roman" w:hAnsi="Times New Roman" w:cs="Times New Roman"/>
          <w:color w:val="000000" w:themeColor="text1"/>
          <w:szCs w:val="22"/>
        </w:rPr>
        <w:t xml:space="preserve">) considered in the Kyoto </w:t>
      </w:r>
      <w:r>
        <w:rPr>
          <w:rFonts w:ascii="Times New Roman" w:hAnsi="Times New Roman" w:cs="Times New Roman"/>
          <w:color w:val="000000" w:themeColor="text1"/>
          <w:szCs w:val="22"/>
        </w:rPr>
        <w:t>P</w:t>
      </w:r>
      <w:r w:rsidRPr="00AC18ED">
        <w:rPr>
          <w:rFonts w:ascii="Times New Roman" w:hAnsi="Times New Roman" w:cs="Times New Roman"/>
          <w:color w:val="000000" w:themeColor="text1"/>
          <w:szCs w:val="22"/>
        </w:rPr>
        <w:t>rotocol</w:t>
      </w:r>
      <w:r w:rsidR="00D5729E" w:rsidRPr="00AC18ED">
        <w:rPr>
          <w:rFonts w:ascii="Times New Roman" w:hAnsi="Times New Roman" w:cs="Times New Roman"/>
          <w:color w:val="000000" w:themeColor="text1"/>
          <w:szCs w:val="22"/>
        </w:rPr>
        <w:t xml:space="preserve">. </w:t>
      </w:r>
      <w:r>
        <w:rPr>
          <w:rFonts w:ascii="Times New Roman" w:hAnsi="Times New Roman" w:cs="Times New Roman"/>
          <w:color w:val="000000" w:themeColor="text1"/>
          <w:szCs w:val="22"/>
        </w:rPr>
        <w:t xml:space="preserve">The </w:t>
      </w:r>
      <w:r w:rsidR="00D5729E" w:rsidRPr="00AC18ED">
        <w:rPr>
          <w:rFonts w:ascii="Times New Roman" w:hAnsi="Times New Roman" w:cs="Times New Roman"/>
          <w:color w:val="000000" w:themeColor="text1"/>
          <w:szCs w:val="22"/>
        </w:rPr>
        <w:t>GAINS model also consider</w:t>
      </w:r>
      <w:r>
        <w:rPr>
          <w:rFonts w:ascii="Times New Roman" w:hAnsi="Times New Roman" w:cs="Times New Roman"/>
          <w:color w:val="000000" w:themeColor="text1"/>
          <w:szCs w:val="22"/>
        </w:rPr>
        <w:t>s</w:t>
      </w:r>
      <w:r w:rsidR="00D5729E" w:rsidRPr="00AC18ED">
        <w:rPr>
          <w:rFonts w:ascii="Times New Roman" w:hAnsi="Times New Roman" w:cs="Times New Roman"/>
          <w:color w:val="000000" w:themeColor="text1"/>
          <w:szCs w:val="22"/>
        </w:rPr>
        <w:t xml:space="preserve"> measures for emissions of precursors of secondary pollutants such as secondary aerosol</w:t>
      </w:r>
      <w:r>
        <w:rPr>
          <w:rFonts w:ascii="Times New Roman" w:hAnsi="Times New Roman" w:cs="Times New Roman"/>
          <w:color w:val="000000" w:themeColor="text1"/>
          <w:szCs w:val="22"/>
        </w:rPr>
        <w:t>s</w:t>
      </w:r>
      <w:r w:rsidR="00D5729E" w:rsidRPr="00AC18ED">
        <w:rPr>
          <w:rFonts w:ascii="Times New Roman" w:hAnsi="Times New Roman" w:cs="Times New Roman"/>
          <w:color w:val="000000" w:themeColor="text1"/>
          <w:szCs w:val="22"/>
        </w:rPr>
        <w:t xml:space="preserve"> or </w:t>
      </w:r>
      <w:r>
        <w:rPr>
          <w:rFonts w:ascii="Times New Roman" w:hAnsi="Times New Roman" w:cs="Times New Roman"/>
          <w:color w:val="000000" w:themeColor="text1"/>
          <w:szCs w:val="22"/>
        </w:rPr>
        <w:t>o</w:t>
      </w:r>
      <w:r w:rsidRPr="00AC18ED">
        <w:rPr>
          <w:rFonts w:ascii="Times New Roman" w:hAnsi="Times New Roman" w:cs="Times New Roman"/>
          <w:color w:val="000000" w:themeColor="text1"/>
          <w:szCs w:val="22"/>
        </w:rPr>
        <w:t xml:space="preserve">zone </w:t>
      </w:r>
      <w:r w:rsidR="00D5729E" w:rsidRPr="00AC18ED">
        <w:rPr>
          <w:rFonts w:ascii="Times New Roman" w:hAnsi="Times New Roman" w:cs="Times New Roman"/>
          <w:color w:val="000000" w:themeColor="text1"/>
          <w:szCs w:val="22"/>
        </w:rPr>
        <w:t xml:space="preserve">that have </w:t>
      </w:r>
      <w:r>
        <w:rPr>
          <w:rFonts w:ascii="Times New Roman" w:hAnsi="Times New Roman" w:cs="Times New Roman"/>
          <w:color w:val="000000" w:themeColor="text1"/>
          <w:szCs w:val="22"/>
        </w:rPr>
        <w:t xml:space="preserve">a </w:t>
      </w:r>
      <w:r w:rsidR="00D5729E" w:rsidRPr="00AC18ED">
        <w:rPr>
          <w:rFonts w:ascii="Times New Roman" w:hAnsi="Times New Roman" w:cs="Times New Roman"/>
          <w:color w:val="000000" w:themeColor="text1"/>
          <w:szCs w:val="22"/>
        </w:rPr>
        <w:t>detrimental effect on human health</w:t>
      </w:r>
      <w:r>
        <w:rPr>
          <w:rFonts w:ascii="Times New Roman" w:hAnsi="Times New Roman" w:cs="Times New Roman"/>
          <w:color w:val="000000" w:themeColor="text1"/>
          <w:szCs w:val="22"/>
        </w:rPr>
        <w:t xml:space="preserve"> and cause </w:t>
      </w:r>
      <w:r w:rsidR="00D5729E" w:rsidRPr="00AC18ED">
        <w:rPr>
          <w:rFonts w:ascii="Times New Roman" w:hAnsi="Times New Roman" w:cs="Times New Roman"/>
          <w:color w:val="000000" w:themeColor="text1"/>
          <w:szCs w:val="22"/>
        </w:rPr>
        <w:t>damage to ecosystem</w:t>
      </w:r>
      <w:r w:rsidR="003D1323">
        <w:rPr>
          <w:rFonts w:ascii="Times New Roman" w:hAnsi="Times New Roman" w:cs="Times New Roman"/>
          <w:color w:val="000000" w:themeColor="text1"/>
          <w:szCs w:val="22"/>
        </w:rPr>
        <w:t>s</w:t>
      </w:r>
      <w:r w:rsidR="00D5729E" w:rsidRPr="00AC18ED">
        <w:rPr>
          <w:rFonts w:ascii="Times New Roman" w:hAnsi="Times New Roman" w:cs="Times New Roman"/>
          <w:color w:val="000000" w:themeColor="text1"/>
          <w:szCs w:val="22"/>
        </w:rPr>
        <w:t xml:space="preserve">. </w:t>
      </w:r>
      <w:r w:rsidR="00AC18ED" w:rsidRPr="00AC18ED">
        <w:rPr>
          <w:rFonts w:ascii="Times New Roman" w:hAnsi="Times New Roman" w:cs="Times New Roman"/>
          <w:color w:val="000000" w:themeColor="text1"/>
          <w:szCs w:val="22"/>
        </w:rPr>
        <w:t>Accordingly,</w:t>
      </w:r>
      <w:r w:rsidR="00D5729E" w:rsidRPr="00AC18ED">
        <w:rPr>
          <w:rFonts w:ascii="Times New Roman" w:hAnsi="Times New Roman" w:cs="Times New Roman"/>
          <w:color w:val="000000" w:themeColor="text1"/>
          <w:szCs w:val="22"/>
        </w:rPr>
        <w:t xml:space="preserve"> the GAINS model tool can be applied to derive a comprehensive and </w:t>
      </w:r>
      <w:r w:rsidR="003D1323">
        <w:rPr>
          <w:rFonts w:ascii="Times New Roman" w:hAnsi="Times New Roman" w:cs="Times New Roman"/>
          <w:color w:val="000000" w:themeColor="text1"/>
          <w:szCs w:val="22"/>
        </w:rPr>
        <w:t xml:space="preserve">integrated </w:t>
      </w:r>
      <w:r w:rsidR="00D5729E" w:rsidRPr="00AC18ED">
        <w:rPr>
          <w:rFonts w:ascii="Times New Roman" w:hAnsi="Times New Roman" w:cs="Times New Roman"/>
          <w:color w:val="000000" w:themeColor="text1"/>
          <w:szCs w:val="22"/>
        </w:rPr>
        <w:t>analysis of air pollution and climate change mitigation strategies, which reveals important synergies and co-benefits between these policy areas</w:t>
      </w:r>
      <w:r w:rsidR="008C2D4A">
        <w:rPr>
          <w:rFonts w:ascii="Times New Roman" w:hAnsi="Times New Roman" w:cs="Times New Roman"/>
          <w:color w:val="000000" w:themeColor="text1"/>
          <w:szCs w:val="22"/>
        </w:rPr>
        <w:t xml:space="preserve"> (Amann et al., 2008)</w:t>
      </w:r>
      <w:r w:rsidR="00D5729E" w:rsidRPr="00AC18ED">
        <w:rPr>
          <w:rFonts w:ascii="Times New Roman" w:hAnsi="Times New Roman" w:cs="Times New Roman"/>
          <w:color w:val="000000" w:themeColor="text1"/>
          <w:szCs w:val="22"/>
        </w:rPr>
        <w:t>.</w:t>
      </w:r>
    </w:p>
    <w:p w14:paraId="77C46F3F" w14:textId="58DEE0B9" w:rsidR="00D5729E" w:rsidRPr="00AC18ED" w:rsidRDefault="00D5729E" w:rsidP="00AC18ED">
      <w:pPr>
        <w:adjustRightInd w:val="0"/>
        <w:spacing w:after="120" w:line="276" w:lineRule="auto"/>
        <w:jc w:val="both"/>
        <w:rPr>
          <w:rFonts w:ascii="Times New Roman" w:hAnsi="Times New Roman" w:cs="Times New Roman"/>
          <w:color w:val="000000" w:themeColor="text1"/>
          <w:szCs w:val="22"/>
        </w:rPr>
      </w:pPr>
      <w:r w:rsidRPr="00AC18ED">
        <w:rPr>
          <w:rFonts w:ascii="Times New Roman" w:hAnsi="Times New Roman" w:cs="Times New Roman"/>
          <w:color w:val="000000" w:themeColor="text1"/>
          <w:szCs w:val="22"/>
        </w:rPr>
        <w:t xml:space="preserve">For each of the pollutants mentioned above, GAINS </w:t>
      </w:r>
      <w:r w:rsidR="00AC18ED" w:rsidRPr="00AC18ED">
        <w:rPr>
          <w:rFonts w:ascii="Times New Roman" w:hAnsi="Times New Roman" w:cs="Times New Roman"/>
          <w:color w:val="000000" w:themeColor="text1"/>
          <w:szCs w:val="22"/>
        </w:rPr>
        <w:t>estimate</w:t>
      </w:r>
      <w:r w:rsidRPr="00AC18ED">
        <w:rPr>
          <w:rFonts w:ascii="Times New Roman" w:hAnsi="Times New Roman" w:cs="Times New Roman"/>
          <w:color w:val="000000" w:themeColor="text1"/>
          <w:szCs w:val="22"/>
        </w:rPr>
        <w:t xml:space="preserve"> current and future emissions as per </w:t>
      </w:r>
      <w:r w:rsidR="001003EB">
        <w:rPr>
          <w:rFonts w:ascii="Times New Roman" w:hAnsi="Times New Roman" w:cs="Times New Roman"/>
          <w:color w:val="000000" w:themeColor="text1"/>
          <w:szCs w:val="22"/>
        </w:rPr>
        <w:t>E</w:t>
      </w:r>
      <w:r w:rsidRPr="00AC18ED">
        <w:rPr>
          <w:rFonts w:ascii="Times New Roman" w:hAnsi="Times New Roman" w:cs="Times New Roman"/>
          <w:color w:val="000000" w:themeColor="text1"/>
          <w:szCs w:val="22"/>
        </w:rPr>
        <w:t>q</w:t>
      </w:r>
      <w:r w:rsidR="001003EB">
        <w:rPr>
          <w:rFonts w:ascii="Times New Roman" w:hAnsi="Times New Roman" w:cs="Times New Roman"/>
          <w:color w:val="000000" w:themeColor="text1"/>
          <w:szCs w:val="22"/>
        </w:rPr>
        <w:t>. (</w:t>
      </w:r>
      <w:r w:rsidRPr="00AC18ED">
        <w:rPr>
          <w:rFonts w:ascii="Times New Roman" w:hAnsi="Times New Roman" w:cs="Times New Roman"/>
          <w:color w:val="000000" w:themeColor="text1"/>
          <w:szCs w:val="22"/>
        </w:rPr>
        <w:t>1</w:t>
      </w:r>
      <w:r w:rsidR="001003EB">
        <w:rPr>
          <w:rFonts w:ascii="Times New Roman" w:hAnsi="Times New Roman" w:cs="Times New Roman"/>
          <w:color w:val="000000" w:themeColor="text1"/>
          <w:szCs w:val="22"/>
        </w:rPr>
        <w:t>)</w:t>
      </w:r>
      <w:r w:rsidRPr="00AC18ED">
        <w:rPr>
          <w:rFonts w:ascii="Times New Roman" w:hAnsi="Times New Roman" w:cs="Times New Roman"/>
          <w:color w:val="000000" w:themeColor="text1"/>
          <w:szCs w:val="22"/>
        </w:rPr>
        <w:t>:</w:t>
      </w:r>
    </w:p>
    <w:p w14:paraId="45ECCB35" w14:textId="1C59E5C2" w:rsidR="00D5729E" w:rsidRPr="00AC18ED" w:rsidRDefault="001003EB" w:rsidP="00AC18ED">
      <w:pPr>
        <w:adjustRightInd w:val="0"/>
        <w:spacing w:after="120" w:line="276" w:lineRule="auto"/>
        <w:jc w:val="both"/>
        <w:rPr>
          <w:rFonts w:ascii="Times New Roman" w:hAnsi="Times New Roman" w:cs="Times New Roman"/>
          <w:color w:val="000000" w:themeColor="text1"/>
          <w:szCs w:val="22"/>
        </w:rPr>
      </w:pPr>
      <w:r>
        <w:rPr>
          <w:rFonts w:ascii="Times New Roman" w:eastAsiaTheme="minorEastAsia" w:hAnsi="Times New Roman" w:cs="Times New Roman"/>
          <w:color w:val="000000" w:themeColor="text1"/>
          <w:szCs w:val="22"/>
        </w:rPr>
        <w:tab/>
      </w:r>
      <m:oMath>
        <m:sSub>
          <m:sSubPr>
            <m:ctrlPr>
              <w:rPr>
                <w:rFonts w:ascii="Cambria Math" w:hAnsi="Cambria Math" w:cs="Times New Roman"/>
                <w:i/>
                <w:color w:val="000000" w:themeColor="text1"/>
                <w:szCs w:val="22"/>
              </w:rPr>
            </m:ctrlPr>
          </m:sSubPr>
          <m:e>
            <m:r>
              <w:rPr>
                <w:rFonts w:ascii="Cambria Math" w:hAnsi="Cambria Math" w:cs="Times New Roman"/>
                <w:color w:val="000000" w:themeColor="text1"/>
                <w:szCs w:val="22"/>
              </w:rPr>
              <m:t>E</m:t>
            </m:r>
          </m:e>
          <m:sub>
            <m:r>
              <w:rPr>
                <w:rFonts w:ascii="Cambria Math" w:hAnsi="Cambria Math" w:cs="Times New Roman"/>
                <w:color w:val="000000" w:themeColor="text1"/>
                <w:szCs w:val="22"/>
              </w:rPr>
              <m:t>i,p</m:t>
            </m:r>
          </m:sub>
        </m:sSub>
        <m:r>
          <w:rPr>
            <w:rFonts w:ascii="Cambria Math" w:hAnsi="Cambria Math" w:cs="Times New Roman"/>
            <w:color w:val="000000" w:themeColor="text1"/>
            <w:szCs w:val="22"/>
          </w:rPr>
          <m:t>=</m:t>
        </m:r>
        <m:nary>
          <m:naryPr>
            <m:chr m:val="∑"/>
            <m:limLoc m:val="undOvr"/>
            <m:supHide m:val="1"/>
            <m:ctrlPr>
              <w:rPr>
                <w:rFonts w:ascii="Cambria Math" w:hAnsi="Cambria Math" w:cs="Times New Roman"/>
                <w:i/>
                <w:color w:val="000000" w:themeColor="text1"/>
                <w:szCs w:val="22"/>
              </w:rPr>
            </m:ctrlPr>
          </m:naryPr>
          <m:sub>
            <m:r>
              <w:rPr>
                <w:rFonts w:ascii="Cambria Math" w:hAnsi="Cambria Math" w:cs="Times New Roman"/>
                <w:color w:val="000000" w:themeColor="text1"/>
                <w:szCs w:val="22"/>
              </w:rPr>
              <m:t>k</m:t>
            </m:r>
          </m:sub>
          <m:sup/>
          <m:e>
            <m:nary>
              <m:naryPr>
                <m:chr m:val="∑"/>
                <m:limLoc m:val="undOvr"/>
                <m:supHide m:val="1"/>
                <m:ctrlPr>
                  <w:rPr>
                    <w:rFonts w:ascii="Cambria Math" w:hAnsi="Cambria Math" w:cs="Times New Roman"/>
                    <w:i/>
                    <w:color w:val="000000" w:themeColor="text1"/>
                    <w:szCs w:val="22"/>
                  </w:rPr>
                </m:ctrlPr>
              </m:naryPr>
              <m:sub>
                <m:r>
                  <w:rPr>
                    <w:rFonts w:ascii="Cambria Math" w:hAnsi="Cambria Math" w:cs="Times New Roman"/>
                    <w:color w:val="000000" w:themeColor="text1"/>
                    <w:szCs w:val="22"/>
                  </w:rPr>
                  <m:t>m</m:t>
                </m:r>
              </m:sub>
              <m:sup/>
              <m:e>
                <m:sSub>
                  <m:sSubPr>
                    <m:ctrlPr>
                      <w:rPr>
                        <w:rFonts w:ascii="Cambria Math" w:hAnsi="Cambria Math" w:cs="Times New Roman"/>
                        <w:i/>
                        <w:color w:val="000000" w:themeColor="text1"/>
                        <w:szCs w:val="22"/>
                      </w:rPr>
                    </m:ctrlPr>
                  </m:sSubPr>
                  <m:e>
                    <m:r>
                      <w:rPr>
                        <w:rFonts w:ascii="Cambria Math" w:hAnsi="Cambria Math" w:cs="Times New Roman"/>
                        <w:color w:val="000000" w:themeColor="text1"/>
                        <w:szCs w:val="22"/>
                      </w:rPr>
                      <m:t>A</m:t>
                    </m:r>
                  </m:e>
                  <m:sub>
                    <m:r>
                      <w:rPr>
                        <w:rFonts w:ascii="Cambria Math" w:hAnsi="Cambria Math" w:cs="Times New Roman"/>
                        <w:color w:val="000000" w:themeColor="text1"/>
                        <w:szCs w:val="22"/>
                      </w:rPr>
                      <m:t>i,k</m:t>
                    </m:r>
                  </m:sub>
                </m:sSub>
              </m:e>
            </m:nary>
          </m:e>
        </m:nary>
        <m:sSub>
          <m:sSubPr>
            <m:ctrlPr>
              <w:rPr>
                <w:rFonts w:ascii="Cambria Math" w:hAnsi="Cambria Math" w:cs="Times New Roman"/>
                <w:i/>
                <w:color w:val="000000" w:themeColor="text1"/>
                <w:szCs w:val="22"/>
              </w:rPr>
            </m:ctrlPr>
          </m:sSubPr>
          <m:e>
            <m:r>
              <w:rPr>
                <w:rFonts w:ascii="Cambria Math" w:hAnsi="Cambria Math" w:cs="Times New Roman"/>
                <w:color w:val="000000" w:themeColor="text1"/>
                <w:szCs w:val="22"/>
              </w:rPr>
              <m:t>ef</m:t>
            </m:r>
          </m:e>
          <m:sub>
            <m:r>
              <w:rPr>
                <w:rFonts w:ascii="Cambria Math" w:hAnsi="Cambria Math" w:cs="Times New Roman"/>
                <w:color w:val="000000" w:themeColor="text1"/>
                <w:szCs w:val="22"/>
              </w:rPr>
              <m:t>i,k,m,p</m:t>
            </m:r>
          </m:sub>
        </m:sSub>
        <m:sSub>
          <m:sSubPr>
            <m:ctrlPr>
              <w:rPr>
                <w:rFonts w:ascii="Cambria Math" w:hAnsi="Cambria Math" w:cs="Times New Roman"/>
                <w:i/>
                <w:color w:val="000000" w:themeColor="text1"/>
                <w:szCs w:val="22"/>
              </w:rPr>
            </m:ctrlPr>
          </m:sSubPr>
          <m:e>
            <m:r>
              <w:rPr>
                <w:rFonts w:ascii="Cambria Math" w:hAnsi="Cambria Math" w:cs="Times New Roman"/>
                <w:color w:val="000000" w:themeColor="text1"/>
                <w:szCs w:val="22"/>
              </w:rPr>
              <m:t>X</m:t>
            </m:r>
          </m:e>
          <m:sub>
            <m:r>
              <w:rPr>
                <w:rFonts w:ascii="Cambria Math" w:hAnsi="Cambria Math" w:cs="Times New Roman"/>
                <w:color w:val="000000" w:themeColor="text1"/>
                <w:szCs w:val="22"/>
              </w:rPr>
              <m:t>i,k,m,p</m:t>
            </m:r>
          </m:sub>
        </m:sSub>
      </m:oMath>
      <w:r w:rsidR="00D5729E" w:rsidRPr="00AC18ED">
        <w:rPr>
          <w:rFonts w:ascii="Times New Roman" w:hAnsi="Times New Roman" w:cs="Times New Roman"/>
          <w:color w:val="000000" w:themeColor="text1"/>
          <w:szCs w:val="22"/>
        </w:rPr>
        <w:tab/>
      </w:r>
      <w:r w:rsidR="00D5729E" w:rsidRPr="00AC18ED">
        <w:rPr>
          <w:rFonts w:ascii="Times New Roman" w:hAnsi="Times New Roman" w:cs="Times New Roman"/>
          <w:color w:val="000000" w:themeColor="text1"/>
          <w:szCs w:val="22"/>
        </w:rPr>
        <w:tab/>
      </w:r>
      <w:r w:rsidR="00D5729E" w:rsidRPr="00AC18ED">
        <w:rPr>
          <w:rFonts w:ascii="Times New Roman" w:hAnsi="Times New Roman" w:cs="Times New Roman"/>
          <w:color w:val="000000" w:themeColor="text1"/>
          <w:szCs w:val="22"/>
        </w:rPr>
        <w:tab/>
      </w:r>
      <w:r w:rsidR="00D5729E" w:rsidRPr="00AC18ED">
        <w:rPr>
          <w:rFonts w:ascii="Times New Roman" w:hAnsi="Times New Roman" w:cs="Times New Roman"/>
          <w:color w:val="000000" w:themeColor="text1"/>
          <w:szCs w:val="22"/>
        </w:rPr>
        <w:tab/>
        <w:t>(1)</w:t>
      </w:r>
    </w:p>
    <w:p w14:paraId="283C8BE5" w14:textId="68357ADF" w:rsidR="00D5729E" w:rsidRPr="00AC18ED" w:rsidRDefault="00D5729E" w:rsidP="00AC18ED">
      <w:pPr>
        <w:spacing w:after="120" w:line="276" w:lineRule="auto"/>
        <w:jc w:val="both"/>
        <w:rPr>
          <w:rFonts w:ascii="Times New Roman" w:hAnsi="Times New Roman" w:cs="Times New Roman"/>
          <w:color w:val="000000" w:themeColor="text1"/>
          <w:szCs w:val="22"/>
        </w:rPr>
      </w:pPr>
      <w:r w:rsidRPr="00AC18ED">
        <w:rPr>
          <w:rFonts w:ascii="Times New Roman" w:hAnsi="Times New Roman" w:cs="Times New Roman"/>
          <w:color w:val="000000" w:themeColor="text1"/>
          <w:szCs w:val="22"/>
        </w:rPr>
        <w:t xml:space="preserve">where </w:t>
      </w:r>
      <w:r w:rsidRPr="00C35D33">
        <w:rPr>
          <w:rFonts w:ascii="Times New Roman" w:hAnsi="Times New Roman" w:cs="Times New Roman"/>
          <w:i/>
          <w:color w:val="000000" w:themeColor="text1"/>
          <w:szCs w:val="22"/>
        </w:rPr>
        <w:t>i, k, m, p</w:t>
      </w:r>
      <w:r w:rsidR="003D1323">
        <w:rPr>
          <w:rFonts w:ascii="Times New Roman" w:hAnsi="Times New Roman" w:cs="Times New Roman"/>
          <w:color w:val="000000" w:themeColor="text1"/>
          <w:szCs w:val="22"/>
        </w:rPr>
        <w:t>,</w:t>
      </w:r>
      <w:r w:rsidRPr="00AC18ED">
        <w:rPr>
          <w:rFonts w:ascii="Times New Roman" w:hAnsi="Times New Roman" w:cs="Times New Roman"/>
          <w:color w:val="000000" w:themeColor="text1"/>
          <w:szCs w:val="22"/>
        </w:rPr>
        <w:t xml:space="preserve"> respectively</w:t>
      </w:r>
      <w:r w:rsidR="003D1323">
        <w:rPr>
          <w:rFonts w:ascii="Times New Roman" w:hAnsi="Times New Roman" w:cs="Times New Roman"/>
          <w:color w:val="000000" w:themeColor="text1"/>
          <w:szCs w:val="22"/>
        </w:rPr>
        <w:t>,</w:t>
      </w:r>
      <w:r w:rsidRPr="00AC18ED">
        <w:rPr>
          <w:rFonts w:ascii="Times New Roman" w:hAnsi="Times New Roman" w:cs="Times New Roman"/>
          <w:color w:val="000000" w:themeColor="text1"/>
          <w:szCs w:val="22"/>
        </w:rPr>
        <w:t xml:space="preserve"> </w:t>
      </w:r>
      <w:r w:rsidR="00081589" w:rsidRPr="00AC18ED">
        <w:rPr>
          <w:rFonts w:ascii="Times New Roman" w:hAnsi="Times New Roman" w:cs="Times New Roman"/>
          <w:color w:val="000000" w:themeColor="text1"/>
          <w:szCs w:val="22"/>
        </w:rPr>
        <w:t>represent</w:t>
      </w:r>
      <w:r w:rsidR="00081589">
        <w:rPr>
          <w:rFonts w:ascii="Times New Roman" w:hAnsi="Times New Roman" w:cs="Times New Roman"/>
          <w:color w:val="000000" w:themeColor="text1"/>
          <w:szCs w:val="22"/>
        </w:rPr>
        <w:t xml:space="preserve"> </w:t>
      </w:r>
      <w:r w:rsidRPr="00AC18ED">
        <w:rPr>
          <w:rFonts w:ascii="Times New Roman" w:hAnsi="Times New Roman" w:cs="Times New Roman"/>
          <w:color w:val="000000" w:themeColor="text1"/>
          <w:szCs w:val="22"/>
        </w:rPr>
        <w:t>the country, activity type, abatement measure</w:t>
      </w:r>
      <w:r w:rsidR="003D1323">
        <w:rPr>
          <w:rFonts w:ascii="Times New Roman" w:hAnsi="Times New Roman" w:cs="Times New Roman"/>
          <w:color w:val="000000" w:themeColor="text1"/>
          <w:szCs w:val="22"/>
        </w:rPr>
        <w:t>,</w:t>
      </w:r>
      <w:r w:rsidRPr="00AC18ED">
        <w:rPr>
          <w:rFonts w:ascii="Times New Roman" w:hAnsi="Times New Roman" w:cs="Times New Roman"/>
          <w:color w:val="000000" w:themeColor="text1"/>
          <w:szCs w:val="22"/>
        </w:rPr>
        <w:t xml:space="preserve"> and pollutant, </w:t>
      </w:r>
      <w:r w:rsidRPr="00C35D33">
        <w:rPr>
          <w:rFonts w:ascii="Times New Roman" w:hAnsi="Times New Roman" w:cs="Times New Roman"/>
          <w:i/>
          <w:color w:val="000000" w:themeColor="text1"/>
          <w:szCs w:val="22"/>
        </w:rPr>
        <w:t>E</w:t>
      </w:r>
      <w:r w:rsidRPr="002A73C5">
        <w:rPr>
          <w:rFonts w:ascii="Times New Roman" w:hAnsi="Times New Roman"/>
          <w:i/>
          <w:color w:val="000000" w:themeColor="text1"/>
          <w:vertAlign w:val="subscript"/>
        </w:rPr>
        <w:t>i,p</w:t>
      </w:r>
      <w:r w:rsidRPr="00AC18ED">
        <w:rPr>
          <w:rFonts w:ascii="Times New Roman" w:hAnsi="Times New Roman" w:cs="Times New Roman"/>
          <w:color w:val="000000" w:themeColor="text1"/>
          <w:szCs w:val="22"/>
        </w:rPr>
        <w:t xml:space="preserve"> the emissions of pollutant p in country </w:t>
      </w:r>
      <w:r w:rsidRPr="00C35D33">
        <w:rPr>
          <w:rFonts w:ascii="Times New Roman" w:hAnsi="Times New Roman" w:cs="Times New Roman"/>
          <w:i/>
          <w:color w:val="000000" w:themeColor="text1"/>
          <w:szCs w:val="22"/>
        </w:rPr>
        <w:t>i, A</w:t>
      </w:r>
      <w:r w:rsidRPr="002A73C5">
        <w:rPr>
          <w:rFonts w:ascii="Times New Roman" w:hAnsi="Times New Roman"/>
          <w:i/>
          <w:color w:val="000000" w:themeColor="text1"/>
          <w:vertAlign w:val="subscript"/>
        </w:rPr>
        <w:t>i,k</w:t>
      </w:r>
      <w:r w:rsidRPr="00AC18ED">
        <w:rPr>
          <w:rFonts w:ascii="Times New Roman" w:hAnsi="Times New Roman" w:cs="Times New Roman"/>
          <w:color w:val="000000" w:themeColor="text1"/>
          <w:szCs w:val="22"/>
        </w:rPr>
        <w:t xml:space="preserve"> </w:t>
      </w:r>
      <w:r w:rsidR="00081589">
        <w:rPr>
          <w:rFonts w:ascii="Times New Roman" w:hAnsi="Times New Roman" w:cs="Times New Roman"/>
          <w:color w:val="000000" w:themeColor="text1"/>
          <w:szCs w:val="22"/>
        </w:rPr>
        <w:t xml:space="preserve">is </w:t>
      </w:r>
      <w:r w:rsidRPr="00AC18ED">
        <w:rPr>
          <w:rFonts w:ascii="Times New Roman" w:hAnsi="Times New Roman" w:cs="Times New Roman"/>
          <w:color w:val="000000" w:themeColor="text1"/>
          <w:szCs w:val="22"/>
        </w:rPr>
        <w:t xml:space="preserve">the activity level of type </w:t>
      </w:r>
      <w:r w:rsidRPr="00C35D33">
        <w:rPr>
          <w:rFonts w:ascii="Times New Roman" w:hAnsi="Times New Roman" w:cs="Times New Roman"/>
          <w:i/>
          <w:color w:val="000000" w:themeColor="text1"/>
          <w:szCs w:val="22"/>
        </w:rPr>
        <w:t>k</w:t>
      </w:r>
      <w:r w:rsidRPr="00AC18ED">
        <w:rPr>
          <w:rFonts w:ascii="Times New Roman" w:hAnsi="Times New Roman" w:cs="Times New Roman"/>
          <w:color w:val="000000" w:themeColor="text1"/>
          <w:szCs w:val="22"/>
        </w:rPr>
        <w:t xml:space="preserve"> (e.g., coal consumption in power plants) in country </w:t>
      </w:r>
      <w:r w:rsidRPr="00C35D33">
        <w:rPr>
          <w:rFonts w:ascii="Times New Roman" w:hAnsi="Times New Roman" w:cs="Times New Roman"/>
          <w:i/>
          <w:color w:val="000000" w:themeColor="text1"/>
          <w:szCs w:val="22"/>
        </w:rPr>
        <w:t>i</w:t>
      </w:r>
      <w:r w:rsidRPr="00AC18ED">
        <w:rPr>
          <w:rFonts w:ascii="Times New Roman" w:hAnsi="Times New Roman" w:cs="Times New Roman"/>
          <w:color w:val="000000" w:themeColor="text1"/>
          <w:szCs w:val="22"/>
        </w:rPr>
        <w:t xml:space="preserve">, </w:t>
      </w:r>
      <w:r w:rsidRPr="00C35D33">
        <w:rPr>
          <w:rFonts w:ascii="Times New Roman" w:hAnsi="Times New Roman" w:cs="Times New Roman"/>
          <w:i/>
          <w:color w:val="000000" w:themeColor="text1"/>
          <w:szCs w:val="22"/>
        </w:rPr>
        <w:t>ef</w:t>
      </w:r>
      <w:r w:rsidRPr="002A73C5">
        <w:rPr>
          <w:rFonts w:ascii="Times New Roman" w:hAnsi="Times New Roman"/>
          <w:i/>
          <w:color w:val="000000" w:themeColor="text1"/>
          <w:vertAlign w:val="subscript"/>
        </w:rPr>
        <w:t>i,k,m,p</w:t>
      </w:r>
      <w:r w:rsidRPr="00AC18ED">
        <w:rPr>
          <w:rFonts w:ascii="Times New Roman" w:hAnsi="Times New Roman" w:cs="Times New Roman"/>
          <w:color w:val="000000" w:themeColor="text1"/>
          <w:szCs w:val="22"/>
        </w:rPr>
        <w:t xml:space="preserve"> </w:t>
      </w:r>
      <w:r w:rsidR="00081589">
        <w:rPr>
          <w:rFonts w:ascii="Times New Roman" w:hAnsi="Times New Roman" w:cs="Times New Roman"/>
          <w:color w:val="000000" w:themeColor="text1"/>
          <w:szCs w:val="22"/>
        </w:rPr>
        <w:t xml:space="preserve">is </w:t>
      </w:r>
      <w:r w:rsidRPr="00AC18ED">
        <w:rPr>
          <w:rFonts w:ascii="Times New Roman" w:hAnsi="Times New Roman" w:cs="Times New Roman"/>
          <w:color w:val="000000" w:themeColor="text1"/>
          <w:szCs w:val="22"/>
        </w:rPr>
        <w:t xml:space="preserve">the emission factor of pollutant </w:t>
      </w:r>
      <w:r w:rsidRPr="00C35D33">
        <w:rPr>
          <w:rFonts w:ascii="Times New Roman" w:hAnsi="Times New Roman" w:cs="Times New Roman"/>
          <w:i/>
          <w:color w:val="000000" w:themeColor="text1"/>
          <w:szCs w:val="22"/>
        </w:rPr>
        <w:t>p</w:t>
      </w:r>
      <w:r w:rsidRPr="00AC18ED">
        <w:rPr>
          <w:rFonts w:ascii="Times New Roman" w:hAnsi="Times New Roman" w:cs="Times New Roman"/>
          <w:color w:val="000000" w:themeColor="text1"/>
          <w:szCs w:val="22"/>
        </w:rPr>
        <w:t xml:space="preserve"> for activity </w:t>
      </w:r>
      <w:r w:rsidRPr="00C35D33">
        <w:rPr>
          <w:rFonts w:ascii="Times New Roman" w:hAnsi="Times New Roman" w:cs="Times New Roman"/>
          <w:i/>
          <w:color w:val="000000" w:themeColor="text1"/>
          <w:szCs w:val="22"/>
        </w:rPr>
        <w:t>k</w:t>
      </w:r>
      <w:r w:rsidRPr="00AC18ED">
        <w:rPr>
          <w:rFonts w:ascii="Times New Roman" w:hAnsi="Times New Roman" w:cs="Times New Roman"/>
          <w:color w:val="000000" w:themeColor="text1"/>
          <w:szCs w:val="22"/>
        </w:rPr>
        <w:t xml:space="preserve"> in country </w:t>
      </w:r>
      <w:r w:rsidRPr="00C35D33">
        <w:rPr>
          <w:rFonts w:ascii="Times New Roman" w:hAnsi="Times New Roman" w:cs="Times New Roman"/>
          <w:i/>
          <w:color w:val="000000" w:themeColor="text1"/>
          <w:szCs w:val="22"/>
        </w:rPr>
        <w:t>i</w:t>
      </w:r>
      <w:r w:rsidRPr="00AC18ED">
        <w:rPr>
          <w:rFonts w:ascii="Times New Roman" w:hAnsi="Times New Roman" w:cs="Times New Roman"/>
          <w:color w:val="000000" w:themeColor="text1"/>
          <w:szCs w:val="22"/>
        </w:rPr>
        <w:t xml:space="preserve"> after application of control measure </w:t>
      </w:r>
      <w:r w:rsidRPr="00C35D33">
        <w:rPr>
          <w:rFonts w:ascii="Times New Roman" w:hAnsi="Times New Roman" w:cs="Times New Roman"/>
          <w:i/>
          <w:color w:val="000000" w:themeColor="text1"/>
          <w:szCs w:val="22"/>
        </w:rPr>
        <w:t>m</w:t>
      </w:r>
      <w:r w:rsidRPr="00AC18ED">
        <w:rPr>
          <w:rFonts w:ascii="Times New Roman" w:hAnsi="Times New Roman" w:cs="Times New Roman"/>
          <w:color w:val="000000" w:themeColor="text1"/>
          <w:szCs w:val="22"/>
        </w:rPr>
        <w:t xml:space="preserve">, and </w:t>
      </w:r>
      <w:r w:rsidRPr="00C35D33">
        <w:rPr>
          <w:rFonts w:ascii="Times New Roman" w:hAnsi="Times New Roman" w:cs="Times New Roman"/>
          <w:i/>
          <w:color w:val="000000" w:themeColor="text1"/>
          <w:szCs w:val="22"/>
        </w:rPr>
        <w:t>X</w:t>
      </w:r>
      <w:r w:rsidRPr="002A73C5">
        <w:rPr>
          <w:rFonts w:ascii="Times New Roman" w:hAnsi="Times New Roman"/>
          <w:i/>
          <w:color w:val="000000" w:themeColor="text1"/>
          <w:vertAlign w:val="subscript"/>
        </w:rPr>
        <w:t>i,k,m,p</w:t>
      </w:r>
      <w:r w:rsidRPr="00AC18ED">
        <w:rPr>
          <w:rFonts w:ascii="Times New Roman" w:hAnsi="Times New Roman" w:cs="Times New Roman"/>
          <w:color w:val="000000" w:themeColor="text1"/>
          <w:szCs w:val="22"/>
        </w:rPr>
        <w:t xml:space="preserve"> </w:t>
      </w:r>
      <w:r w:rsidR="00081589">
        <w:rPr>
          <w:rFonts w:ascii="Times New Roman" w:hAnsi="Times New Roman" w:cs="Times New Roman"/>
          <w:color w:val="000000" w:themeColor="text1"/>
          <w:szCs w:val="22"/>
        </w:rPr>
        <w:t xml:space="preserve">is </w:t>
      </w:r>
      <w:r w:rsidRPr="00AC18ED">
        <w:rPr>
          <w:rFonts w:ascii="Times New Roman" w:hAnsi="Times New Roman" w:cs="Times New Roman"/>
          <w:color w:val="000000" w:themeColor="text1"/>
          <w:szCs w:val="22"/>
        </w:rPr>
        <w:t xml:space="preserve">the share of total activity of type </w:t>
      </w:r>
      <w:r w:rsidRPr="00C35D33">
        <w:rPr>
          <w:rFonts w:ascii="Times New Roman" w:hAnsi="Times New Roman" w:cs="Times New Roman"/>
          <w:i/>
          <w:color w:val="000000" w:themeColor="text1"/>
          <w:szCs w:val="22"/>
        </w:rPr>
        <w:t>k</w:t>
      </w:r>
      <w:r w:rsidRPr="00AC18ED">
        <w:rPr>
          <w:rFonts w:ascii="Times New Roman" w:hAnsi="Times New Roman" w:cs="Times New Roman"/>
          <w:color w:val="000000" w:themeColor="text1"/>
          <w:szCs w:val="22"/>
        </w:rPr>
        <w:t xml:space="preserve"> in country </w:t>
      </w:r>
      <w:r w:rsidRPr="00C35D33">
        <w:rPr>
          <w:rFonts w:ascii="Times New Roman" w:hAnsi="Times New Roman" w:cs="Times New Roman"/>
          <w:i/>
          <w:color w:val="000000" w:themeColor="text1"/>
          <w:szCs w:val="22"/>
        </w:rPr>
        <w:t>i</w:t>
      </w:r>
      <w:r w:rsidRPr="00AC18ED">
        <w:rPr>
          <w:rFonts w:ascii="Times New Roman" w:hAnsi="Times New Roman" w:cs="Times New Roman"/>
          <w:color w:val="000000" w:themeColor="text1"/>
          <w:szCs w:val="22"/>
        </w:rPr>
        <w:t xml:space="preserve"> to which a control measure </w:t>
      </w:r>
      <w:r w:rsidRPr="00C35D33">
        <w:rPr>
          <w:rFonts w:ascii="Times New Roman" w:hAnsi="Times New Roman" w:cs="Times New Roman"/>
          <w:i/>
          <w:color w:val="000000" w:themeColor="text1"/>
          <w:szCs w:val="22"/>
        </w:rPr>
        <w:t>m</w:t>
      </w:r>
      <w:r w:rsidRPr="00AC18ED">
        <w:rPr>
          <w:rFonts w:ascii="Times New Roman" w:hAnsi="Times New Roman" w:cs="Times New Roman"/>
          <w:color w:val="000000" w:themeColor="text1"/>
          <w:szCs w:val="22"/>
        </w:rPr>
        <w:t xml:space="preserve"> for pollutant </w:t>
      </w:r>
      <w:r w:rsidRPr="00C35D33">
        <w:rPr>
          <w:rFonts w:ascii="Times New Roman" w:hAnsi="Times New Roman" w:cs="Times New Roman"/>
          <w:i/>
          <w:color w:val="000000" w:themeColor="text1"/>
          <w:szCs w:val="22"/>
        </w:rPr>
        <w:t>p</w:t>
      </w:r>
      <w:r w:rsidRPr="00AC18ED">
        <w:rPr>
          <w:rFonts w:ascii="Times New Roman" w:hAnsi="Times New Roman" w:cs="Times New Roman"/>
          <w:color w:val="000000" w:themeColor="text1"/>
          <w:szCs w:val="22"/>
        </w:rPr>
        <w:t xml:space="preserve"> is applied.</w:t>
      </w:r>
    </w:p>
    <w:p w14:paraId="35CF894A" w14:textId="77777777" w:rsidR="00D5729E" w:rsidRPr="00AC18ED" w:rsidRDefault="00D5729E" w:rsidP="00AC18ED">
      <w:pPr>
        <w:spacing w:after="120" w:line="276" w:lineRule="auto"/>
        <w:rPr>
          <w:rFonts w:ascii="Times New Roman" w:hAnsi="Times New Roman" w:cs="Times New Roman"/>
          <w:color w:val="000000" w:themeColor="text1"/>
          <w:szCs w:val="22"/>
        </w:rPr>
      </w:pPr>
    </w:p>
    <w:p w14:paraId="2C2E32F0" w14:textId="77777777" w:rsidR="00D5729E" w:rsidRPr="00AC18ED" w:rsidRDefault="00D5729E" w:rsidP="00AC18ED">
      <w:pPr>
        <w:spacing w:after="120" w:line="276" w:lineRule="auto"/>
        <w:rPr>
          <w:rFonts w:ascii="Times New Roman" w:hAnsi="Times New Roman" w:cs="Times New Roman"/>
          <w:color w:val="000000" w:themeColor="text1"/>
          <w:szCs w:val="22"/>
        </w:rPr>
      </w:pPr>
    </w:p>
    <w:p w14:paraId="0364E527" w14:textId="77777777" w:rsidR="00D5729E" w:rsidRPr="00AC18ED" w:rsidRDefault="00D5729E" w:rsidP="00AC18ED">
      <w:pPr>
        <w:spacing w:after="120" w:line="276" w:lineRule="auto"/>
        <w:rPr>
          <w:rFonts w:ascii="Times New Roman" w:hAnsi="Times New Roman" w:cs="Times New Roman"/>
          <w:color w:val="000000" w:themeColor="text1"/>
          <w:szCs w:val="22"/>
        </w:rPr>
      </w:pPr>
    </w:p>
    <w:p w14:paraId="50B7B2FA" w14:textId="77777777" w:rsidR="00D5729E" w:rsidRPr="00AC18ED" w:rsidRDefault="00D5729E" w:rsidP="00AC18ED">
      <w:pPr>
        <w:spacing w:after="120" w:line="276" w:lineRule="auto"/>
        <w:rPr>
          <w:rFonts w:ascii="Times New Roman" w:hAnsi="Times New Roman" w:cs="Times New Roman"/>
          <w:color w:val="000000" w:themeColor="text1"/>
          <w:szCs w:val="22"/>
        </w:rPr>
      </w:pPr>
    </w:p>
    <w:p w14:paraId="325A084C" w14:textId="77777777" w:rsidR="00D5729E" w:rsidRPr="00AC18ED" w:rsidRDefault="00D5729E" w:rsidP="00AC18ED">
      <w:pPr>
        <w:spacing w:after="120" w:line="276" w:lineRule="auto"/>
        <w:rPr>
          <w:rFonts w:ascii="Times New Roman" w:hAnsi="Times New Roman" w:cs="Times New Roman"/>
          <w:color w:val="000000" w:themeColor="text1"/>
          <w:szCs w:val="22"/>
        </w:rPr>
      </w:pPr>
    </w:p>
    <w:p w14:paraId="42FD1F87" w14:textId="77777777" w:rsidR="00D5729E" w:rsidRPr="00AC18ED" w:rsidRDefault="00D5729E" w:rsidP="00AC18ED">
      <w:pPr>
        <w:spacing w:after="120" w:line="276" w:lineRule="auto"/>
        <w:rPr>
          <w:rFonts w:ascii="Times New Roman" w:hAnsi="Times New Roman" w:cs="Times New Roman"/>
          <w:color w:val="000000" w:themeColor="text1"/>
          <w:szCs w:val="22"/>
        </w:rPr>
      </w:pPr>
    </w:p>
    <w:p w14:paraId="03AF68AC" w14:textId="77777777" w:rsidR="00D5729E" w:rsidRPr="00AC18ED" w:rsidRDefault="00D5729E" w:rsidP="00AC18ED">
      <w:pPr>
        <w:spacing w:after="120" w:line="276" w:lineRule="auto"/>
        <w:rPr>
          <w:rFonts w:ascii="Times New Roman" w:hAnsi="Times New Roman" w:cs="Times New Roman"/>
          <w:color w:val="000000" w:themeColor="text1"/>
          <w:szCs w:val="22"/>
        </w:rPr>
      </w:pPr>
    </w:p>
    <w:p w14:paraId="7B4F2DCD" w14:textId="77777777" w:rsidR="00D5729E" w:rsidRPr="00AC18ED" w:rsidRDefault="00D5729E" w:rsidP="00AC18ED">
      <w:pPr>
        <w:spacing w:after="120" w:line="276" w:lineRule="auto"/>
        <w:rPr>
          <w:rFonts w:ascii="Times New Roman" w:hAnsi="Times New Roman" w:cs="Times New Roman"/>
          <w:color w:val="000000" w:themeColor="text1"/>
          <w:szCs w:val="22"/>
        </w:rPr>
      </w:pPr>
    </w:p>
    <w:p w14:paraId="279D0ED4" w14:textId="77777777" w:rsidR="00D5729E" w:rsidRPr="00AC18ED" w:rsidRDefault="00D5729E" w:rsidP="00AC18ED">
      <w:pPr>
        <w:spacing w:after="120" w:line="276" w:lineRule="auto"/>
        <w:rPr>
          <w:rFonts w:ascii="Times New Roman" w:hAnsi="Times New Roman" w:cs="Times New Roman"/>
          <w:szCs w:val="22"/>
        </w:rPr>
      </w:pPr>
    </w:p>
    <w:p w14:paraId="4F4EB082" w14:textId="64744AC3" w:rsidR="00BA2CA9" w:rsidRPr="00AC18ED" w:rsidRDefault="00BA2CA9" w:rsidP="00AC18ED">
      <w:pPr>
        <w:pStyle w:val="Heading1"/>
        <w:numPr>
          <w:ilvl w:val="0"/>
          <w:numId w:val="11"/>
        </w:numPr>
        <w:spacing w:before="0" w:after="120" w:line="276" w:lineRule="auto"/>
        <w:rPr>
          <w:rFonts w:ascii="Times New Roman" w:hAnsi="Times New Roman" w:cs="Times New Roman"/>
          <w:b/>
          <w:sz w:val="24"/>
          <w:szCs w:val="22"/>
        </w:rPr>
      </w:pPr>
      <w:bookmarkStart w:id="14" w:name="_Toc22630733"/>
      <w:r w:rsidRPr="00AC18ED">
        <w:rPr>
          <w:rFonts w:ascii="Times New Roman" w:hAnsi="Times New Roman" w:cs="Times New Roman"/>
          <w:b/>
          <w:sz w:val="24"/>
          <w:szCs w:val="22"/>
        </w:rPr>
        <w:lastRenderedPageBreak/>
        <w:t xml:space="preserve">Major </w:t>
      </w:r>
      <w:r w:rsidR="00C56590">
        <w:rPr>
          <w:rFonts w:ascii="Times New Roman" w:hAnsi="Times New Roman" w:cs="Times New Roman"/>
          <w:b/>
          <w:sz w:val="24"/>
          <w:szCs w:val="22"/>
        </w:rPr>
        <w:t>c</w:t>
      </w:r>
      <w:r w:rsidR="00081589" w:rsidRPr="00AC18ED">
        <w:rPr>
          <w:rFonts w:ascii="Times New Roman" w:hAnsi="Times New Roman" w:cs="Times New Roman"/>
          <w:b/>
          <w:sz w:val="24"/>
          <w:szCs w:val="22"/>
        </w:rPr>
        <w:t>ity</w:t>
      </w:r>
      <w:r w:rsidR="00081589">
        <w:rPr>
          <w:rFonts w:ascii="Times New Roman" w:hAnsi="Times New Roman" w:cs="Times New Roman"/>
          <w:b/>
          <w:sz w:val="24"/>
          <w:szCs w:val="22"/>
        </w:rPr>
        <w:t>-</w:t>
      </w:r>
      <w:r w:rsidR="00C56590">
        <w:rPr>
          <w:rFonts w:ascii="Times New Roman" w:hAnsi="Times New Roman" w:cs="Times New Roman"/>
          <w:b/>
          <w:sz w:val="24"/>
          <w:szCs w:val="22"/>
        </w:rPr>
        <w:t>s</w:t>
      </w:r>
      <w:r w:rsidR="00C56590" w:rsidRPr="00AC18ED">
        <w:rPr>
          <w:rFonts w:ascii="Times New Roman" w:hAnsi="Times New Roman" w:cs="Times New Roman"/>
          <w:b/>
          <w:sz w:val="24"/>
          <w:szCs w:val="22"/>
        </w:rPr>
        <w:t xml:space="preserve">pecific </w:t>
      </w:r>
      <w:r w:rsidR="00C56590">
        <w:rPr>
          <w:rFonts w:ascii="Times New Roman" w:hAnsi="Times New Roman" w:cs="Times New Roman"/>
          <w:b/>
          <w:sz w:val="24"/>
          <w:szCs w:val="22"/>
        </w:rPr>
        <w:t>p</w:t>
      </w:r>
      <w:r w:rsidR="00C56590" w:rsidRPr="00AC18ED">
        <w:rPr>
          <w:rFonts w:ascii="Times New Roman" w:hAnsi="Times New Roman" w:cs="Times New Roman"/>
          <w:b/>
          <w:sz w:val="24"/>
          <w:szCs w:val="22"/>
        </w:rPr>
        <w:t xml:space="preserve">olicies </w:t>
      </w:r>
      <w:r w:rsidRPr="00AC18ED">
        <w:rPr>
          <w:rFonts w:ascii="Times New Roman" w:hAnsi="Times New Roman" w:cs="Times New Roman"/>
          <w:b/>
          <w:sz w:val="24"/>
          <w:szCs w:val="22"/>
        </w:rPr>
        <w:t>in place for Kolkata</w:t>
      </w:r>
      <w:bookmarkEnd w:id="14"/>
    </w:p>
    <w:tbl>
      <w:tblPr>
        <w:tblStyle w:val="TableGrid"/>
        <w:tblW w:w="9090" w:type="dxa"/>
        <w:tblInd w:w="108" w:type="dxa"/>
        <w:tblLook w:val="04A0" w:firstRow="1" w:lastRow="0" w:firstColumn="1" w:lastColumn="0" w:noHBand="0" w:noVBand="1"/>
      </w:tblPr>
      <w:tblGrid>
        <w:gridCol w:w="1530"/>
        <w:gridCol w:w="2316"/>
        <w:gridCol w:w="3371"/>
        <w:gridCol w:w="1873"/>
      </w:tblGrid>
      <w:tr w:rsidR="00E70C70" w:rsidRPr="00AC18ED" w14:paraId="1AC9473E" w14:textId="77777777" w:rsidTr="008F64DA">
        <w:trPr>
          <w:trHeight w:val="236"/>
        </w:trPr>
        <w:tc>
          <w:tcPr>
            <w:tcW w:w="1530" w:type="dxa"/>
            <w:tcBorders>
              <w:top w:val="single" w:sz="4" w:space="0" w:color="auto"/>
              <w:left w:val="single" w:sz="4" w:space="0" w:color="auto"/>
              <w:bottom w:val="single" w:sz="4" w:space="0" w:color="auto"/>
              <w:right w:val="single" w:sz="4" w:space="0" w:color="auto"/>
            </w:tcBorders>
            <w:hideMark/>
          </w:tcPr>
          <w:p w14:paraId="18D64EBC" w14:textId="77777777" w:rsidR="00E70C70" w:rsidRPr="00AC18ED" w:rsidRDefault="00E70C70" w:rsidP="00AC18ED">
            <w:pPr>
              <w:keepNext/>
              <w:autoSpaceDE w:val="0"/>
              <w:autoSpaceDN w:val="0"/>
              <w:adjustRightInd w:val="0"/>
              <w:spacing w:after="120" w:line="276" w:lineRule="auto"/>
              <w:contextualSpacing/>
              <w:jc w:val="center"/>
              <w:rPr>
                <w:rFonts w:ascii="Times New Roman" w:hAnsi="Times New Roman" w:cs="Times New Roman"/>
                <w:b/>
                <w:szCs w:val="22"/>
              </w:rPr>
            </w:pPr>
            <w:r w:rsidRPr="00AC18ED">
              <w:rPr>
                <w:rFonts w:ascii="Times New Roman" w:hAnsi="Times New Roman" w:cs="Times New Roman"/>
                <w:b/>
                <w:szCs w:val="22"/>
              </w:rPr>
              <w:t>Sector</w:t>
            </w:r>
          </w:p>
        </w:tc>
        <w:tc>
          <w:tcPr>
            <w:tcW w:w="5687" w:type="dxa"/>
            <w:gridSpan w:val="2"/>
            <w:tcBorders>
              <w:top w:val="single" w:sz="4" w:space="0" w:color="auto"/>
              <w:left w:val="single" w:sz="4" w:space="0" w:color="auto"/>
              <w:bottom w:val="single" w:sz="4" w:space="0" w:color="auto"/>
              <w:right w:val="single" w:sz="4" w:space="0" w:color="auto"/>
            </w:tcBorders>
            <w:hideMark/>
          </w:tcPr>
          <w:p w14:paraId="70973E29" w14:textId="77777777" w:rsidR="00E70C70" w:rsidRPr="00AC18ED" w:rsidRDefault="00E70C70" w:rsidP="00AC18ED">
            <w:pPr>
              <w:keepNext/>
              <w:autoSpaceDE w:val="0"/>
              <w:autoSpaceDN w:val="0"/>
              <w:adjustRightInd w:val="0"/>
              <w:spacing w:after="120" w:line="276" w:lineRule="auto"/>
              <w:contextualSpacing/>
              <w:jc w:val="center"/>
              <w:rPr>
                <w:rFonts w:ascii="Times New Roman" w:hAnsi="Times New Roman" w:cs="Times New Roman"/>
                <w:b/>
                <w:szCs w:val="22"/>
              </w:rPr>
            </w:pPr>
            <w:r w:rsidRPr="00AC18ED">
              <w:rPr>
                <w:rFonts w:ascii="Times New Roman" w:hAnsi="Times New Roman" w:cs="Times New Roman"/>
                <w:b/>
                <w:szCs w:val="22"/>
              </w:rPr>
              <w:t>Policy</w:t>
            </w:r>
          </w:p>
        </w:tc>
        <w:tc>
          <w:tcPr>
            <w:tcW w:w="1873" w:type="dxa"/>
            <w:tcBorders>
              <w:top w:val="single" w:sz="4" w:space="0" w:color="auto"/>
              <w:left w:val="single" w:sz="4" w:space="0" w:color="auto"/>
              <w:bottom w:val="single" w:sz="4" w:space="0" w:color="auto"/>
              <w:right w:val="single" w:sz="4" w:space="0" w:color="auto"/>
            </w:tcBorders>
            <w:hideMark/>
          </w:tcPr>
          <w:p w14:paraId="7538B01D" w14:textId="77777777" w:rsidR="00E70C70" w:rsidRPr="00AC18ED" w:rsidRDefault="00922AD3" w:rsidP="00AC18ED">
            <w:pPr>
              <w:keepNext/>
              <w:autoSpaceDE w:val="0"/>
              <w:autoSpaceDN w:val="0"/>
              <w:adjustRightInd w:val="0"/>
              <w:spacing w:after="120" w:line="276" w:lineRule="auto"/>
              <w:contextualSpacing/>
              <w:jc w:val="center"/>
              <w:rPr>
                <w:rFonts w:ascii="Times New Roman" w:hAnsi="Times New Roman" w:cs="Times New Roman"/>
                <w:b/>
                <w:szCs w:val="22"/>
              </w:rPr>
            </w:pPr>
            <w:r w:rsidRPr="00AC18ED">
              <w:rPr>
                <w:rFonts w:ascii="Times New Roman" w:hAnsi="Times New Roman" w:cs="Times New Roman"/>
                <w:b/>
                <w:szCs w:val="22"/>
              </w:rPr>
              <w:t>Reference</w:t>
            </w:r>
          </w:p>
        </w:tc>
      </w:tr>
      <w:tr w:rsidR="00E70C70" w:rsidRPr="00AC18ED" w14:paraId="4738B538" w14:textId="77777777" w:rsidTr="008F64DA">
        <w:trPr>
          <w:trHeight w:val="974"/>
        </w:trPr>
        <w:tc>
          <w:tcPr>
            <w:tcW w:w="1530" w:type="dxa"/>
            <w:tcBorders>
              <w:top w:val="single" w:sz="4" w:space="0" w:color="auto"/>
              <w:left w:val="single" w:sz="4" w:space="0" w:color="auto"/>
              <w:bottom w:val="single" w:sz="4" w:space="0" w:color="auto"/>
              <w:right w:val="single" w:sz="4" w:space="0" w:color="auto"/>
            </w:tcBorders>
            <w:hideMark/>
          </w:tcPr>
          <w:p w14:paraId="36BECEFF" w14:textId="77777777" w:rsidR="00E70C70" w:rsidRPr="00AC18ED" w:rsidRDefault="00E70C70" w:rsidP="00AC18ED">
            <w:pPr>
              <w:keepNext/>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Power plants</w:t>
            </w:r>
          </w:p>
        </w:tc>
        <w:tc>
          <w:tcPr>
            <w:tcW w:w="5687" w:type="dxa"/>
            <w:gridSpan w:val="2"/>
            <w:tcBorders>
              <w:top w:val="single" w:sz="4" w:space="0" w:color="auto"/>
              <w:left w:val="single" w:sz="4" w:space="0" w:color="auto"/>
              <w:bottom w:val="single" w:sz="4" w:space="0" w:color="auto"/>
              <w:right w:val="single" w:sz="4" w:space="0" w:color="auto"/>
            </w:tcBorders>
            <w:hideMark/>
          </w:tcPr>
          <w:p w14:paraId="5117CC53" w14:textId="0A67E22E" w:rsidR="00E70C70" w:rsidRPr="00AC18ED" w:rsidRDefault="00E70C70" w:rsidP="00AC18ED">
            <w:pPr>
              <w:keepNext/>
              <w:numPr>
                <w:ilvl w:val="0"/>
                <w:numId w:val="13"/>
              </w:numPr>
              <w:spacing w:after="120"/>
              <w:ind w:left="376"/>
              <w:rPr>
                <w:rFonts w:ascii="Times New Roman" w:hAnsi="Times New Roman" w:cs="Times New Roman"/>
              </w:rPr>
            </w:pPr>
            <w:r w:rsidRPr="00AC18ED">
              <w:rPr>
                <w:rFonts w:ascii="Times New Roman" w:hAnsi="Times New Roman" w:cs="Times New Roman"/>
              </w:rPr>
              <w:t xml:space="preserve">Electrostatic precipitators (ESPs) for </w:t>
            </w:r>
            <w:r w:rsidR="003D1323" w:rsidRPr="00AC18ED">
              <w:rPr>
                <w:rFonts w:ascii="Times New Roman" w:hAnsi="Times New Roman" w:cs="Times New Roman"/>
              </w:rPr>
              <w:t>coal</w:t>
            </w:r>
            <w:r w:rsidR="003D1323">
              <w:rPr>
                <w:rFonts w:ascii="Times New Roman" w:hAnsi="Times New Roman" w:cs="Times New Roman"/>
              </w:rPr>
              <w:t>-</w:t>
            </w:r>
            <w:r w:rsidRPr="00AC18ED">
              <w:rPr>
                <w:rFonts w:ascii="Times New Roman" w:hAnsi="Times New Roman" w:cs="Times New Roman"/>
              </w:rPr>
              <w:t>based thermal power plants</w:t>
            </w:r>
          </w:p>
          <w:p w14:paraId="19067521" w14:textId="5349C2D6" w:rsidR="00E70C70" w:rsidRPr="00AC18ED" w:rsidRDefault="00E70C70" w:rsidP="00AC18ED">
            <w:pPr>
              <w:keepNext/>
              <w:numPr>
                <w:ilvl w:val="0"/>
                <w:numId w:val="13"/>
              </w:numPr>
              <w:spacing w:after="120"/>
              <w:ind w:left="376"/>
              <w:rPr>
                <w:rFonts w:ascii="Times New Roman" w:hAnsi="Times New Roman" w:cs="Times New Roman"/>
              </w:rPr>
            </w:pPr>
            <w:r w:rsidRPr="00AC18ED">
              <w:rPr>
                <w:rFonts w:ascii="Times New Roman" w:hAnsi="Times New Roman" w:cs="Times New Roman"/>
              </w:rPr>
              <w:t xml:space="preserve">Flue gas </w:t>
            </w:r>
            <w:r w:rsidR="003D1323" w:rsidRPr="00AC18ED">
              <w:rPr>
                <w:rFonts w:ascii="Times New Roman" w:hAnsi="Times New Roman" w:cs="Times New Roman"/>
              </w:rPr>
              <w:t>desul</w:t>
            </w:r>
            <w:r w:rsidR="003D1323">
              <w:rPr>
                <w:rFonts w:ascii="Times New Roman" w:hAnsi="Times New Roman" w:cs="Times New Roman"/>
              </w:rPr>
              <w:t>f</w:t>
            </w:r>
            <w:r w:rsidR="003D1323" w:rsidRPr="00AC18ED">
              <w:rPr>
                <w:rFonts w:ascii="Times New Roman" w:hAnsi="Times New Roman" w:cs="Times New Roman"/>
              </w:rPr>
              <w:t xml:space="preserve">urization </w:t>
            </w:r>
            <w:r w:rsidRPr="00AC18ED">
              <w:rPr>
                <w:rFonts w:ascii="Times New Roman" w:hAnsi="Times New Roman" w:cs="Times New Roman"/>
              </w:rPr>
              <w:t>(FGD) for control of SO</w:t>
            </w:r>
            <w:r w:rsidRPr="00AC18ED">
              <w:rPr>
                <w:rFonts w:ascii="Times New Roman" w:hAnsi="Times New Roman" w:cs="Times New Roman"/>
                <w:vertAlign w:val="subscript"/>
              </w:rPr>
              <w:t>2</w:t>
            </w:r>
            <w:r w:rsidRPr="00AC18ED">
              <w:rPr>
                <w:rFonts w:ascii="Times New Roman" w:hAnsi="Times New Roman" w:cs="Times New Roman"/>
              </w:rPr>
              <w:t xml:space="preserve"> for coal</w:t>
            </w:r>
            <w:r w:rsidR="003D1323">
              <w:rPr>
                <w:rFonts w:ascii="Times New Roman" w:hAnsi="Times New Roman" w:cs="Times New Roman"/>
              </w:rPr>
              <w:t>-</w:t>
            </w:r>
            <w:r w:rsidRPr="00AC18ED">
              <w:rPr>
                <w:rFonts w:ascii="Times New Roman" w:hAnsi="Times New Roman" w:cs="Times New Roman"/>
              </w:rPr>
              <w:t xml:space="preserve">based thermal </w:t>
            </w:r>
            <w:r w:rsidR="00851F41" w:rsidRPr="00AC18ED">
              <w:rPr>
                <w:rFonts w:ascii="Times New Roman" w:hAnsi="Times New Roman" w:cs="Times New Roman"/>
              </w:rPr>
              <w:t>power plants</w:t>
            </w:r>
          </w:p>
        </w:tc>
        <w:tc>
          <w:tcPr>
            <w:tcW w:w="1873" w:type="dxa"/>
            <w:tcBorders>
              <w:top w:val="single" w:sz="4" w:space="0" w:color="auto"/>
              <w:left w:val="single" w:sz="4" w:space="0" w:color="auto"/>
              <w:bottom w:val="single" w:sz="4" w:space="0" w:color="auto"/>
              <w:right w:val="single" w:sz="4" w:space="0" w:color="auto"/>
            </w:tcBorders>
            <w:hideMark/>
          </w:tcPr>
          <w:p w14:paraId="27C838D3" w14:textId="3CAD9479" w:rsidR="00B61794" w:rsidRPr="00AC18ED" w:rsidRDefault="00B61794" w:rsidP="00AC18ED">
            <w:pPr>
              <w:autoSpaceDE w:val="0"/>
              <w:autoSpaceDN w:val="0"/>
              <w:adjustRightInd w:val="0"/>
              <w:spacing w:after="120" w:line="276" w:lineRule="auto"/>
              <w:contextualSpacing/>
              <w:rPr>
                <w:rFonts w:ascii="Times New Roman" w:hAnsi="Times New Roman" w:cs="Times New Roman"/>
                <w:szCs w:val="22"/>
              </w:rPr>
            </w:pPr>
            <w:r w:rsidRPr="00AC18ED">
              <w:rPr>
                <w:rFonts w:ascii="Times New Roman" w:hAnsi="Times New Roman" w:cs="Times New Roman"/>
                <w:szCs w:val="22"/>
              </w:rPr>
              <w:t>MoEFCC</w:t>
            </w:r>
            <w:r w:rsidR="00432936">
              <w:rPr>
                <w:rFonts w:ascii="Times New Roman" w:hAnsi="Times New Roman" w:cs="Times New Roman"/>
                <w:szCs w:val="22"/>
              </w:rPr>
              <w:t xml:space="preserve"> (</w:t>
            </w:r>
            <w:r w:rsidR="005F6B84" w:rsidRPr="00AC18ED">
              <w:rPr>
                <w:rFonts w:ascii="Times New Roman" w:hAnsi="Times New Roman" w:cs="Times New Roman"/>
                <w:szCs w:val="22"/>
              </w:rPr>
              <w:t>2</w:t>
            </w:r>
            <w:r w:rsidRPr="00AC18ED">
              <w:rPr>
                <w:rFonts w:ascii="Times New Roman" w:hAnsi="Times New Roman" w:cs="Times New Roman"/>
                <w:szCs w:val="22"/>
              </w:rPr>
              <w:t>015</w:t>
            </w:r>
            <w:r w:rsidR="00432936">
              <w:rPr>
                <w:rFonts w:ascii="Times New Roman" w:hAnsi="Times New Roman" w:cs="Times New Roman"/>
                <w:szCs w:val="22"/>
              </w:rPr>
              <w:t>)</w:t>
            </w:r>
          </w:p>
        </w:tc>
      </w:tr>
      <w:tr w:rsidR="00922AD3" w:rsidRPr="00AC18ED" w14:paraId="53A6FD40" w14:textId="77777777" w:rsidTr="008F64DA">
        <w:trPr>
          <w:trHeight w:val="325"/>
        </w:trPr>
        <w:tc>
          <w:tcPr>
            <w:tcW w:w="1530" w:type="dxa"/>
            <w:tcBorders>
              <w:top w:val="single" w:sz="4" w:space="0" w:color="auto"/>
              <w:left w:val="single" w:sz="4" w:space="0" w:color="auto"/>
              <w:right w:val="single" w:sz="4" w:space="0" w:color="auto"/>
            </w:tcBorders>
            <w:hideMark/>
          </w:tcPr>
          <w:p w14:paraId="658CF285" w14:textId="77777777" w:rsidR="00922AD3" w:rsidRPr="00AC18ED" w:rsidRDefault="00922AD3" w:rsidP="00AC18ED">
            <w:pPr>
              <w:autoSpaceDE w:val="0"/>
              <w:autoSpaceDN w:val="0"/>
              <w:adjustRightInd w:val="0"/>
              <w:spacing w:after="120" w:line="276" w:lineRule="auto"/>
              <w:contextualSpacing/>
              <w:rPr>
                <w:rFonts w:ascii="Times New Roman" w:hAnsi="Times New Roman" w:cs="Times New Roman"/>
                <w:szCs w:val="22"/>
              </w:rPr>
            </w:pPr>
            <w:r w:rsidRPr="00AC18ED">
              <w:rPr>
                <w:rFonts w:ascii="Times New Roman" w:hAnsi="Times New Roman" w:cs="Times New Roman"/>
                <w:szCs w:val="22"/>
              </w:rPr>
              <w:t>Waste</w:t>
            </w:r>
          </w:p>
        </w:tc>
        <w:tc>
          <w:tcPr>
            <w:tcW w:w="5687" w:type="dxa"/>
            <w:gridSpan w:val="2"/>
            <w:tcBorders>
              <w:top w:val="single" w:sz="4" w:space="0" w:color="auto"/>
              <w:left w:val="single" w:sz="4" w:space="0" w:color="auto"/>
              <w:bottom w:val="single" w:sz="4" w:space="0" w:color="auto"/>
              <w:right w:val="single" w:sz="4" w:space="0" w:color="auto"/>
            </w:tcBorders>
            <w:hideMark/>
          </w:tcPr>
          <w:p w14:paraId="6B40B59A" w14:textId="77777777" w:rsidR="00922AD3" w:rsidRPr="00AC18ED" w:rsidRDefault="00922AD3"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Ban on open burning of wastes.</w:t>
            </w:r>
          </w:p>
        </w:tc>
        <w:tc>
          <w:tcPr>
            <w:tcW w:w="1873" w:type="dxa"/>
            <w:tcBorders>
              <w:top w:val="single" w:sz="4" w:space="0" w:color="auto"/>
              <w:left w:val="single" w:sz="4" w:space="0" w:color="auto"/>
              <w:right w:val="single" w:sz="4" w:space="0" w:color="auto"/>
            </w:tcBorders>
            <w:hideMark/>
          </w:tcPr>
          <w:p w14:paraId="2C83B441" w14:textId="6A25C1E4" w:rsidR="00C5156F" w:rsidRPr="00AC18ED" w:rsidRDefault="00707F0D" w:rsidP="00AC18ED">
            <w:pPr>
              <w:autoSpaceDE w:val="0"/>
              <w:autoSpaceDN w:val="0"/>
              <w:adjustRightInd w:val="0"/>
              <w:spacing w:after="120" w:line="276" w:lineRule="auto"/>
              <w:contextualSpacing/>
              <w:rPr>
                <w:rFonts w:ascii="Times New Roman" w:hAnsi="Times New Roman" w:cs="Times New Roman"/>
                <w:szCs w:val="22"/>
              </w:rPr>
            </w:pPr>
            <w:r w:rsidRPr="00AC18ED">
              <w:rPr>
                <w:rFonts w:ascii="Times New Roman" w:hAnsi="Times New Roman" w:cs="Times New Roman"/>
                <w:szCs w:val="22"/>
              </w:rPr>
              <w:t>MoEFCC</w:t>
            </w:r>
            <w:r w:rsidR="00432936">
              <w:rPr>
                <w:rFonts w:ascii="Times New Roman" w:hAnsi="Times New Roman" w:cs="Times New Roman"/>
                <w:szCs w:val="22"/>
              </w:rPr>
              <w:t xml:space="preserve"> (</w:t>
            </w:r>
            <w:r w:rsidRPr="00AC18ED">
              <w:rPr>
                <w:rFonts w:ascii="Times New Roman" w:hAnsi="Times New Roman" w:cs="Times New Roman"/>
                <w:szCs w:val="22"/>
              </w:rPr>
              <w:t>2016</w:t>
            </w:r>
            <w:r w:rsidR="00432936">
              <w:rPr>
                <w:rFonts w:ascii="Times New Roman" w:hAnsi="Times New Roman" w:cs="Times New Roman"/>
                <w:szCs w:val="22"/>
              </w:rPr>
              <w:t>)</w:t>
            </w:r>
          </w:p>
        </w:tc>
      </w:tr>
      <w:tr w:rsidR="00441F3A" w:rsidRPr="00AC18ED" w14:paraId="5424CC82" w14:textId="77777777" w:rsidTr="008F64DA">
        <w:trPr>
          <w:trHeight w:val="141"/>
        </w:trPr>
        <w:tc>
          <w:tcPr>
            <w:tcW w:w="1530" w:type="dxa"/>
            <w:vMerge w:val="restart"/>
            <w:tcBorders>
              <w:top w:val="single" w:sz="4" w:space="0" w:color="auto"/>
              <w:left w:val="single" w:sz="4" w:space="0" w:color="auto"/>
              <w:right w:val="single" w:sz="4" w:space="0" w:color="auto"/>
            </w:tcBorders>
            <w:hideMark/>
          </w:tcPr>
          <w:p w14:paraId="484E5FB5"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r w:rsidRPr="00AC18ED">
              <w:rPr>
                <w:rFonts w:ascii="Times New Roman" w:hAnsi="Times New Roman" w:cs="Times New Roman"/>
                <w:szCs w:val="22"/>
              </w:rPr>
              <w:t>Automobile Pollution</w:t>
            </w:r>
          </w:p>
        </w:tc>
        <w:tc>
          <w:tcPr>
            <w:tcW w:w="2316" w:type="dxa"/>
            <w:tcBorders>
              <w:top w:val="single" w:sz="4" w:space="0" w:color="auto"/>
              <w:left w:val="single" w:sz="4" w:space="0" w:color="auto"/>
              <w:bottom w:val="single" w:sz="4" w:space="0" w:color="auto"/>
              <w:right w:val="single" w:sz="4" w:space="0" w:color="auto"/>
            </w:tcBorders>
            <w:hideMark/>
          </w:tcPr>
          <w:p w14:paraId="01BA8C55" w14:textId="77777777" w:rsidR="00441F3A" w:rsidRPr="00AC18ED" w:rsidRDefault="00441F3A" w:rsidP="00AC18ED">
            <w:pPr>
              <w:keepNext/>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 xml:space="preserve">India 2000 </w:t>
            </w:r>
          </w:p>
          <w:p w14:paraId="6CA649BB" w14:textId="458C4329" w:rsidR="00441F3A" w:rsidRPr="00AC18ED" w:rsidRDefault="00441F3A" w:rsidP="00AC18ED">
            <w:pPr>
              <w:keepNext/>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(EURO</w:t>
            </w:r>
            <w:r w:rsidR="00432936">
              <w:rPr>
                <w:rFonts w:ascii="Times New Roman" w:hAnsi="Times New Roman" w:cs="Times New Roman"/>
                <w:szCs w:val="22"/>
              </w:rPr>
              <w:t>-</w:t>
            </w:r>
            <w:r w:rsidRPr="00AC18ED">
              <w:rPr>
                <w:rFonts w:ascii="Times New Roman" w:hAnsi="Times New Roman" w:cs="Times New Roman"/>
                <w:szCs w:val="22"/>
              </w:rPr>
              <w:t>I equivalent)</w:t>
            </w:r>
          </w:p>
        </w:tc>
        <w:tc>
          <w:tcPr>
            <w:tcW w:w="3371" w:type="dxa"/>
            <w:tcBorders>
              <w:top w:val="single" w:sz="4" w:space="0" w:color="auto"/>
              <w:left w:val="single" w:sz="4" w:space="0" w:color="auto"/>
              <w:bottom w:val="single" w:sz="4" w:space="0" w:color="auto"/>
              <w:right w:val="single" w:sz="4" w:space="0" w:color="auto"/>
            </w:tcBorders>
          </w:tcPr>
          <w:p w14:paraId="42677542" w14:textId="32688694"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 xml:space="preserve">For all new vehicles from </w:t>
            </w:r>
            <w:r w:rsidR="003D1323" w:rsidRPr="00AC18ED">
              <w:rPr>
                <w:rFonts w:ascii="Times New Roman" w:hAnsi="Times New Roman" w:cs="Times New Roman"/>
                <w:szCs w:val="22"/>
              </w:rPr>
              <w:t>1</w:t>
            </w:r>
            <w:r w:rsidR="003D1323">
              <w:rPr>
                <w:rFonts w:ascii="Times New Roman" w:hAnsi="Times New Roman" w:cs="Times New Roman"/>
                <w:szCs w:val="22"/>
                <w:vertAlign w:val="superscript"/>
              </w:rPr>
              <w:t xml:space="preserve"> </w:t>
            </w:r>
            <w:r w:rsidRPr="00AC18ED">
              <w:rPr>
                <w:rFonts w:ascii="Times New Roman" w:hAnsi="Times New Roman" w:cs="Times New Roman"/>
                <w:szCs w:val="22"/>
              </w:rPr>
              <w:t>April 2000</w:t>
            </w:r>
          </w:p>
        </w:tc>
        <w:tc>
          <w:tcPr>
            <w:tcW w:w="1873" w:type="dxa"/>
            <w:vMerge w:val="restart"/>
            <w:tcBorders>
              <w:top w:val="single" w:sz="4" w:space="0" w:color="auto"/>
              <w:left w:val="single" w:sz="4" w:space="0" w:color="auto"/>
              <w:right w:val="single" w:sz="4" w:space="0" w:color="auto"/>
            </w:tcBorders>
            <w:hideMark/>
          </w:tcPr>
          <w:p w14:paraId="160A4C28" w14:textId="1AFB9B2E"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r w:rsidRPr="00AC18ED">
              <w:rPr>
                <w:rFonts w:ascii="Times New Roman" w:hAnsi="Times New Roman" w:cs="Times New Roman"/>
                <w:szCs w:val="22"/>
              </w:rPr>
              <w:t>APR</w:t>
            </w:r>
            <w:r w:rsidR="00323DF1" w:rsidRPr="00AC18ED">
              <w:rPr>
                <w:rFonts w:ascii="Times New Roman" w:hAnsi="Times New Roman" w:cs="Times New Roman"/>
                <w:szCs w:val="22"/>
              </w:rPr>
              <w:t xml:space="preserve"> </w:t>
            </w:r>
            <w:r w:rsidR="00A31D07">
              <w:rPr>
                <w:rFonts w:ascii="Times New Roman" w:hAnsi="Times New Roman" w:cs="Times New Roman"/>
                <w:szCs w:val="22"/>
              </w:rPr>
              <w:t>(2015)</w:t>
            </w:r>
            <w:r w:rsidRPr="00AC18ED">
              <w:rPr>
                <w:rFonts w:ascii="Times New Roman" w:hAnsi="Times New Roman" w:cs="Times New Roman"/>
                <w:szCs w:val="22"/>
              </w:rPr>
              <w:t xml:space="preserve">; MoRTH </w:t>
            </w:r>
            <w:r w:rsidR="00A31D07">
              <w:rPr>
                <w:rFonts w:ascii="Times New Roman" w:hAnsi="Times New Roman" w:cs="Times New Roman"/>
                <w:szCs w:val="22"/>
              </w:rPr>
              <w:t>(</w:t>
            </w:r>
            <w:r w:rsidRPr="00AC18ED">
              <w:rPr>
                <w:rFonts w:ascii="Times New Roman" w:hAnsi="Times New Roman" w:cs="Times New Roman"/>
                <w:szCs w:val="22"/>
              </w:rPr>
              <w:t>2016</w:t>
            </w:r>
            <w:r w:rsidR="00A31D07">
              <w:rPr>
                <w:rFonts w:ascii="Times New Roman" w:hAnsi="Times New Roman" w:cs="Times New Roman"/>
                <w:szCs w:val="22"/>
              </w:rPr>
              <w:t>)</w:t>
            </w:r>
          </w:p>
          <w:p w14:paraId="24185294"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r>
      <w:tr w:rsidR="00441F3A" w:rsidRPr="00AC18ED" w14:paraId="05BD65E2" w14:textId="77777777" w:rsidTr="008F64DA">
        <w:trPr>
          <w:trHeight w:val="139"/>
        </w:trPr>
        <w:tc>
          <w:tcPr>
            <w:tcW w:w="1530" w:type="dxa"/>
            <w:vMerge/>
            <w:tcBorders>
              <w:left w:val="single" w:sz="4" w:space="0" w:color="auto"/>
              <w:right w:val="single" w:sz="4" w:space="0" w:color="auto"/>
            </w:tcBorders>
            <w:hideMark/>
          </w:tcPr>
          <w:p w14:paraId="22C681C7"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c>
          <w:tcPr>
            <w:tcW w:w="2316" w:type="dxa"/>
            <w:tcBorders>
              <w:top w:val="single" w:sz="4" w:space="0" w:color="auto"/>
              <w:left w:val="single" w:sz="4" w:space="0" w:color="auto"/>
              <w:bottom w:val="single" w:sz="4" w:space="0" w:color="auto"/>
              <w:right w:val="single" w:sz="4" w:space="0" w:color="auto"/>
            </w:tcBorders>
            <w:hideMark/>
          </w:tcPr>
          <w:p w14:paraId="346D6E02" w14:textId="77777777"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 xml:space="preserve">Bharat Stage II </w:t>
            </w:r>
          </w:p>
          <w:p w14:paraId="65221DD6" w14:textId="6EFFA63E"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(EURO</w:t>
            </w:r>
            <w:r w:rsidR="00432936">
              <w:rPr>
                <w:rFonts w:ascii="Times New Roman" w:hAnsi="Times New Roman" w:cs="Times New Roman"/>
                <w:szCs w:val="22"/>
              </w:rPr>
              <w:t>-</w:t>
            </w:r>
            <w:r w:rsidRPr="00AC18ED">
              <w:rPr>
                <w:rFonts w:ascii="Times New Roman" w:hAnsi="Times New Roman" w:cs="Times New Roman"/>
                <w:szCs w:val="22"/>
              </w:rPr>
              <w:t>II equivalent)</w:t>
            </w:r>
          </w:p>
        </w:tc>
        <w:tc>
          <w:tcPr>
            <w:tcW w:w="3371" w:type="dxa"/>
            <w:tcBorders>
              <w:top w:val="single" w:sz="4" w:space="0" w:color="auto"/>
              <w:left w:val="single" w:sz="4" w:space="0" w:color="auto"/>
              <w:bottom w:val="single" w:sz="4" w:space="0" w:color="auto"/>
              <w:right w:val="single" w:sz="4" w:space="0" w:color="auto"/>
            </w:tcBorders>
          </w:tcPr>
          <w:p w14:paraId="68DF9626" w14:textId="4982E27D"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 xml:space="preserve">For all new passenger cars from </w:t>
            </w:r>
            <w:r w:rsidR="003D1323" w:rsidRPr="00AC18ED">
              <w:rPr>
                <w:rFonts w:ascii="Times New Roman" w:hAnsi="Times New Roman" w:cs="Times New Roman"/>
                <w:szCs w:val="22"/>
              </w:rPr>
              <w:t>31</w:t>
            </w:r>
            <w:r w:rsidR="00774A64">
              <w:rPr>
                <w:rFonts w:ascii="Times New Roman" w:hAnsi="Times New Roman" w:cs="Times New Roman"/>
                <w:szCs w:val="22"/>
                <w:vertAlign w:val="superscript"/>
              </w:rPr>
              <w:t xml:space="preserve"> </w:t>
            </w:r>
            <w:r w:rsidRPr="00AC18ED">
              <w:rPr>
                <w:rFonts w:ascii="Times New Roman" w:hAnsi="Times New Roman" w:cs="Times New Roman"/>
                <w:szCs w:val="22"/>
              </w:rPr>
              <w:t>December 2000</w:t>
            </w:r>
          </w:p>
        </w:tc>
        <w:tc>
          <w:tcPr>
            <w:tcW w:w="1873" w:type="dxa"/>
            <w:vMerge/>
            <w:tcBorders>
              <w:left w:val="single" w:sz="4" w:space="0" w:color="auto"/>
              <w:right w:val="single" w:sz="4" w:space="0" w:color="auto"/>
            </w:tcBorders>
            <w:hideMark/>
          </w:tcPr>
          <w:p w14:paraId="64900FDC"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r>
      <w:tr w:rsidR="00441F3A" w:rsidRPr="00AC18ED" w14:paraId="6C2D562D" w14:textId="77777777" w:rsidTr="008F64DA">
        <w:trPr>
          <w:trHeight w:val="139"/>
        </w:trPr>
        <w:tc>
          <w:tcPr>
            <w:tcW w:w="1530" w:type="dxa"/>
            <w:vMerge/>
            <w:tcBorders>
              <w:left w:val="single" w:sz="4" w:space="0" w:color="auto"/>
              <w:right w:val="single" w:sz="4" w:space="0" w:color="auto"/>
            </w:tcBorders>
            <w:hideMark/>
          </w:tcPr>
          <w:p w14:paraId="4DFA4559"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c>
          <w:tcPr>
            <w:tcW w:w="2316" w:type="dxa"/>
            <w:tcBorders>
              <w:top w:val="single" w:sz="4" w:space="0" w:color="auto"/>
              <w:left w:val="single" w:sz="4" w:space="0" w:color="auto"/>
              <w:bottom w:val="single" w:sz="4" w:space="0" w:color="auto"/>
              <w:right w:val="single" w:sz="4" w:space="0" w:color="auto"/>
            </w:tcBorders>
            <w:hideMark/>
          </w:tcPr>
          <w:p w14:paraId="154354A8" w14:textId="77777777"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Benzene content in petrol &lt;3%</w:t>
            </w:r>
          </w:p>
        </w:tc>
        <w:tc>
          <w:tcPr>
            <w:tcW w:w="3371" w:type="dxa"/>
            <w:tcBorders>
              <w:top w:val="single" w:sz="4" w:space="0" w:color="auto"/>
              <w:left w:val="single" w:sz="4" w:space="0" w:color="auto"/>
              <w:bottom w:val="single" w:sz="4" w:space="0" w:color="auto"/>
              <w:right w:val="single" w:sz="4" w:space="0" w:color="auto"/>
            </w:tcBorders>
          </w:tcPr>
          <w:p w14:paraId="53136508" w14:textId="77777777"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June 2000</w:t>
            </w:r>
          </w:p>
        </w:tc>
        <w:tc>
          <w:tcPr>
            <w:tcW w:w="1873" w:type="dxa"/>
            <w:vMerge/>
            <w:tcBorders>
              <w:left w:val="single" w:sz="4" w:space="0" w:color="auto"/>
              <w:right w:val="single" w:sz="4" w:space="0" w:color="auto"/>
            </w:tcBorders>
            <w:hideMark/>
          </w:tcPr>
          <w:p w14:paraId="2A17BFFF"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r>
      <w:tr w:rsidR="00441F3A" w:rsidRPr="00AC18ED" w14:paraId="4A4B547A" w14:textId="77777777" w:rsidTr="008F64DA">
        <w:trPr>
          <w:trHeight w:val="139"/>
        </w:trPr>
        <w:tc>
          <w:tcPr>
            <w:tcW w:w="1530" w:type="dxa"/>
            <w:vMerge/>
            <w:tcBorders>
              <w:left w:val="single" w:sz="4" w:space="0" w:color="auto"/>
              <w:right w:val="single" w:sz="4" w:space="0" w:color="auto"/>
            </w:tcBorders>
            <w:hideMark/>
          </w:tcPr>
          <w:p w14:paraId="224FF390"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c>
          <w:tcPr>
            <w:tcW w:w="2316" w:type="dxa"/>
            <w:tcBorders>
              <w:top w:val="single" w:sz="4" w:space="0" w:color="auto"/>
              <w:left w:val="single" w:sz="4" w:space="0" w:color="auto"/>
              <w:bottom w:val="single" w:sz="4" w:space="0" w:color="auto"/>
              <w:right w:val="single" w:sz="4" w:space="0" w:color="auto"/>
            </w:tcBorders>
            <w:vAlign w:val="center"/>
            <w:hideMark/>
          </w:tcPr>
          <w:p w14:paraId="703F8E7C" w14:textId="77777777" w:rsidR="00441F3A" w:rsidRPr="00AC18ED" w:rsidRDefault="00441F3A" w:rsidP="00AC18ED">
            <w:pPr>
              <w:spacing w:after="120" w:line="276" w:lineRule="auto"/>
              <w:rPr>
                <w:rFonts w:ascii="Times New Roman" w:hAnsi="Times New Roman" w:cs="Times New Roman"/>
                <w:szCs w:val="22"/>
              </w:rPr>
            </w:pPr>
            <w:r w:rsidRPr="00AC18ED">
              <w:rPr>
                <w:rFonts w:ascii="Times New Roman" w:hAnsi="Times New Roman" w:cs="Times New Roman"/>
                <w:szCs w:val="22"/>
              </w:rPr>
              <w:t>Low sulfur fuel (&lt;0.05% or &lt;50 ppm)</w:t>
            </w:r>
          </w:p>
        </w:tc>
        <w:tc>
          <w:tcPr>
            <w:tcW w:w="3371" w:type="dxa"/>
            <w:tcBorders>
              <w:top w:val="single" w:sz="4" w:space="0" w:color="auto"/>
              <w:left w:val="single" w:sz="4" w:space="0" w:color="auto"/>
              <w:bottom w:val="single" w:sz="4" w:space="0" w:color="auto"/>
              <w:right w:val="single" w:sz="4" w:space="0" w:color="auto"/>
            </w:tcBorders>
          </w:tcPr>
          <w:p w14:paraId="514A2D92" w14:textId="5EAA7E81"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 xml:space="preserve">For both </w:t>
            </w:r>
            <w:r w:rsidR="004E553F">
              <w:rPr>
                <w:rFonts w:ascii="Times New Roman" w:hAnsi="Times New Roman" w:cs="Times New Roman"/>
                <w:szCs w:val="22"/>
              </w:rPr>
              <w:t>gasoline</w:t>
            </w:r>
            <w:r w:rsidR="004E553F" w:rsidRPr="00AC18ED">
              <w:rPr>
                <w:rFonts w:ascii="Times New Roman" w:hAnsi="Times New Roman" w:cs="Times New Roman"/>
                <w:szCs w:val="22"/>
              </w:rPr>
              <w:t xml:space="preserve"> </w:t>
            </w:r>
            <w:r w:rsidRPr="00AC18ED">
              <w:rPr>
                <w:rFonts w:ascii="Times New Roman" w:hAnsi="Times New Roman" w:cs="Times New Roman"/>
                <w:szCs w:val="22"/>
              </w:rPr>
              <w:t xml:space="preserve">and diesel from </w:t>
            </w:r>
            <w:r w:rsidR="003D1323" w:rsidRPr="00AC18ED">
              <w:rPr>
                <w:rFonts w:ascii="Times New Roman" w:hAnsi="Times New Roman" w:cs="Times New Roman"/>
                <w:szCs w:val="22"/>
              </w:rPr>
              <w:t>1</w:t>
            </w:r>
            <w:r w:rsidR="00774A64">
              <w:rPr>
                <w:rFonts w:ascii="Times New Roman" w:hAnsi="Times New Roman" w:cs="Times New Roman"/>
                <w:szCs w:val="22"/>
                <w:vertAlign w:val="superscript"/>
              </w:rPr>
              <w:t xml:space="preserve"> </w:t>
            </w:r>
            <w:r w:rsidRPr="00AC18ED">
              <w:rPr>
                <w:rFonts w:ascii="Times New Roman" w:hAnsi="Times New Roman" w:cs="Times New Roman"/>
                <w:szCs w:val="22"/>
              </w:rPr>
              <w:t xml:space="preserve">January 2001 </w:t>
            </w:r>
          </w:p>
        </w:tc>
        <w:tc>
          <w:tcPr>
            <w:tcW w:w="1873" w:type="dxa"/>
            <w:vMerge/>
            <w:tcBorders>
              <w:left w:val="single" w:sz="4" w:space="0" w:color="auto"/>
              <w:right w:val="single" w:sz="4" w:space="0" w:color="auto"/>
            </w:tcBorders>
            <w:hideMark/>
          </w:tcPr>
          <w:p w14:paraId="25C32411"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r>
      <w:tr w:rsidR="00441F3A" w:rsidRPr="00AC18ED" w14:paraId="556DEA94" w14:textId="77777777" w:rsidTr="008F64DA">
        <w:trPr>
          <w:trHeight w:val="139"/>
        </w:trPr>
        <w:tc>
          <w:tcPr>
            <w:tcW w:w="1530" w:type="dxa"/>
            <w:vMerge/>
            <w:tcBorders>
              <w:left w:val="single" w:sz="4" w:space="0" w:color="auto"/>
              <w:right w:val="single" w:sz="4" w:space="0" w:color="auto"/>
            </w:tcBorders>
            <w:hideMark/>
          </w:tcPr>
          <w:p w14:paraId="46F49DEB"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c>
          <w:tcPr>
            <w:tcW w:w="2316" w:type="dxa"/>
            <w:tcBorders>
              <w:top w:val="single" w:sz="4" w:space="0" w:color="auto"/>
              <w:left w:val="single" w:sz="4" w:space="0" w:color="auto"/>
              <w:bottom w:val="single" w:sz="4" w:space="0" w:color="auto"/>
              <w:right w:val="single" w:sz="4" w:space="0" w:color="auto"/>
            </w:tcBorders>
            <w:vAlign w:val="center"/>
            <w:hideMark/>
          </w:tcPr>
          <w:p w14:paraId="315B12CB" w14:textId="5E3BCD89" w:rsidR="00441F3A" w:rsidRPr="00AC18ED" w:rsidRDefault="00441F3A" w:rsidP="00AC18ED">
            <w:pPr>
              <w:spacing w:after="120" w:line="276" w:lineRule="auto"/>
              <w:rPr>
                <w:rFonts w:ascii="Times New Roman" w:hAnsi="Times New Roman" w:cs="Times New Roman"/>
                <w:szCs w:val="22"/>
              </w:rPr>
            </w:pPr>
            <w:r w:rsidRPr="00AC18ED">
              <w:rPr>
                <w:rFonts w:ascii="Times New Roman" w:hAnsi="Times New Roman" w:cs="Times New Roman"/>
                <w:szCs w:val="22"/>
              </w:rPr>
              <w:t>Loose 2</w:t>
            </w:r>
            <w:r w:rsidR="00432936">
              <w:rPr>
                <w:rFonts w:ascii="Times New Roman" w:hAnsi="Times New Roman" w:cs="Times New Roman"/>
                <w:szCs w:val="22"/>
              </w:rPr>
              <w:t>-</w:t>
            </w:r>
            <w:r w:rsidRPr="00AC18ED">
              <w:rPr>
                <w:rFonts w:ascii="Times New Roman" w:hAnsi="Times New Roman" w:cs="Times New Roman"/>
                <w:szCs w:val="22"/>
              </w:rPr>
              <w:t>T oil *</w:t>
            </w:r>
          </w:p>
        </w:tc>
        <w:tc>
          <w:tcPr>
            <w:tcW w:w="3371" w:type="dxa"/>
            <w:tcBorders>
              <w:top w:val="single" w:sz="4" w:space="0" w:color="auto"/>
              <w:left w:val="single" w:sz="4" w:space="0" w:color="auto"/>
              <w:bottom w:val="single" w:sz="4" w:space="0" w:color="auto"/>
              <w:right w:val="single" w:sz="4" w:space="0" w:color="auto"/>
            </w:tcBorders>
          </w:tcPr>
          <w:p w14:paraId="0DECC818" w14:textId="5CE6E4F8"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Ban on use, sale</w:t>
            </w:r>
            <w:r w:rsidR="00432936">
              <w:rPr>
                <w:rFonts w:ascii="Times New Roman" w:hAnsi="Times New Roman" w:cs="Times New Roman"/>
                <w:szCs w:val="22"/>
              </w:rPr>
              <w:t>,</w:t>
            </w:r>
            <w:r w:rsidRPr="00AC18ED">
              <w:rPr>
                <w:rFonts w:ascii="Times New Roman" w:hAnsi="Times New Roman" w:cs="Times New Roman"/>
                <w:szCs w:val="22"/>
              </w:rPr>
              <w:t xml:space="preserve"> and distribution from </w:t>
            </w:r>
            <w:r w:rsidR="003D1323" w:rsidRPr="00AC18ED">
              <w:rPr>
                <w:rFonts w:ascii="Times New Roman" w:hAnsi="Times New Roman" w:cs="Times New Roman"/>
                <w:szCs w:val="22"/>
              </w:rPr>
              <w:t>1</w:t>
            </w:r>
            <w:r w:rsidR="005A2E26" w:rsidRPr="005A2E26">
              <w:rPr>
                <w:rFonts w:ascii="Times New Roman" w:hAnsi="Times New Roman" w:cs="Times New Roman"/>
                <w:szCs w:val="22"/>
                <w:vertAlign w:val="superscript"/>
              </w:rPr>
              <w:t>st</w:t>
            </w:r>
            <w:r w:rsidR="005A2E26">
              <w:rPr>
                <w:rFonts w:ascii="Times New Roman" w:hAnsi="Times New Roman" w:cs="Times New Roman"/>
                <w:szCs w:val="22"/>
              </w:rPr>
              <w:t xml:space="preserve"> </w:t>
            </w:r>
            <w:r w:rsidR="003D1323">
              <w:rPr>
                <w:rFonts w:ascii="Times New Roman" w:hAnsi="Times New Roman" w:cs="Times New Roman"/>
                <w:szCs w:val="22"/>
                <w:vertAlign w:val="superscript"/>
              </w:rPr>
              <w:t xml:space="preserve"> </w:t>
            </w:r>
            <w:r w:rsidRPr="00AC18ED">
              <w:rPr>
                <w:rFonts w:ascii="Times New Roman" w:hAnsi="Times New Roman" w:cs="Times New Roman"/>
                <w:szCs w:val="22"/>
              </w:rPr>
              <w:t>October 2001</w:t>
            </w:r>
          </w:p>
        </w:tc>
        <w:tc>
          <w:tcPr>
            <w:tcW w:w="1873" w:type="dxa"/>
            <w:vMerge/>
            <w:tcBorders>
              <w:left w:val="single" w:sz="4" w:space="0" w:color="auto"/>
              <w:right w:val="single" w:sz="4" w:space="0" w:color="auto"/>
            </w:tcBorders>
            <w:hideMark/>
          </w:tcPr>
          <w:p w14:paraId="4FC50C19"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r>
      <w:tr w:rsidR="00441F3A" w:rsidRPr="00AC18ED" w14:paraId="418ED812" w14:textId="77777777" w:rsidTr="008F64DA">
        <w:trPr>
          <w:trHeight w:val="139"/>
        </w:trPr>
        <w:tc>
          <w:tcPr>
            <w:tcW w:w="1530" w:type="dxa"/>
            <w:vMerge/>
            <w:tcBorders>
              <w:left w:val="single" w:sz="4" w:space="0" w:color="auto"/>
              <w:right w:val="single" w:sz="4" w:space="0" w:color="auto"/>
            </w:tcBorders>
            <w:hideMark/>
          </w:tcPr>
          <w:p w14:paraId="74CD2540"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c>
          <w:tcPr>
            <w:tcW w:w="2316" w:type="dxa"/>
            <w:tcBorders>
              <w:top w:val="single" w:sz="4" w:space="0" w:color="auto"/>
              <w:left w:val="single" w:sz="4" w:space="0" w:color="auto"/>
              <w:bottom w:val="single" w:sz="4" w:space="0" w:color="auto"/>
              <w:right w:val="single" w:sz="4" w:space="0" w:color="auto"/>
            </w:tcBorders>
            <w:hideMark/>
          </w:tcPr>
          <w:p w14:paraId="7D1B0141" w14:textId="77777777"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 xml:space="preserve">Bharat Stage III </w:t>
            </w:r>
          </w:p>
          <w:p w14:paraId="100C284E" w14:textId="77777777"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(EURO III equivalent)</w:t>
            </w:r>
          </w:p>
        </w:tc>
        <w:tc>
          <w:tcPr>
            <w:tcW w:w="3371" w:type="dxa"/>
            <w:tcBorders>
              <w:top w:val="single" w:sz="4" w:space="0" w:color="auto"/>
              <w:left w:val="single" w:sz="4" w:space="0" w:color="auto"/>
              <w:bottom w:val="single" w:sz="4" w:space="0" w:color="auto"/>
              <w:right w:val="single" w:sz="4" w:space="0" w:color="auto"/>
            </w:tcBorders>
          </w:tcPr>
          <w:p w14:paraId="3D72FE65" w14:textId="77777777"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April 2003</w:t>
            </w:r>
          </w:p>
        </w:tc>
        <w:tc>
          <w:tcPr>
            <w:tcW w:w="1873" w:type="dxa"/>
            <w:vMerge/>
            <w:tcBorders>
              <w:left w:val="single" w:sz="4" w:space="0" w:color="auto"/>
              <w:right w:val="single" w:sz="4" w:space="0" w:color="auto"/>
            </w:tcBorders>
            <w:hideMark/>
          </w:tcPr>
          <w:p w14:paraId="7F963C28"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r>
      <w:tr w:rsidR="00441F3A" w:rsidRPr="00AC18ED" w14:paraId="17FD7302" w14:textId="77777777" w:rsidTr="008F64DA">
        <w:trPr>
          <w:trHeight w:val="139"/>
        </w:trPr>
        <w:tc>
          <w:tcPr>
            <w:tcW w:w="1530" w:type="dxa"/>
            <w:vMerge/>
            <w:tcBorders>
              <w:left w:val="single" w:sz="4" w:space="0" w:color="auto"/>
              <w:right w:val="single" w:sz="4" w:space="0" w:color="auto"/>
            </w:tcBorders>
            <w:hideMark/>
          </w:tcPr>
          <w:p w14:paraId="20040907"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c>
          <w:tcPr>
            <w:tcW w:w="2316" w:type="dxa"/>
            <w:tcBorders>
              <w:top w:val="single" w:sz="4" w:space="0" w:color="auto"/>
              <w:left w:val="single" w:sz="4" w:space="0" w:color="auto"/>
              <w:bottom w:val="single" w:sz="4" w:space="0" w:color="auto"/>
              <w:right w:val="single" w:sz="4" w:space="0" w:color="auto"/>
            </w:tcBorders>
            <w:hideMark/>
          </w:tcPr>
          <w:p w14:paraId="55DB06E4" w14:textId="77777777"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 xml:space="preserve">Bharat Stage IV </w:t>
            </w:r>
          </w:p>
          <w:p w14:paraId="4EA43F41" w14:textId="77777777"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(EURO IV equivalent)</w:t>
            </w:r>
          </w:p>
        </w:tc>
        <w:tc>
          <w:tcPr>
            <w:tcW w:w="3371" w:type="dxa"/>
            <w:tcBorders>
              <w:top w:val="single" w:sz="4" w:space="0" w:color="auto"/>
              <w:left w:val="single" w:sz="4" w:space="0" w:color="auto"/>
              <w:bottom w:val="single" w:sz="4" w:space="0" w:color="auto"/>
              <w:right w:val="single" w:sz="4" w:space="0" w:color="auto"/>
            </w:tcBorders>
          </w:tcPr>
          <w:p w14:paraId="0E1B8612" w14:textId="77777777"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April 2010</w:t>
            </w:r>
          </w:p>
        </w:tc>
        <w:tc>
          <w:tcPr>
            <w:tcW w:w="1873" w:type="dxa"/>
            <w:vMerge/>
            <w:tcBorders>
              <w:left w:val="single" w:sz="4" w:space="0" w:color="auto"/>
              <w:right w:val="single" w:sz="4" w:space="0" w:color="auto"/>
            </w:tcBorders>
            <w:hideMark/>
          </w:tcPr>
          <w:p w14:paraId="50F311C4"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r>
      <w:tr w:rsidR="00441F3A" w:rsidRPr="00AC18ED" w14:paraId="61D06A85" w14:textId="77777777" w:rsidTr="008F64DA">
        <w:trPr>
          <w:trHeight w:val="139"/>
        </w:trPr>
        <w:tc>
          <w:tcPr>
            <w:tcW w:w="1530" w:type="dxa"/>
            <w:vMerge/>
            <w:tcBorders>
              <w:left w:val="single" w:sz="4" w:space="0" w:color="auto"/>
              <w:right w:val="single" w:sz="4" w:space="0" w:color="auto"/>
            </w:tcBorders>
            <w:hideMark/>
          </w:tcPr>
          <w:p w14:paraId="7131CF4B"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c>
          <w:tcPr>
            <w:tcW w:w="2316" w:type="dxa"/>
            <w:tcBorders>
              <w:top w:val="single" w:sz="4" w:space="0" w:color="auto"/>
              <w:left w:val="single" w:sz="4" w:space="0" w:color="auto"/>
              <w:bottom w:val="single" w:sz="4" w:space="0" w:color="auto"/>
              <w:right w:val="single" w:sz="4" w:space="0" w:color="auto"/>
            </w:tcBorders>
            <w:hideMark/>
          </w:tcPr>
          <w:p w14:paraId="1EEA5999" w14:textId="77777777"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 xml:space="preserve">Bharat Stage VI </w:t>
            </w:r>
          </w:p>
          <w:p w14:paraId="1F7C050C" w14:textId="77777777"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(EURO VI equivalent)</w:t>
            </w:r>
          </w:p>
        </w:tc>
        <w:tc>
          <w:tcPr>
            <w:tcW w:w="3371" w:type="dxa"/>
            <w:tcBorders>
              <w:top w:val="single" w:sz="4" w:space="0" w:color="auto"/>
              <w:left w:val="single" w:sz="4" w:space="0" w:color="auto"/>
              <w:bottom w:val="single" w:sz="4" w:space="0" w:color="auto"/>
              <w:right w:val="single" w:sz="4" w:space="0" w:color="auto"/>
            </w:tcBorders>
          </w:tcPr>
          <w:p w14:paraId="73DA5541" w14:textId="47EEDE45"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April 2020 (</w:t>
            </w:r>
            <w:r w:rsidR="00432936">
              <w:rPr>
                <w:rFonts w:ascii="Times New Roman" w:hAnsi="Times New Roman" w:cs="Times New Roman"/>
                <w:szCs w:val="22"/>
              </w:rPr>
              <w:t>p</w:t>
            </w:r>
            <w:r w:rsidR="00432936" w:rsidRPr="00AC18ED">
              <w:rPr>
                <w:rFonts w:ascii="Times New Roman" w:hAnsi="Times New Roman" w:cs="Times New Roman"/>
                <w:szCs w:val="22"/>
              </w:rPr>
              <w:t>roposed</w:t>
            </w:r>
            <w:r w:rsidRPr="00AC18ED">
              <w:rPr>
                <w:rFonts w:ascii="Times New Roman" w:hAnsi="Times New Roman" w:cs="Times New Roman"/>
                <w:szCs w:val="22"/>
              </w:rPr>
              <w:t>)</w:t>
            </w:r>
          </w:p>
        </w:tc>
        <w:tc>
          <w:tcPr>
            <w:tcW w:w="1873" w:type="dxa"/>
            <w:vMerge/>
            <w:tcBorders>
              <w:left w:val="single" w:sz="4" w:space="0" w:color="auto"/>
              <w:right w:val="single" w:sz="4" w:space="0" w:color="auto"/>
            </w:tcBorders>
            <w:hideMark/>
          </w:tcPr>
          <w:p w14:paraId="1A058BC9"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r>
      <w:tr w:rsidR="00441F3A" w:rsidRPr="00AC18ED" w14:paraId="7FCDF667" w14:textId="77777777" w:rsidTr="008F64DA">
        <w:trPr>
          <w:trHeight w:val="139"/>
        </w:trPr>
        <w:tc>
          <w:tcPr>
            <w:tcW w:w="1530" w:type="dxa"/>
            <w:vMerge/>
            <w:tcBorders>
              <w:left w:val="single" w:sz="4" w:space="0" w:color="auto"/>
              <w:right w:val="single" w:sz="4" w:space="0" w:color="auto"/>
            </w:tcBorders>
          </w:tcPr>
          <w:p w14:paraId="13935B9E"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c>
          <w:tcPr>
            <w:tcW w:w="2316" w:type="dxa"/>
            <w:tcBorders>
              <w:top w:val="single" w:sz="4" w:space="0" w:color="auto"/>
              <w:left w:val="single" w:sz="4" w:space="0" w:color="auto"/>
              <w:bottom w:val="single" w:sz="4" w:space="0" w:color="auto"/>
              <w:right w:val="single" w:sz="4" w:space="0" w:color="auto"/>
            </w:tcBorders>
          </w:tcPr>
          <w:p w14:paraId="172E7413" w14:textId="77777777"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Benzene content in petrol &lt;1%</w:t>
            </w:r>
          </w:p>
        </w:tc>
        <w:tc>
          <w:tcPr>
            <w:tcW w:w="3371" w:type="dxa"/>
            <w:tcBorders>
              <w:top w:val="single" w:sz="4" w:space="0" w:color="auto"/>
              <w:left w:val="single" w:sz="4" w:space="0" w:color="auto"/>
              <w:bottom w:val="single" w:sz="4" w:space="0" w:color="auto"/>
              <w:right w:val="single" w:sz="4" w:space="0" w:color="auto"/>
            </w:tcBorders>
          </w:tcPr>
          <w:p w14:paraId="6C27AECD" w14:textId="77777777"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2016</w:t>
            </w:r>
          </w:p>
        </w:tc>
        <w:tc>
          <w:tcPr>
            <w:tcW w:w="1873" w:type="dxa"/>
            <w:vMerge/>
            <w:tcBorders>
              <w:left w:val="single" w:sz="4" w:space="0" w:color="auto"/>
              <w:bottom w:val="single" w:sz="4" w:space="0" w:color="auto"/>
              <w:right w:val="single" w:sz="4" w:space="0" w:color="auto"/>
            </w:tcBorders>
          </w:tcPr>
          <w:p w14:paraId="4969EDA0"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r>
      <w:tr w:rsidR="00441F3A" w:rsidRPr="00AC18ED" w14:paraId="523CA7E2" w14:textId="77777777" w:rsidTr="008F64DA">
        <w:trPr>
          <w:trHeight w:val="139"/>
        </w:trPr>
        <w:tc>
          <w:tcPr>
            <w:tcW w:w="1530" w:type="dxa"/>
            <w:vMerge/>
            <w:tcBorders>
              <w:left w:val="single" w:sz="4" w:space="0" w:color="auto"/>
              <w:bottom w:val="single" w:sz="4" w:space="0" w:color="auto"/>
              <w:right w:val="single" w:sz="4" w:space="0" w:color="auto"/>
            </w:tcBorders>
          </w:tcPr>
          <w:p w14:paraId="1B72C11C" w14:textId="77777777"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p>
        </w:tc>
        <w:tc>
          <w:tcPr>
            <w:tcW w:w="2316" w:type="dxa"/>
            <w:tcBorders>
              <w:top w:val="single" w:sz="4" w:space="0" w:color="auto"/>
              <w:left w:val="single" w:sz="4" w:space="0" w:color="auto"/>
              <w:bottom w:val="single" w:sz="4" w:space="0" w:color="auto"/>
              <w:right w:val="single" w:sz="4" w:space="0" w:color="auto"/>
            </w:tcBorders>
          </w:tcPr>
          <w:p w14:paraId="1C671409" w14:textId="7DC17651" w:rsidR="00441F3A" w:rsidRPr="00AC18ED" w:rsidRDefault="00441F3A"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 xml:space="preserve">Phasing out of </w:t>
            </w:r>
            <w:r w:rsidR="00432936" w:rsidRPr="00AC18ED">
              <w:rPr>
                <w:rFonts w:ascii="Times New Roman" w:hAnsi="Times New Roman" w:cs="Times New Roman"/>
                <w:szCs w:val="22"/>
              </w:rPr>
              <w:t>15</w:t>
            </w:r>
            <w:r w:rsidR="00432936">
              <w:rPr>
                <w:rFonts w:ascii="Times New Roman" w:hAnsi="Times New Roman" w:cs="Times New Roman"/>
                <w:szCs w:val="22"/>
              </w:rPr>
              <w:t>-</w:t>
            </w:r>
            <w:r w:rsidRPr="00AC18ED">
              <w:rPr>
                <w:rFonts w:ascii="Times New Roman" w:hAnsi="Times New Roman" w:cs="Times New Roman"/>
                <w:szCs w:val="22"/>
              </w:rPr>
              <w:t>year</w:t>
            </w:r>
            <w:r w:rsidR="00432936">
              <w:rPr>
                <w:rFonts w:ascii="Times New Roman" w:hAnsi="Times New Roman" w:cs="Times New Roman"/>
                <w:szCs w:val="22"/>
              </w:rPr>
              <w:t>-</w:t>
            </w:r>
            <w:r w:rsidRPr="00AC18ED">
              <w:rPr>
                <w:rFonts w:ascii="Times New Roman" w:hAnsi="Times New Roman" w:cs="Times New Roman"/>
                <w:szCs w:val="22"/>
              </w:rPr>
              <w:t xml:space="preserve">old vehicles </w:t>
            </w:r>
          </w:p>
        </w:tc>
        <w:tc>
          <w:tcPr>
            <w:tcW w:w="3371" w:type="dxa"/>
            <w:tcBorders>
              <w:top w:val="single" w:sz="4" w:space="0" w:color="auto"/>
              <w:left w:val="single" w:sz="4" w:space="0" w:color="auto"/>
              <w:bottom w:val="single" w:sz="4" w:space="0" w:color="auto"/>
              <w:right w:val="single" w:sz="4" w:space="0" w:color="auto"/>
            </w:tcBorders>
          </w:tcPr>
          <w:p w14:paraId="39784DF9" w14:textId="77777777" w:rsidR="00441F3A" w:rsidRPr="00AC18ED" w:rsidRDefault="00C729A4" w:rsidP="00AC18ED">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 xml:space="preserve">From </w:t>
            </w:r>
            <w:r w:rsidR="00441F3A" w:rsidRPr="00AC18ED">
              <w:rPr>
                <w:rFonts w:ascii="Times New Roman" w:hAnsi="Times New Roman" w:cs="Times New Roman"/>
                <w:szCs w:val="22"/>
              </w:rPr>
              <w:t>2009</w:t>
            </w:r>
          </w:p>
        </w:tc>
        <w:tc>
          <w:tcPr>
            <w:tcW w:w="1873" w:type="dxa"/>
            <w:tcBorders>
              <w:left w:val="single" w:sz="4" w:space="0" w:color="auto"/>
              <w:bottom w:val="single" w:sz="4" w:space="0" w:color="auto"/>
              <w:right w:val="single" w:sz="4" w:space="0" w:color="auto"/>
            </w:tcBorders>
          </w:tcPr>
          <w:p w14:paraId="575425D8" w14:textId="4748E895" w:rsidR="00441F3A" w:rsidRPr="00AC18ED" w:rsidRDefault="00441F3A" w:rsidP="00AC18ED">
            <w:pPr>
              <w:autoSpaceDE w:val="0"/>
              <w:autoSpaceDN w:val="0"/>
              <w:adjustRightInd w:val="0"/>
              <w:spacing w:after="120" w:line="276" w:lineRule="auto"/>
              <w:contextualSpacing/>
              <w:rPr>
                <w:rFonts w:ascii="Times New Roman" w:hAnsi="Times New Roman" w:cs="Times New Roman"/>
                <w:szCs w:val="22"/>
              </w:rPr>
            </w:pPr>
            <w:r w:rsidRPr="00AC18ED">
              <w:rPr>
                <w:rFonts w:ascii="Times New Roman" w:hAnsi="Times New Roman" w:cs="Times New Roman"/>
                <w:szCs w:val="22"/>
              </w:rPr>
              <w:t>DoE</w:t>
            </w:r>
            <w:r w:rsidR="00432936">
              <w:rPr>
                <w:rFonts w:ascii="Times New Roman" w:hAnsi="Times New Roman" w:cs="Times New Roman"/>
                <w:szCs w:val="22"/>
              </w:rPr>
              <w:t xml:space="preserve"> (</w:t>
            </w:r>
            <w:r w:rsidR="00C729A4" w:rsidRPr="00AC18ED">
              <w:rPr>
                <w:rFonts w:ascii="Times New Roman" w:hAnsi="Times New Roman" w:cs="Times New Roman"/>
                <w:szCs w:val="22"/>
              </w:rPr>
              <w:t>2008</w:t>
            </w:r>
            <w:r w:rsidR="00432936">
              <w:rPr>
                <w:rFonts w:ascii="Times New Roman" w:hAnsi="Times New Roman" w:cs="Times New Roman"/>
                <w:szCs w:val="22"/>
              </w:rPr>
              <w:t>)</w:t>
            </w:r>
            <w:r w:rsidRPr="00AC18ED">
              <w:rPr>
                <w:rFonts w:ascii="Times New Roman" w:hAnsi="Times New Roman" w:cs="Times New Roman"/>
                <w:szCs w:val="22"/>
              </w:rPr>
              <w:t xml:space="preserve">; DoE </w:t>
            </w:r>
            <w:r w:rsidR="00432936">
              <w:rPr>
                <w:rFonts w:ascii="Times New Roman" w:hAnsi="Times New Roman" w:cs="Times New Roman"/>
                <w:szCs w:val="22"/>
              </w:rPr>
              <w:t>(</w:t>
            </w:r>
            <w:r w:rsidRPr="00AC18ED">
              <w:rPr>
                <w:rFonts w:ascii="Times New Roman" w:hAnsi="Times New Roman" w:cs="Times New Roman"/>
                <w:szCs w:val="22"/>
              </w:rPr>
              <w:t>2010</w:t>
            </w:r>
            <w:r w:rsidR="00432936">
              <w:rPr>
                <w:rFonts w:ascii="Times New Roman" w:hAnsi="Times New Roman" w:cs="Times New Roman"/>
                <w:szCs w:val="22"/>
              </w:rPr>
              <w:t>)</w:t>
            </w:r>
          </w:p>
        </w:tc>
      </w:tr>
      <w:tr w:rsidR="00686DFB" w:rsidRPr="00AC18ED" w14:paraId="676F14EC" w14:textId="77777777" w:rsidTr="008F64DA">
        <w:trPr>
          <w:trHeight w:val="139"/>
        </w:trPr>
        <w:tc>
          <w:tcPr>
            <w:tcW w:w="1530" w:type="dxa"/>
            <w:tcBorders>
              <w:left w:val="single" w:sz="4" w:space="0" w:color="auto"/>
              <w:bottom w:val="single" w:sz="4" w:space="0" w:color="auto"/>
              <w:right w:val="single" w:sz="4" w:space="0" w:color="auto"/>
            </w:tcBorders>
          </w:tcPr>
          <w:p w14:paraId="7C016FD3" w14:textId="77777777" w:rsidR="00686DFB" w:rsidRPr="00AC18ED" w:rsidRDefault="00686DFB" w:rsidP="00AC18ED">
            <w:pPr>
              <w:autoSpaceDE w:val="0"/>
              <w:autoSpaceDN w:val="0"/>
              <w:adjustRightInd w:val="0"/>
              <w:spacing w:after="120" w:line="276" w:lineRule="auto"/>
              <w:contextualSpacing/>
              <w:rPr>
                <w:rFonts w:ascii="Times New Roman" w:hAnsi="Times New Roman" w:cs="Times New Roman"/>
                <w:szCs w:val="22"/>
              </w:rPr>
            </w:pPr>
            <w:r w:rsidRPr="00AC18ED">
              <w:rPr>
                <w:rFonts w:ascii="Times New Roman" w:hAnsi="Times New Roman" w:cs="Times New Roman"/>
                <w:szCs w:val="22"/>
              </w:rPr>
              <w:t>Industry</w:t>
            </w:r>
          </w:p>
        </w:tc>
        <w:tc>
          <w:tcPr>
            <w:tcW w:w="5687" w:type="dxa"/>
            <w:gridSpan w:val="2"/>
            <w:tcBorders>
              <w:top w:val="single" w:sz="4" w:space="0" w:color="auto"/>
              <w:left w:val="single" w:sz="4" w:space="0" w:color="auto"/>
              <w:bottom w:val="single" w:sz="4" w:space="0" w:color="auto"/>
              <w:right w:val="single" w:sz="4" w:space="0" w:color="auto"/>
            </w:tcBorders>
          </w:tcPr>
          <w:p w14:paraId="5E2BF2FA" w14:textId="25A783BD" w:rsidR="00686DFB" w:rsidRPr="00AC18ED" w:rsidRDefault="00686DFB" w:rsidP="002F2982">
            <w:pPr>
              <w:autoSpaceDE w:val="0"/>
              <w:autoSpaceDN w:val="0"/>
              <w:adjustRightInd w:val="0"/>
              <w:spacing w:after="120" w:line="276" w:lineRule="auto"/>
              <w:contextualSpacing/>
              <w:jc w:val="both"/>
              <w:rPr>
                <w:rFonts w:ascii="Times New Roman" w:hAnsi="Times New Roman" w:cs="Times New Roman"/>
                <w:szCs w:val="22"/>
              </w:rPr>
            </w:pPr>
            <w:r w:rsidRPr="00AC18ED">
              <w:rPr>
                <w:rFonts w:ascii="Times New Roman" w:hAnsi="Times New Roman" w:cs="Times New Roman"/>
                <w:szCs w:val="22"/>
              </w:rPr>
              <w:t>Air polluting industries</w:t>
            </w:r>
            <w:r w:rsidR="00432936">
              <w:rPr>
                <w:rFonts w:ascii="Times New Roman" w:hAnsi="Times New Roman" w:cs="Times New Roman"/>
                <w:szCs w:val="22"/>
              </w:rPr>
              <w:t xml:space="preserve"> are</w:t>
            </w:r>
            <w:r w:rsidRPr="00AC18ED">
              <w:rPr>
                <w:rFonts w:ascii="Times New Roman" w:hAnsi="Times New Roman" w:cs="Times New Roman"/>
                <w:szCs w:val="22"/>
              </w:rPr>
              <w:t xml:space="preserve"> not permitted within municipal areas of </w:t>
            </w:r>
            <w:r w:rsidR="00A7166F">
              <w:rPr>
                <w:rFonts w:ascii="Times New Roman" w:hAnsi="Times New Roman" w:cs="Times New Roman"/>
                <w:szCs w:val="22"/>
              </w:rPr>
              <w:t>KMC</w:t>
            </w:r>
          </w:p>
        </w:tc>
        <w:tc>
          <w:tcPr>
            <w:tcW w:w="1873" w:type="dxa"/>
            <w:tcBorders>
              <w:left w:val="single" w:sz="4" w:space="0" w:color="auto"/>
              <w:bottom w:val="single" w:sz="4" w:space="0" w:color="auto"/>
              <w:right w:val="single" w:sz="4" w:space="0" w:color="auto"/>
            </w:tcBorders>
          </w:tcPr>
          <w:p w14:paraId="57154E70" w14:textId="6964E1EA" w:rsidR="00686DFB" w:rsidRPr="00AC18ED" w:rsidRDefault="00686DFB" w:rsidP="00AC18ED">
            <w:pPr>
              <w:autoSpaceDE w:val="0"/>
              <w:autoSpaceDN w:val="0"/>
              <w:adjustRightInd w:val="0"/>
              <w:spacing w:after="120" w:line="276" w:lineRule="auto"/>
              <w:contextualSpacing/>
              <w:rPr>
                <w:rFonts w:ascii="Times New Roman" w:hAnsi="Times New Roman" w:cs="Times New Roman"/>
                <w:szCs w:val="22"/>
              </w:rPr>
            </w:pPr>
            <w:r w:rsidRPr="00AC18ED">
              <w:rPr>
                <w:rFonts w:ascii="Times New Roman" w:hAnsi="Times New Roman" w:cs="Times New Roman"/>
                <w:szCs w:val="22"/>
              </w:rPr>
              <w:t xml:space="preserve">WBPCB </w:t>
            </w:r>
            <w:r w:rsidR="00432936">
              <w:rPr>
                <w:rFonts w:ascii="Times New Roman" w:hAnsi="Times New Roman" w:cs="Times New Roman"/>
                <w:szCs w:val="22"/>
              </w:rPr>
              <w:t>(</w:t>
            </w:r>
            <w:r w:rsidRPr="00AC18ED">
              <w:rPr>
                <w:rFonts w:ascii="Times New Roman" w:hAnsi="Times New Roman" w:cs="Times New Roman"/>
                <w:szCs w:val="22"/>
              </w:rPr>
              <w:t>2016</w:t>
            </w:r>
            <w:r w:rsidR="00432936">
              <w:rPr>
                <w:rFonts w:ascii="Times New Roman" w:hAnsi="Times New Roman" w:cs="Times New Roman"/>
                <w:szCs w:val="22"/>
              </w:rPr>
              <w:t>)</w:t>
            </w:r>
          </w:p>
        </w:tc>
      </w:tr>
    </w:tbl>
    <w:p w14:paraId="2B8293B4" w14:textId="1DFBC8AE" w:rsidR="00E70C70" w:rsidRPr="002A73C5" w:rsidRDefault="00C21556" w:rsidP="00AC18ED">
      <w:pPr>
        <w:spacing w:after="120" w:line="276" w:lineRule="auto"/>
        <w:jc w:val="both"/>
        <w:rPr>
          <w:rFonts w:ascii="Times New Roman" w:hAnsi="Times New Roman"/>
          <w:sz w:val="20"/>
        </w:rPr>
      </w:pPr>
      <w:r w:rsidRPr="002A73C5">
        <w:rPr>
          <w:rFonts w:ascii="Times New Roman" w:hAnsi="Times New Roman"/>
          <w:sz w:val="20"/>
          <w:vertAlign w:val="superscript"/>
        </w:rPr>
        <w:t>*</w:t>
      </w:r>
      <w:r w:rsidRPr="002A73C5">
        <w:rPr>
          <w:rFonts w:ascii="Times New Roman" w:hAnsi="Times New Roman"/>
          <w:sz w:val="20"/>
        </w:rPr>
        <w:t>Loose 2-T oil</w:t>
      </w:r>
      <w:r w:rsidR="00512916" w:rsidRPr="002A73C5">
        <w:rPr>
          <w:rFonts w:ascii="Times New Roman" w:hAnsi="Times New Roman"/>
          <w:sz w:val="20"/>
        </w:rPr>
        <w:t xml:space="preserve"> </w:t>
      </w:r>
      <w:r w:rsidR="00432936" w:rsidRPr="002A73C5">
        <w:rPr>
          <w:rFonts w:ascii="Times New Roman" w:hAnsi="Times New Roman"/>
          <w:sz w:val="20"/>
        </w:rPr>
        <w:t>used to be sold on the</w:t>
      </w:r>
      <w:r w:rsidR="00774A64" w:rsidRPr="002A73C5">
        <w:rPr>
          <w:rFonts w:ascii="Times New Roman" w:hAnsi="Times New Roman"/>
          <w:sz w:val="20"/>
        </w:rPr>
        <w:t xml:space="preserve"> </w:t>
      </w:r>
      <w:r w:rsidR="00993B17" w:rsidRPr="002A73C5">
        <w:rPr>
          <w:rFonts w:ascii="Times New Roman" w:hAnsi="Times New Roman"/>
          <w:sz w:val="20"/>
        </w:rPr>
        <w:t xml:space="preserve">open market </w:t>
      </w:r>
      <w:r w:rsidR="003D1323" w:rsidRPr="002A73C5">
        <w:rPr>
          <w:rFonts w:ascii="Times New Roman" w:hAnsi="Times New Roman"/>
          <w:sz w:val="20"/>
        </w:rPr>
        <w:t xml:space="preserve">as </w:t>
      </w:r>
      <w:r w:rsidR="00986CC3" w:rsidRPr="002A73C5">
        <w:rPr>
          <w:rFonts w:ascii="Times New Roman" w:hAnsi="Times New Roman"/>
          <w:sz w:val="20"/>
        </w:rPr>
        <w:t>fuel for 2-stroke petrol vehicle</w:t>
      </w:r>
      <w:r w:rsidR="00432936" w:rsidRPr="002A73C5">
        <w:rPr>
          <w:rFonts w:ascii="Times New Roman" w:hAnsi="Times New Roman"/>
          <w:sz w:val="20"/>
        </w:rPr>
        <w:t>s; mainly used in 3-wheelers and 2-stroke vehicles locally known as “katatel, 2-T</w:t>
      </w:r>
      <w:r w:rsidR="00774A64" w:rsidRPr="002A73C5">
        <w:rPr>
          <w:rFonts w:ascii="Times New Roman" w:hAnsi="Times New Roman"/>
          <w:sz w:val="20"/>
        </w:rPr>
        <w:t xml:space="preserve"> </w:t>
      </w:r>
      <w:r w:rsidR="003D1323" w:rsidRPr="002A73C5">
        <w:rPr>
          <w:rFonts w:ascii="Times New Roman" w:hAnsi="Times New Roman"/>
          <w:sz w:val="20"/>
        </w:rPr>
        <w:t xml:space="preserve">was </w:t>
      </w:r>
      <w:r w:rsidR="00EC3A22" w:rsidRPr="002A73C5">
        <w:rPr>
          <w:rFonts w:ascii="Times New Roman" w:hAnsi="Times New Roman"/>
          <w:sz w:val="20"/>
        </w:rPr>
        <w:t xml:space="preserve">often blended </w:t>
      </w:r>
      <w:r w:rsidR="00432936" w:rsidRPr="002A73C5">
        <w:rPr>
          <w:rFonts w:ascii="Times New Roman" w:hAnsi="Times New Roman"/>
          <w:sz w:val="20"/>
        </w:rPr>
        <w:t>locally</w:t>
      </w:r>
      <w:r w:rsidR="00432936" w:rsidRPr="002A73C5" w:rsidDel="00432936">
        <w:rPr>
          <w:rFonts w:ascii="Times New Roman" w:hAnsi="Times New Roman"/>
          <w:sz w:val="20"/>
        </w:rPr>
        <w:t xml:space="preserve"> </w:t>
      </w:r>
      <w:r w:rsidR="00432936" w:rsidRPr="002A73C5">
        <w:rPr>
          <w:rFonts w:ascii="Times New Roman" w:hAnsi="Times New Roman"/>
          <w:sz w:val="20"/>
        </w:rPr>
        <w:t>with a cheap</w:t>
      </w:r>
      <w:r w:rsidR="00774A64" w:rsidRPr="002A73C5">
        <w:rPr>
          <w:rFonts w:ascii="Times New Roman" w:hAnsi="Times New Roman"/>
          <w:sz w:val="20"/>
        </w:rPr>
        <w:t xml:space="preserve"> </w:t>
      </w:r>
      <w:r w:rsidR="00432936" w:rsidRPr="002A73C5">
        <w:rPr>
          <w:rFonts w:ascii="Times New Roman" w:hAnsi="Times New Roman"/>
          <w:sz w:val="20"/>
        </w:rPr>
        <w:t>adulterant and had a high air-pollution potential.</w:t>
      </w:r>
      <w:r w:rsidR="00774A64" w:rsidRPr="002A73C5">
        <w:rPr>
          <w:rFonts w:ascii="Times New Roman" w:hAnsi="Times New Roman"/>
          <w:sz w:val="20"/>
        </w:rPr>
        <w:t xml:space="preserve"> </w:t>
      </w:r>
    </w:p>
    <w:p w14:paraId="36F9CB2D" w14:textId="27F44DAC" w:rsidR="003D1323" w:rsidRDefault="003D1323" w:rsidP="00AC18ED">
      <w:pPr>
        <w:spacing w:after="120" w:line="276" w:lineRule="auto"/>
        <w:jc w:val="both"/>
        <w:rPr>
          <w:rFonts w:ascii="Times New Roman" w:hAnsi="Times New Roman" w:cs="Times New Roman"/>
          <w:szCs w:val="22"/>
        </w:rPr>
      </w:pPr>
    </w:p>
    <w:p w14:paraId="62548E88" w14:textId="77777777" w:rsidR="003D1323" w:rsidRPr="00AC18ED" w:rsidRDefault="003D1323" w:rsidP="00AC18ED">
      <w:pPr>
        <w:spacing w:after="120" w:line="276" w:lineRule="auto"/>
        <w:jc w:val="both"/>
        <w:rPr>
          <w:rFonts w:ascii="Times New Roman" w:hAnsi="Times New Roman" w:cs="Times New Roman"/>
          <w:szCs w:val="22"/>
        </w:rPr>
      </w:pPr>
    </w:p>
    <w:p w14:paraId="4B691E6E" w14:textId="77777777" w:rsidR="00BB5CF9" w:rsidRPr="00AC18ED" w:rsidRDefault="00BB5CF9" w:rsidP="00AC18ED">
      <w:pPr>
        <w:autoSpaceDE w:val="0"/>
        <w:autoSpaceDN w:val="0"/>
        <w:adjustRightInd w:val="0"/>
        <w:spacing w:after="120"/>
        <w:ind w:left="360"/>
        <w:jc w:val="both"/>
        <w:rPr>
          <w:rFonts w:ascii="Times New Roman" w:hAnsi="Times New Roman" w:cs="Times New Roman"/>
          <w:color w:val="FF0000"/>
          <w:highlight w:val="yellow"/>
        </w:rPr>
      </w:pPr>
    </w:p>
    <w:p w14:paraId="1AC14B17" w14:textId="77777777" w:rsidR="000E1BC6" w:rsidRPr="00AC18ED" w:rsidRDefault="000E1BC6" w:rsidP="00AC18ED">
      <w:pPr>
        <w:autoSpaceDE w:val="0"/>
        <w:autoSpaceDN w:val="0"/>
        <w:adjustRightInd w:val="0"/>
        <w:spacing w:after="120"/>
        <w:ind w:left="360"/>
        <w:jc w:val="both"/>
        <w:rPr>
          <w:rFonts w:ascii="Times New Roman" w:hAnsi="Times New Roman" w:cs="Times New Roman"/>
          <w:color w:val="FF0000"/>
          <w:highlight w:val="yellow"/>
        </w:rPr>
      </w:pPr>
    </w:p>
    <w:p w14:paraId="046A5EC4" w14:textId="77777777" w:rsidR="000E1BC6" w:rsidRPr="00AC18ED" w:rsidRDefault="000E1BC6" w:rsidP="00AC18ED">
      <w:pPr>
        <w:autoSpaceDE w:val="0"/>
        <w:autoSpaceDN w:val="0"/>
        <w:adjustRightInd w:val="0"/>
        <w:spacing w:after="120"/>
        <w:ind w:left="360"/>
        <w:jc w:val="both"/>
        <w:rPr>
          <w:rFonts w:ascii="Times New Roman" w:hAnsi="Times New Roman" w:cs="Times New Roman"/>
          <w:color w:val="FF0000"/>
          <w:highlight w:val="yellow"/>
        </w:rPr>
      </w:pPr>
    </w:p>
    <w:p w14:paraId="7FC23B86" w14:textId="77777777" w:rsidR="000E1BC6" w:rsidRPr="00AC18ED" w:rsidRDefault="000E1BC6" w:rsidP="00AC18ED">
      <w:pPr>
        <w:autoSpaceDE w:val="0"/>
        <w:autoSpaceDN w:val="0"/>
        <w:adjustRightInd w:val="0"/>
        <w:spacing w:after="120"/>
        <w:ind w:left="360"/>
        <w:jc w:val="both"/>
        <w:rPr>
          <w:rFonts w:ascii="Times New Roman" w:hAnsi="Times New Roman" w:cs="Times New Roman"/>
          <w:color w:val="FF0000"/>
          <w:highlight w:val="yellow"/>
        </w:rPr>
      </w:pPr>
    </w:p>
    <w:p w14:paraId="597277F8" w14:textId="77777777" w:rsidR="000E1BC6" w:rsidRPr="00AC18ED" w:rsidRDefault="000E1BC6" w:rsidP="00AC18ED">
      <w:pPr>
        <w:autoSpaceDE w:val="0"/>
        <w:autoSpaceDN w:val="0"/>
        <w:adjustRightInd w:val="0"/>
        <w:spacing w:after="120"/>
        <w:ind w:left="360"/>
        <w:jc w:val="both"/>
        <w:rPr>
          <w:rFonts w:ascii="Times New Roman" w:hAnsi="Times New Roman" w:cs="Times New Roman"/>
          <w:color w:val="FF0000"/>
          <w:highlight w:val="yellow"/>
        </w:rPr>
      </w:pPr>
    </w:p>
    <w:p w14:paraId="17713B57" w14:textId="77777777" w:rsidR="000E1BC6" w:rsidRPr="00AC18ED" w:rsidRDefault="000E1BC6" w:rsidP="00AC18ED">
      <w:pPr>
        <w:autoSpaceDE w:val="0"/>
        <w:autoSpaceDN w:val="0"/>
        <w:adjustRightInd w:val="0"/>
        <w:spacing w:after="120"/>
        <w:ind w:left="360"/>
        <w:jc w:val="both"/>
        <w:rPr>
          <w:rFonts w:ascii="Times New Roman" w:hAnsi="Times New Roman" w:cs="Times New Roman"/>
          <w:color w:val="FF0000"/>
          <w:highlight w:val="yellow"/>
        </w:rPr>
      </w:pPr>
    </w:p>
    <w:p w14:paraId="6DFE2EB4" w14:textId="77777777" w:rsidR="000E1BC6" w:rsidRPr="00AC18ED" w:rsidRDefault="000E1BC6" w:rsidP="00AC18ED">
      <w:pPr>
        <w:autoSpaceDE w:val="0"/>
        <w:autoSpaceDN w:val="0"/>
        <w:adjustRightInd w:val="0"/>
        <w:spacing w:after="120"/>
        <w:ind w:left="360"/>
        <w:jc w:val="both"/>
        <w:rPr>
          <w:rFonts w:ascii="Times New Roman" w:hAnsi="Times New Roman" w:cs="Times New Roman"/>
          <w:color w:val="FF0000"/>
          <w:highlight w:val="yellow"/>
        </w:rPr>
      </w:pPr>
    </w:p>
    <w:p w14:paraId="3A7C1BF7" w14:textId="49FE6C5E" w:rsidR="004A226B" w:rsidRPr="00AC18ED" w:rsidRDefault="003D1323" w:rsidP="00AC18ED">
      <w:pPr>
        <w:pStyle w:val="Heading1"/>
        <w:numPr>
          <w:ilvl w:val="0"/>
          <w:numId w:val="11"/>
        </w:numPr>
        <w:spacing w:before="0" w:after="120" w:line="276" w:lineRule="auto"/>
        <w:rPr>
          <w:rFonts w:ascii="Times New Roman" w:hAnsi="Times New Roman" w:cs="Times New Roman"/>
          <w:b/>
          <w:sz w:val="24"/>
          <w:szCs w:val="22"/>
        </w:rPr>
      </w:pPr>
      <w:bookmarkStart w:id="15" w:name="_Toc22630734"/>
      <w:r w:rsidRPr="00AC18ED">
        <w:rPr>
          <w:rFonts w:ascii="Times New Roman" w:hAnsi="Times New Roman" w:cs="Times New Roman"/>
          <w:b/>
          <w:sz w:val="24"/>
          <w:szCs w:val="22"/>
        </w:rPr>
        <w:lastRenderedPageBreak/>
        <w:t>Multi</w:t>
      </w:r>
      <w:r>
        <w:rPr>
          <w:rFonts w:ascii="Times New Roman" w:hAnsi="Times New Roman" w:cs="Times New Roman"/>
          <w:b/>
          <w:sz w:val="24"/>
          <w:szCs w:val="22"/>
        </w:rPr>
        <w:t>-</w:t>
      </w:r>
      <w:r w:rsidR="004A226B" w:rsidRPr="00AC18ED">
        <w:rPr>
          <w:rFonts w:ascii="Times New Roman" w:hAnsi="Times New Roman" w:cs="Times New Roman"/>
          <w:b/>
          <w:sz w:val="24"/>
          <w:szCs w:val="22"/>
        </w:rPr>
        <w:t>pollutant emission</w:t>
      </w:r>
      <w:r w:rsidR="00432936">
        <w:rPr>
          <w:rFonts w:ascii="Times New Roman" w:hAnsi="Times New Roman" w:cs="Times New Roman"/>
          <w:b/>
          <w:sz w:val="24"/>
          <w:szCs w:val="22"/>
        </w:rPr>
        <w:t>s</w:t>
      </w:r>
      <w:r w:rsidR="004A226B" w:rsidRPr="00AC18ED">
        <w:rPr>
          <w:rFonts w:ascii="Times New Roman" w:hAnsi="Times New Roman" w:cs="Times New Roman"/>
          <w:b/>
          <w:sz w:val="24"/>
          <w:szCs w:val="22"/>
        </w:rPr>
        <w:t xml:space="preserve"> </w:t>
      </w:r>
      <w:r>
        <w:rPr>
          <w:rFonts w:ascii="Times New Roman" w:hAnsi="Times New Roman" w:cs="Times New Roman"/>
          <w:b/>
          <w:sz w:val="24"/>
          <w:szCs w:val="22"/>
        </w:rPr>
        <w:t>i</w:t>
      </w:r>
      <w:r w:rsidRPr="00AC18ED">
        <w:rPr>
          <w:rFonts w:ascii="Times New Roman" w:hAnsi="Times New Roman" w:cs="Times New Roman"/>
          <w:b/>
          <w:sz w:val="24"/>
          <w:szCs w:val="22"/>
        </w:rPr>
        <w:t xml:space="preserve">nventory </w:t>
      </w:r>
      <w:r w:rsidR="004A226B" w:rsidRPr="00AC18ED">
        <w:rPr>
          <w:rFonts w:ascii="Times New Roman" w:hAnsi="Times New Roman" w:cs="Times New Roman"/>
          <w:b/>
          <w:sz w:val="24"/>
          <w:szCs w:val="22"/>
        </w:rPr>
        <w:t xml:space="preserve">for Kolkata Metropolitan </w:t>
      </w:r>
      <w:r w:rsidR="006C23B9">
        <w:rPr>
          <w:rFonts w:ascii="Times New Roman" w:hAnsi="Times New Roman" w:cs="Times New Roman"/>
          <w:b/>
          <w:sz w:val="24"/>
          <w:szCs w:val="22"/>
        </w:rPr>
        <w:t>City</w:t>
      </w:r>
      <w:r w:rsidR="004A226B" w:rsidRPr="00AC18ED">
        <w:rPr>
          <w:rFonts w:ascii="Times New Roman" w:hAnsi="Times New Roman" w:cs="Times New Roman"/>
          <w:b/>
          <w:sz w:val="24"/>
          <w:szCs w:val="22"/>
        </w:rPr>
        <w:t xml:space="preserve"> (</w:t>
      </w:r>
      <w:r w:rsidR="00A7166F">
        <w:rPr>
          <w:rFonts w:ascii="Times New Roman" w:hAnsi="Times New Roman" w:cs="Times New Roman"/>
          <w:b/>
          <w:sz w:val="24"/>
          <w:szCs w:val="22"/>
        </w:rPr>
        <w:t>KMC</w:t>
      </w:r>
      <w:r w:rsidR="004A226B" w:rsidRPr="00AC18ED">
        <w:rPr>
          <w:rFonts w:ascii="Times New Roman" w:hAnsi="Times New Roman" w:cs="Times New Roman"/>
          <w:b/>
          <w:sz w:val="24"/>
          <w:szCs w:val="22"/>
        </w:rPr>
        <w:t>)</w:t>
      </w:r>
      <w:bookmarkEnd w:id="15"/>
    </w:p>
    <w:p w14:paraId="4649B45D" w14:textId="4AC700D6" w:rsidR="004A226B" w:rsidRPr="00AC18ED" w:rsidRDefault="003D1323" w:rsidP="00AC18ED">
      <w:pPr>
        <w:spacing w:after="120" w:line="276" w:lineRule="auto"/>
        <w:jc w:val="both"/>
        <w:rPr>
          <w:rFonts w:ascii="Times New Roman" w:hAnsi="Times New Roman" w:cs="Times New Roman"/>
          <w:szCs w:val="22"/>
        </w:rPr>
      </w:pPr>
      <w:r>
        <w:rPr>
          <w:rFonts w:ascii="Times New Roman" w:hAnsi="Times New Roman" w:cs="Times New Roman"/>
          <w:szCs w:val="22"/>
        </w:rPr>
        <w:t>The e</w:t>
      </w:r>
      <w:r w:rsidRPr="00AC18ED">
        <w:rPr>
          <w:rFonts w:ascii="Times New Roman" w:hAnsi="Times New Roman" w:cs="Times New Roman"/>
          <w:szCs w:val="22"/>
        </w:rPr>
        <w:t xml:space="preserve">missions </w:t>
      </w:r>
      <w:r w:rsidR="004A226B" w:rsidRPr="00AC18ED">
        <w:rPr>
          <w:rFonts w:ascii="Times New Roman" w:hAnsi="Times New Roman" w:cs="Times New Roman"/>
          <w:szCs w:val="22"/>
        </w:rPr>
        <w:t>inventory for 2010</w:t>
      </w:r>
      <w:r w:rsidR="0049140C" w:rsidRPr="00AC18ED">
        <w:rPr>
          <w:rFonts w:ascii="Times New Roman" w:hAnsi="Times New Roman" w:cs="Times New Roman"/>
          <w:szCs w:val="22"/>
        </w:rPr>
        <w:t xml:space="preserve"> and 2015</w:t>
      </w:r>
      <w:r w:rsidR="004A226B" w:rsidRPr="00AC18ED">
        <w:rPr>
          <w:rFonts w:ascii="Times New Roman" w:hAnsi="Times New Roman" w:cs="Times New Roman"/>
          <w:szCs w:val="22"/>
        </w:rPr>
        <w:t xml:space="preserve"> presented for Kolkata Metropolitan </w:t>
      </w:r>
      <w:r w:rsidR="00EB335A">
        <w:rPr>
          <w:rFonts w:ascii="Times New Roman" w:hAnsi="Times New Roman" w:cs="Times New Roman"/>
          <w:szCs w:val="22"/>
        </w:rPr>
        <w:t>City</w:t>
      </w:r>
      <w:r w:rsidR="00EB335A" w:rsidRPr="00AC18ED">
        <w:rPr>
          <w:rFonts w:ascii="Times New Roman" w:hAnsi="Times New Roman" w:cs="Times New Roman"/>
          <w:szCs w:val="22"/>
        </w:rPr>
        <w:t xml:space="preserve"> </w:t>
      </w:r>
      <w:r w:rsidR="00BC501D">
        <w:rPr>
          <w:rFonts w:ascii="Times New Roman" w:hAnsi="Times New Roman" w:cs="Times New Roman"/>
          <w:szCs w:val="22"/>
        </w:rPr>
        <w:t>(KM</w:t>
      </w:r>
      <w:r w:rsidR="00EB335A">
        <w:rPr>
          <w:rFonts w:ascii="Times New Roman" w:hAnsi="Times New Roman" w:cs="Times New Roman"/>
          <w:szCs w:val="22"/>
        </w:rPr>
        <w:t>C</w:t>
      </w:r>
      <w:r w:rsidR="00BC501D">
        <w:rPr>
          <w:rFonts w:ascii="Times New Roman" w:hAnsi="Times New Roman" w:cs="Times New Roman"/>
          <w:szCs w:val="22"/>
        </w:rPr>
        <w:t xml:space="preserve">) </w:t>
      </w:r>
      <w:r w:rsidR="00EB335A">
        <w:rPr>
          <w:rFonts w:ascii="Times New Roman" w:hAnsi="Times New Roman" w:cs="Times New Roman"/>
          <w:szCs w:val="22"/>
        </w:rPr>
        <w:t>also reffred to as Kolkata Metropolitan</w:t>
      </w:r>
      <w:r w:rsidR="00703298">
        <w:rPr>
          <w:rFonts w:ascii="Times New Roman" w:hAnsi="Times New Roman" w:cs="Times New Roman"/>
          <w:szCs w:val="22"/>
        </w:rPr>
        <w:t xml:space="preserve"> Area (KMA) </w:t>
      </w:r>
      <w:r w:rsidR="004A226B" w:rsidRPr="00AC18ED">
        <w:rPr>
          <w:rFonts w:ascii="Times New Roman" w:hAnsi="Times New Roman" w:cs="Times New Roman"/>
          <w:szCs w:val="22"/>
        </w:rPr>
        <w:t xml:space="preserve">is based on activity data and emission factors for different sectors including </w:t>
      </w:r>
      <w:r>
        <w:rPr>
          <w:rFonts w:ascii="Times New Roman" w:hAnsi="Times New Roman" w:cs="Times New Roman"/>
          <w:szCs w:val="22"/>
        </w:rPr>
        <w:t xml:space="preserve">the </w:t>
      </w:r>
      <w:r w:rsidR="004A226B" w:rsidRPr="00AC18ED">
        <w:rPr>
          <w:rFonts w:ascii="Times New Roman" w:hAnsi="Times New Roman" w:cs="Times New Roman"/>
          <w:szCs w:val="22"/>
        </w:rPr>
        <w:t>transport, power/industry, residential/commercial</w:t>
      </w:r>
      <w:r>
        <w:rPr>
          <w:rFonts w:ascii="Times New Roman" w:hAnsi="Times New Roman" w:cs="Times New Roman"/>
          <w:szCs w:val="22"/>
        </w:rPr>
        <w:t>,</w:t>
      </w:r>
      <w:r w:rsidR="004A226B" w:rsidRPr="00AC18ED">
        <w:rPr>
          <w:rFonts w:ascii="Times New Roman" w:hAnsi="Times New Roman" w:cs="Times New Roman"/>
          <w:szCs w:val="22"/>
        </w:rPr>
        <w:t xml:space="preserve"> and agriculture sectors. Key assumptions and data sources are briefly discussed in the following subsections:</w:t>
      </w:r>
    </w:p>
    <w:p w14:paraId="14992144" w14:textId="77777777" w:rsidR="001C5298" w:rsidRPr="00AC18ED" w:rsidRDefault="001C5298" w:rsidP="00AC18ED">
      <w:pPr>
        <w:pStyle w:val="Heading2"/>
        <w:numPr>
          <w:ilvl w:val="1"/>
          <w:numId w:val="11"/>
        </w:numPr>
        <w:spacing w:before="0" w:after="120" w:line="276" w:lineRule="auto"/>
        <w:contextualSpacing/>
        <w:rPr>
          <w:rFonts w:ascii="Times New Roman" w:hAnsi="Times New Roman" w:cs="Times New Roman"/>
          <w:sz w:val="22"/>
          <w:szCs w:val="22"/>
        </w:rPr>
      </w:pPr>
      <w:bookmarkStart w:id="16" w:name="_Toc22630735"/>
      <w:r w:rsidRPr="00AC18ED">
        <w:rPr>
          <w:rFonts w:ascii="Times New Roman" w:hAnsi="Times New Roman" w:cs="Times New Roman"/>
          <w:sz w:val="22"/>
          <w:szCs w:val="22"/>
        </w:rPr>
        <w:t xml:space="preserve">Industrial </w:t>
      </w:r>
      <w:r w:rsidR="00B274A9" w:rsidRPr="00AC18ED">
        <w:rPr>
          <w:rFonts w:ascii="Times New Roman" w:hAnsi="Times New Roman" w:cs="Times New Roman"/>
          <w:sz w:val="22"/>
          <w:szCs w:val="22"/>
        </w:rPr>
        <w:t>Sector</w:t>
      </w:r>
      <w:bookmarkEnd w:id="16"/>
    </w:p>
    <w:p w14:paraId="519DDA23" w14:textId="084EFFD8" w:rsidR="00B274A9" w:rsidRPr="00AC18ED" w:rsidRDefault="001C5298" w:rsidP="00AC18ED">
      <w:pPr>
        <w:spacing w:after="120" w:line="276" w:lineRule="auto"/>
        <w:jc w:val="both"/>
        <w:rPr>
          <w:rFonts w:ascii="Times New Roman" w:hAnsi="Times New Roman" w:cs="Times New Roman"/>
          <w:szCs w:val="22"/>
        </w:rPr>
      </w:pPr>
      <w:r w:rsidRPr="00AC18ED">
        <w:rPr>
          <w:rFonts w:ascii="Times New Roman" w:hAnsi="Times New Roman" w:cs="Times New Roman"/>
          <w:szCs w:val="22"/>
        </w:rPr>
        <w:t>The number of operational industries within the K</w:t>
      </w:r>
      <w:r w:rsidR="00BC501D">
        <w:rPr>
          <w:rFonts w:ascii="Times New Roman" w:hAnsi="Times New Roman" w:cs="Times New Roman"/>
          <w:szCs w:val="22"/>
        </w:rPr>
        <w:t xml:space="preserve">MA </w:t>
      </w:r>
      <w:r w:rsidRPr="00AC18ED">
        <w:rPr>
          <w:rFonts w:ascii="Times New Roman" w:hAnsi="Times New Roman" w:cs="Times New Roman"/>
          <w:szCs w:val="22"/>
        </w:rPr>
        <w:t>was about 1</w:t>
      </w:r>
      <w:r w:rsidR="00432936">
        <w:rPr>
          <w:rFonts w:ascii="Times New Roman" w:hAnsi="Times New Roman" w:cs="Times New Roman"/>
          <w:szCs w:val="22"/>
        </w:rPr>
        <w:t>,</w:t>
      </w:r>
      <w:r w:rsidRPr="00AC18ED">
        <w:rPr>
          <w:rFonts w:ascii="Times New Roman" w:hAnsi="Times New Roman" w:cs="Times New Roman"/>
          <w:szCs w:val="22"/>
        </w:rPr>
        <w:t>160</w:t>
      </w:r>
      <w:r w:rsidR="003D1323">
        <w:rPr>
          <w:rFonts w:ascii="Times New Roman" w:hAnsi="Times New Roman" w:cs="Times New Roman"/>
          <w:szCs w:val="22"/>
        </w:rPr>
        <w:t>, which</w:t>
      </w:r>
      <w:r w:rsidR="00774A64">
        <w:rPr>
          <w:rFonts w:ascii="Times New Roman" w:hAnsi="Times New Roman" w:cs="Times New Roman"/>
          <w:szCs w:val="22"/>
        </w:rPr>
        <w:t xml:space="preserve"> </w:t>
      </w:r>
      <w:r w:rsidRPr="00AC18ED">
        <w:rPr>
          <w:rFonts w:ascii="Times New Roman" w:hAnsi="Times New Roman" w:cs="Times New Roman"/>
          <w:szCs w:val="22"/>
        </w:rPr>
        <w:t>includes metallurgy, tanneries, textile</w:t>
      </w:r>
      <w:r w:rsidR="003D1323">
        <w:rPr>
          <w:rFonts w:ascii="Times New Roman" w:hAnsi="Times New Roman" w:cs="Times New Roman"/>
          <w:szCs w:val="22"/>
        </w:rPr>
        <w:t>s</w:t>
      </w:r>
      <w:r w:rsidRPr="00AC18ED">
        <w:rPr>
          <w:rFonts w:ascii="Times New Roman" w:hAnsi="Times New Roman" w:cs="Times New Roman"/>
          <w:szCs w:val="22"/>
        </w:rPr>
        <w:t>, chemical</w:t>
      </w:r>
      <w:r w:rsidR="003D1323">
        <w:rPr>
          <w:rFonts w:ascii="Times New Roman" w:hAnsi="Times New Roman" w:cs="Times New Roman"/>
          <w:szCs w:val="22"/>
        </w:rPr>
        <w:t>s</w:t>
      </w:r>
      <w:r w:rsidRPr="00AC18ED">
        <w:rPr>
          <w:rFonts w:ascii="Times New Roman" w:hAnsi="Times New Roman" w:cs="Times New Roman"/>
          <w:szCs w:val="22"/>
        </w:rPr>
        <w:t>, engineering, paper and pulp, bakery</w:t>
      </w:r>
      <w:r w:rsidR="003D1323">
        <w:rPr>
          <w:rFonts w:ascii="Times New Roman" w:hAnsi="Times New Roman" w:cs="Times New Roman"/>
          <w:szCs w:val="22"/>
        </w:rPr>
        <w:t>,</w:t>
      </w:r>
      <w:r w:rsidRPr="00AC18ED">
        <w:rPr>
          <w:rFonts w:ascii="Times New Roman" w:hAnsi="Times New Roman" w:cs="Times New Roman"/>
          <w:szCs w:val="22"/>
        </w:rPr>
        <w:t xml:space="preserve"> and many others.</w:t>
      </w:r>
      <w:r w:rsidR="00BF33B3" w:rsidRPr="00AC18ED">
        <w:rPr>
          <w:rFonts w:ascii="Times New Roman" w:hAnsi="Times New Roman" w:cs="Times New Roman"/>
          <w:szCs w:val="22"/>
        </w:rPr>
        <w:t xml:space="preserve"> </w:t>
      </w:r>
      <w:r w:rsidR="00044244" w:rsidRPr="00AC18ED">
        <w:rPr>
          <w:rFonts w:ascii="Times New Roman" w:hAnsi="Times New Roman" w:cs="Times New Roman"/>
          <w:szCs w:val="22"/>
        </w:rPr>
        <w:t>M</w:t>
      </w:r>
      <w:r w:rsidR="00B274A9" w:rsidRPr="00AC18ED">
        <w:rPr>
          <w:rFonts w:ascii="Times New Roman" w:hAnsi="Times New Roman" w:cs="Times New Roman"/>
          <w:szCs w:val="22"/>
        </w:rPr>
        <w:t>ost of the</w:t>
      </w:r>
      <w:r w:rsidR="00044244" w:rsidRPr="00AC18ED">
        <w:rPr>
          <w:rFonts w:ascii="Times New Roman" w:hAnsi="Times New Roman" w:cs="Times New Roman"/>
          <w:szCs w:val="22"/>
        </w:rPr>
        <w:t>se</w:t>
      </w:r>
      <w:r w:rsidR="00B274A9" w:rsidRPr="00AC18ED">
        <w:rPr>
          <w:rFonts w:ascii="Times New Roman" w:hAnsi="Times New Roman" w:cs="Times New Roman"/>
          <w:szCs w:val="22"/>
        </w:rPr>
        <w:t xml:space="preserve"> industries fall into medium</w:t>
      </w:r>
      <w:r w:rsidR="003D1323">
        <w:rPr>
          <w:rFonts w:ascii="Times New Roman" w:hAnsi="Times New Roman" w:cs="Times New Roman"/>
          <w:szCs w:val="22"/>
        </w:rPr>
        <w:t>-</w:t>
      </w:r>
      <w:r w:rsidRPr="00AC18ED">
        <w:rPr>
          <w:rFonts w:ascii="Times New Roman" w:hAnsi="Times New Roman" w:cs="Times New Roman"/>
          <w:szCs w:val="22"/>
        </w:rPr>
        <w:t>, small</w:t>
      </w:r>
      <w:r w:rsidR="003D1323">
        <w:rPr>
          <w:rFonts w:ascii="Times New Roman" w:hAnsi="Times New Roman" w:cs="Times New Roman"/>
          <w:szCs w:val="22"/>
        </w:rPr>
        <w:t>-,</w:t>
      </w:r>
      <w:r w:rsidRPr="00AC18ED">
        <w:rPr>
          <w:rFonts w:ascii="Times New Roman" w:hAnsi="Times New Roman" w:cs="Times New Roman"/>
          <w:szCs w:val="22"/>
        </w:rPr>
        <w:t xml:space="preserve"> and </w:t>
      </w:r>
      <w:r w:rsidR="003D1323" w:rsidRPr="00AC18ED">
        <w:rPr>
          <w:rFonts w:ascii="Times New Roman" w:hAnsi="Times New Roman" w:cs="Times New Roman"/>
          <w:szCs w:val="22"/>
        </w:rPr>
        <w:t>micro</w:t>
      </w:r>
      <w:r w:rsidR="003D1323">
        <w:rPr>
          <w:rFonts w:ascii="Times New Roman" w:hAnsi="Times New Roman" w:cs="Times New Roman"/>
          <w:szCs w:val="22"/>
        </w:rPr>
        <w:t>-</w:t>
      </w:r>
      <w:r w:rsidRPr="00AC18ED">
        <w:rPr>
          <w:rFonts w:ascii="Times New Roman" w:hAnsi="Times New Roman" w:cs="Times New Roman"/>
          <w:szCs w:val="22"/>
        </w:rPr>
        <w:t xml:space="preserve">scale </w:t>
      </w:r>
      <w:r w:rsidR="00B274A9" w:rsidRPr="00AC18ED">
        <w:rPr>
          <w:rFonts w:ascii="Times New Roman" w:hAnsi="Times New Roman" w:cs="Times New Roman"/>
          <w:szCs w:val="22"/>
        </w:rPr>
        <w:t>and</w:t>
      </w:r>
      <w:r w:rsidRPr="00AC18ED">
        <w:rPr>
          <w:rFonts w:ascii="Times New Roman" w:hAnsi="Times New Roman" w:cs="Times New Roman"/>
          <w:szCs w:val="22"/>
        </w:rPr>
        <w:t xml:space="preserve"> belong</w:t>
      </w:r>
      <w:r w:rsidR="00774A64">
        <w:rPr>
          <w:rFonts w:ascii="Times New Roman" w:hAnsi="Times New Roman" w:cs="Times New Roman"/>
          <w:szCs w:val="22"/>
        </w:rPr>
        <w:t xml:space="preserve"> </w:t>
      </w:r>
      <w:r w:rsidRPr="00AC18ED">
        <w:rPr>
          <w:rFonts w:ascii="Times New Roman" w:hAnsi="Times New Roman" w:cs="Times New Roman"/>
          <w:szCs w:val="22"/>
        </w:rPr>
        <w:t xml:space="preserve">to the </w:t>
      </w:r>
      <w:r w:rsidR="00432936">
        <w:rPr>
          <w:rFonts w:ascii="Times New Roman" w:hAnsi="Times New Roman" w:cs="Times New Roman"/>
          <w:szCs w:val="22"/>
        </w:rPr>
        <w:t>O</w:t>
      </w:r>
      <w:r w:rsidR="00432936" w:rsidRPr="00AC18ED">
        <w:rPr>
          <w:rFonts w:ascii="Times New Roman" w:hAnsi="Times New Roman" w:cs="Times New Roman"/>
          <w:szCs w:val="22"/>
        </w:rPr>
        <w:t xml:space="preserve">range </w:t>
      </w:r>
      <w:r w:rsidRPr="00AC18ED">
        <w:rPr>
          <w:rFonts w:ascii="Times New Roman" w:hAnsi="Times New Roman" w:cs="Times New Roman"/>
          <w:szCs w:val="22"/>
        </w:rPr>
        <w:t>category (moderately polluting)</w:t>
      </w:r>
      <w:r w:rsidR="00B274A9" w:rsidRPr="00AC18ED">
        <w:rPr>
          <w:rFonts w:ascii="Times New Roman" w:hAnsi="Times New Roman" w:cs="Times New Roman"/>
          <w:szCs w:val="22"/>
        </w:rPr>
        <w:t xml:space="preserve"> </w:t>
      </w:r>
      <w:r w:rsidR="00C17FA3" w:rsidRPr="006958A4">
        <w:rPr>
          <w:rFonts w:ascii="Times New Roman" w:hAnsi="Times New Roman" w:cs="Times New Roman"/>
          <w:szCs w:val="22"/>
        </w:rPr>
        <w:t>(EMIS</w:t>
      </w:r>
      <w:r w:rsidR="00BC501D" w:rsidRPr="006958A4">
        <w:rPr>
          <w:rFonts w:ascii="Times New Roman" w:hAnsi="Times New Roman" w:cs="Times New Roman"/>
          <w:szCs w:val="22"/>
        </w:rPr>
        <w:t>,</w:t>
      </w:r>
      <w:r w:rsidR="00726BA3" w:rsidRPr="006958A4">
        <w:rPr>
          <w:rFonts w:ascii="Times New Roman" w:hAnsi="Times New Roman" w:cs="Times New Roman"/>
          <w:szCs w:val="22"/>
        </w:rPr>
        <w:t xml:space="preserve"> </w:t>
      </w:r>
      <w:r w:rsidR="001B7099" w:rsidRPr="006958A4">
        <w:rPr>
          <w:rFonts w:ascii="Times New Roman" w:hAnsi="Times New Roman" w:cs="Times New Roman"/>
          <w:szCs w:val="22"/>
        </w:rPr>
        <w:t>2015</w:t>
      </w:r>
      <w:r w:rsidR="00B274A9" w:rsidRPr="006958A4">
        <w:rPr>
          <w:rFonts w:ascii="Times New Roman" w:hAnsi="Times New Roman" w:cs="Times New Roman"/>
          <w:szCs w:val="22"/>
        </w:rPr>
        <w:t>)</w:t>
      </w:r>
      <w:r w:rsidRPr="006958A4">
        <w:rPr>
          <w:rFonts w:ascii="Times New Roman" w:hAnsi="Times New Roman" w:cs="Times New Roman"/>
          <w:szCs w:val="22"/>
        </w:rPr>
        <w:t>.</w:t>
      </w:r>
      <w:r w:rsidR="00B274A9" w:rsidRPr="006958A4">
        <w:rPr>
          <w:rFonts w:ascii="Times New Roman" w:hAnsi="Times New Roman" w:cs="Times New Roman"/>
          <w:szCs w:val="22"/>
        </w:rPr>
        <w:t xml:space="preserve"> According </w:t>
      </w:r>
      <w:r w:rsidR="00B274A9" w:rsidRPr="00AC18ED">
        <w:rPr>
          <w:rFonts w:ascii="Times New Roman" w:hAnsi="Times New Roman" w:cs="Times New Roman"/>
          <w:szCs w:val="22"/>
        </w:rPr>
        <w:t xml:space="preserve">to </w:t>
      </w:r>
      <w:r w:rsidR="00432936">
        <w:rPr>
          <w:rFonts w:ascii="Times New Roman" w:hAnsi="Times New Roman" w:cs="Times New Roman"/>
          <w:szCs w:val="22"/>
        </w:rPr>
        <w:t xml:space="preserve">the </w:t>
      </w:r>
      <w:r w:rsidR="00B274A9" w:rsidRPr="00AC18ED">
        <w:rPr>
          <w:rFonts w:ascii="Times New Roman" w:hAnsi="Times New Roman" w:cs="Times New Roman"/>
          <w:szCs w:val="22"/>
        </w:rPr>
        <w:t xml:space="preserve">Industrial </w:t>
      </w:r>
      <w:r w:rsidR="006E62FA" w:rsidRPr="00AC18ED">
        <w:rPr>
          <w:rFonts w:ascii="Times New Roman" w:hAnsi="Times New Roman" w:cs="Times New Roman"/>
          <w:szCs w:val="22"/>
        </w:rPr>
        <w:t>Siting</w:t>
      </w:r>
      <w:r w:rsidR="00B274A9" w:rsidRPr="00AC18ED">
        <w:rPr>
          <w:rFonts w:ascii="Times New Roman" w:hAnsi="Times New Roman" w:cs="Times New Roman"/>
          <w:szCs w:val="22"/>
        </w:rPr>
        <w:t xml:space="preserve"> (locational) policy for West Bengal </w:t>
      </w:r>
      <w:r w:rsidR="00B274A9" w:rsidRPr="006958A4">
        <w:rPr>
          <w:rFonts w:ascii="Times New Roman" w:hAnsi="Times New Roman" w:cs="Times New Roman"/>
          <w:szCs w:val="22"/>
        </w:rPr>
        <w:t>(WBPCB</w:t>
      </w:r>
      <w:r w:rsidR="00BC501D" w:rsidRPr="006958A4">
        <w:rPr>
          <w:rFonts w:ascii="Times New Roman" w:hAnsi="Times New Roman" w:cs="Times New Roman"/>
          <w:szCs w:val="22"/>
        </w:rPr>
        <w:t>,</w:t>
      </w:r>
      <w:r w:rsidR="00B274A9" w:rsidRPr="006958A4">
        <w:rPr>
          <w:rFonts w:ascii="Times New Roman" w:hAnsi="Times New Roman" w:cs="Times New Roman"/>
          <w:szCs w:val="22"/>
        </w:rPr>
        <w:t xml:space="preserve"> </w:t>
      </w:r>
      <w:r w:rsidR="0049140C" w:rsidRPr="006958A4">
        <w:rPr>
          <w:rFonts w:ascii="Times New Roman" w:hAnsi="Times New Roman" w:cs="Times New Roman"/>
          <w:szCs w:val="22"/>
        </w:rPr>
        <w:t>2011)</w:t>
      </w:r>
      <w:r w:rsidR="00B274A9" w:rsidRPr="006958A4">
        <w:rPr>
          <w:rFonts w:ascii="Times New Roman" w:hAnsi="Times New Roman" w:cs="Times New Roman"/>
          <w:szCs w:val="22"/>
        </w:rPr>
        <w:t xml:space="preserve">, industries </w:t>
      </w:r>
      <w:r w:rsidR="00B274A9" w:rsidRPr="00AC18ED">
        <w:rPr>
          <w:rFonts w:ascii="Times New Roman" w:hAnsi="Times New Roman" w:cs="Times New Roman"/>
          <w:szCs w:val="22"/>
        </w:rPr>
        <w:t>of Special Red</w:t>
      </w:r>
      <w:r w:rsidR="003D1323">
        <w:rPr>
          <w:rFonts w:ascii="Times New Roman" w:hAnsi="Times New Roman" w:cs="Times New Roman"/>
          <w:szCs w:val="22"/>
        </w:rPr>
        <w:t xml:space="preserve"> and</w:t>
      </w:r>
      <w:r w:rsidR="003D1323" w:rsidRPr="00AC18ED">
        <w:rPr>
          <w:rFonts w:ascii="Times New Roman" w:hAnsi="Times New Roman" w:cs="Times New Roman"/>
          <w:szCs w:val="22"/>
        </w:rPr>
        <w:t xml:space="preserve"> </w:t>
      </w:r>
      <w:r w:rsidR="00B274A9" w:rsidRPr="00AC18ED">
        <w:rPr>
          <w:rFonts w:ascii="Times New Roman" w:hAnsi="Times New Roman" w:cs="Times New Roman"/>
          <w:szCs w:val="22"/>
        </w:rPr>
        <w:t xml:space="preserve">Ordinary Red </w:t>
      </w:r>
      <w:r w:rsidR="003D1323" w:rsidRPr="00AC18ED">
        <w:rPr>
          <w:rFonts w:ascii="Times New Roman" w:hAnsi="Times New Roman" w:cs="Times New Roman"/>
          <w:szCs w:val="22"/>
        </w:rPr>
        <w:t>categor</w:t>
      </w:r>
      <w:r w:rsidR="003D1323">
        <w:rPr>
          <w:rFonts w:ascii="Times New Roman" w:hAnsi="Times New Roman" w:cs="Times New Roman"/>
          <w:szCs w:val="22"/>
        </w:rPr>
        <w:t>ies</w:t>
      </w:r>
      <w:r w:rsidR="003D1323" w:rsidRPr="00AC18ED">
        <w:rPr>
          <w:rFonts w:ascii="Times New Roman" w:hAnsi="Times New Roman" w:cs="Times New Roman"/>
          <w:szCs w:val="22"/>
        </w:rPr>
        <w:t xml:space="preserve"> </w:t>
      </w:r>
      <w:r w:rsidR="003D1323">
        <w:rPr>
          <w:rFonts w:ascii="Times New Roman" w:hAnsi="Times New Roman" w:cs="Times New Roman"/>
          <w:szCs w:val="22"/>
        </w:rPr>
        <w:t>were</w:t>
      </w:r>
      <w:r w:rsidR="00774A64">
        <w:rPr>
          <w:rFonts w:ascii="Times New Roman" w:hAnsi="Times New Roman" w:cs="Times New Roman"/>
          <w:szCs w:val="22"/>
        </w:rPr>
        <w:t xml:space="preserve"> </w:t>
      </w:r>
      <w:r w:rsidR="00B274A9" w:rsidRPr="00AC18ED">
        <w:rPr>
          <w:rFonts w:ascii="Times New Roman" w:hAnsi="Times New Roman" w:cs="Times New Roman"/>
          <w:szCs w:val="22"/>
        </w:rPr>
        <w:t xml:space="preserve">not permitted </w:t>
      </w:r>
      <w:r w:rsidR="00432936" w:rsidRPr="00AC18ED">
        <w:rPr>
          <w:rFonts w:ascii="Times New Roman" w:hAnsi="Times New Roman" w:cs="Times New Roman"/>
          <w:szCs w:val="22"/>
        </w:rPr>
        <w:t>after 2010</w:t>
      </w:r>
      <w:r w:rsidR="00D101AC">
        <w:rPr>
          <w:rFonts w:ascii="Times New Roman" w:hAnsi="Times New Roman" w:cs="Times New Roman"/>
          <w:szCs w:val="22"/>
        </w:rPr>
        <w:t xml:space="preserve"> </w:t>
      </w:r>
      <w:r w:rsidR="00B274A9" w:rsidRPr="00AC18ED">
        <w:rPr>
          <w:rFonts w:ascii="Times New Roman" w:hAnsi="Times New Roman" w:cs="Times New Roman"/>
          <w:szCs w:val="22"/>
        </w:rPr>
        <w:t xml:space="preserve">in </w:t>
      </w:r>
      <w:r w:rsidR="003D1323">
        <w:rPr>
          <w:rFonts w:ascii="Times New Roman" w:hAnsi="Times New Roman" w:cs="Times New Roman"/>
          <w:szCs w:val="22"/>
        </w:rPr>
        <w:t>m</w:t>
      </w:r>
      <w:r w:rsidR="003D1323" w:rsidRPr="00AC18ED">
        <w:rPr>
          <w:rFonts w:ascii="Times New Roman" w:hAnsi="Times New Roman" w:cs="Times New Roman"/>
          <w:szCs w:val="22"/>
        </w:rPr>
        <w:t xml:space="preserve">unicipal </w:t>
      </w:r>
      <w:r w:rsidR="00B274A9" w:rsidRPr="00AC18ED">
        <w:rPr>
          <w:rFonts w:ascii="Times New Roman" w:hAnsi="Times New Roman" w:cs="Times New Roman"/>
          <w:szCs w:val="22"/>
        </w:rPr>
        <w:t xml:space="preserve">areas falling under </w:t>
      </w:r>
      <w:r w:rsidR="003D1323">
        <w:rPr>
          <w:rFonts w:ascii="Times New Roman" w:hAnsi="Times New Roman" w:cs="Times New Roman"/>
          <w:szCs w:val="22"/>
        </w:rPr>
        <w:t xml:space="preserve">the </w:t>
      </w:r>
      <w:r w:rsidR="00B274A9" w:rsidRPr="00AC18ED">
        <w:rPr>
          <w:rFonts w:ascii="Times New Roman" w:hAnsi="Times New Roman" w:cs="Times New Roman"/>
          <w:szCs w:val="22"/>
        </w:rPr>
        <w:t>K</w:t>
      </w:r>
      <w:r w:rsidR="00BC501D">
        <w:rPr>
          <w:rFonts w:ascii="Times New Roman" w:hAnsi="Times New Roman" w:cs="Times New Roman"/>
          <w:szCs w:val="22"/>
        </w:rPr>
        <w:t xml:space="preserve">MA </w:t>
      </w:r>
      <w:r w:rsidR="006C23B9">
        <w:rPr>
          <w:rFonts w:ascii="Times New Roman" w:hAnsi="Times New Roman" w:cs="Times New Roman"/>
          <w:szCs w:val="22"/>
        </w:rPr>
        <w:t>(</w:t>
      </w:r>
      <w:r w:rsidR="00217135">
        <w:rPr>
          <w:rFonts w:ascii="Times New Roman" w:hAnsi="Times New Roman" w:cs="Times New Roman"/>
          <w:szCs w:val="22"/>
        </w:rPr>
        <w:t xml:space="preserve">i.e., </w:t>
      </w:r>
      <w:r w:rsidR="006C23B9">
        <w:rPr>
          <w:rFonts w:ascii="Times New Roman" w:hAnsi="Times New Roman" w:cs="Times New Roman"/>
          <w:szCs w:val="22"/>
        </w:rPr>
        <w:t>KMC)</w:t>
      </w:r>
      <w:r w:rsidR="00B274A9" w:rsidRPr="00AC18ED">
        <w:rPr>
          <w:rFonts w:ascii="Times New Roman" w:hAnsi="Times New Roman" w:cs="Times New Roman"/>
          <w:szCs w:val="22"/>
        </w:rPr>
        <w:t xml:space="preserve">. Industries </w:t>
      </w:r>
      <w:r w:rsidR="00432936">
        <w:rPr>
          <w:rFonts w:ascii="Times New Roman" w:hAnsi="Times New Roman" w:cs="Times New Roman"/>
          <w:szCs w:val="22"/>
        </w:rPr>
        <w:t xml:space="preserve">could </w:t>
      </w:r>
      <w:r w:rsidR="00B274A9" w:rsidRPr="00AC18ED">
        <w:rPr>
          <w:rFonts w:ascii="Times New Roman" w:hAnsi="Times New Roman" w:cs="Times New Roman"/>
          <w:szCs w:val="22"/>
        </w:rPr>
        <w:t xml:space="preserve">be set up beyond the </w:t>
      </w:r>
      <w:r w:rsidR="003D1323">
        <w:rPr>
          <w:rFonts w:ascii="Times New Roman" w:hAnsi="Times New Roman" w:cs="Times New Roman"/>
          <w:szCs w:val="22"/>
        </w:rPr>
        <w:t>m</w:t>
      </w:r>
      <w:r w:rsidR="003D1323" w:rsidRPr="00AC18ED">
        <w:rPr>
          <w:rFonts w:ascii="Times New Roman" w:hAnsi="Times New Roman" w:cs="Times New Roman"/>
          <w:szCs w:val="22"/>
        </w:rPr>
        <w:t xml:space="preserve">unicipal </w:t>
      </w:r>
      <w:r w:rsidR="00B274A9" w:rsidRPr="00AC18ED">
        <w:rPr>
          <w:rFonts w:ascii="Times New Roman" w:hAnsi="Times New Roman" w:cs="Times New Roman"/>
          <w:szCs w:val="22"/>
        </w:rPr>
        <w:t xml:space="preserve">areas </w:t>
      </w:r>
      <w:r w:rsidR="003D1323">
        <w:rPr>
          <w:rFonts w:ascii="Times New Roman" w:hAnsi="Times New Roman" w:cs="Times New Roman"/>
          <w:szCs w:val="22"/>
        </w:rPr>
        <w:t>if they ha</w:t>
      </w:r>
      <w:r w:rsidR="00432936">
        <w:rPr>
          <w:rFonts w:ascii="Times New Roman" w:hAnsi="Times New Roman" w:cs="Times New Roman"/>
          <w:szCs w:val="22"/>
        </w:rPr>
        <w:t>d</w:t>
      </w:r>
      <w:r w:rsidR="003D1323">
        <w:rPr>
          <w:rFonts w:ascii="Times New Roman" w:hAnsi="Times New Roman" w:cs="Times New Roman"/>
          <w:szCs w:val="22"/>
        </w:rPr>
        <w:t xml:space="preserve"> an</w:t>
      </w:r>
      <w:r w:rsidR="003D1323" w:rsidRPr="00AC18ED">
        <w:rPr>
          <w:rFonts w:ascii="Times New Roman" w:hAnsi="Times New Roman" w:cs="Times New Roman"/>
          <w:szCs w:val="22"/>
        </w:rPr>
        <w:t xml:space="preserve"> </w:t>
      </w:r>
      <w:r w:rsidR="00B274A9" w:rsidRPr="00AC18ED">
        <w:rPr>
          <w:rFonts w:ascii="Times New Roman" w:hAnsi="Times New Roman" w:cs="Times New Roman"/>
          <w:szCs w:val="22"/>
        </w:rPr>
        <w:t>adequate pollution abatement system</w:t>
      </w:r>
      <w:r w:rsidR="003D1323">
        <w:rPr>
          <w:rFonts w:ascii="Times New Roman" w:hAnsi="Times New Roman" w:cs="Times New Roman"/>
          <w:szCs w:val="22"/>
        </w:rPr>
        <w:t>,</w:t>
      </w:r>
      <w:r w:rsidR="00B274A9" w:rsidRPr="00AC18ED">
        <w:rPr>
          <w:rFonts w:ascii="Times New Roman" w:hAnsi="Times New Roman" w:cs="Times New Roman"/>
          <w:szCs w:val="22"/>
        </w:rPr>
        <w:t xml:space="preserve"> subject to site clearance by local bodies. Industries </w:t>
      </w:r>
      <w:r w:rsidR="003D1323">
        <w:rPr>
          <w:rFonts w:ascii="Times New Roman" w:hAnsi="Times New Roman" w:cs="Times New Roman"/>
          <w:szCs w:val="22"/>
        </w:rPr>
        <w:t>in the</w:t>
      </w:r>
      <w:r w:rsidR="003D1323" w:rsidRPr="00AC18ED">
        <w:rPr>
          <w:rFonts w:ascii="Times New Roman" w:hAnsi="Times New Roman" w:cs="Times New Roman"/>
          <w:szCs w:val="22"/>
        </w:rPr>
        <w:t xml:space="preserve"> </w:t>
      </w:r>
      <w:r w:rsidR="00B274A9" w:rsidRPr="00AC18ED">
        <w:rPr>
          <w:rFonts w:ascii="Times New Roman" w:hAnsi="Times New Roman" w:cs="Times New Roman"/>
          <w:szCs w:val="22"/>
        </w:rPr>
        <w:t xml:space="preserve">Orange category </w:t>
      </w:r>
      <w:r w:rsidR="00432936">
        <w:rPr>
          <w:rFonts w:ascii="Times New Roman" w:hAnsi="Times New Roman" w:cs="Times New Roman"/>
          <w:szCs w:val="22"/>
        </w:rPr>
        <w:t>we</w:t>
      </w:r>
      <w:r w:rsidR="00432936" w:rsidRPr="00AC18ED">
        <w:rPr>
          <w:rFonts w:ascii="Times New Roman" w:hAnsi="Times New Roman" w:cs="Times New Roman"/>
          <w:szCs w:val="22"/>
        </w:rPr>
        <w:t xml:space="preserve">re </w:t>
      </w:r>
      <w:r w:rsidR="00B274A9" w:rsidRPr="00AC18ED">
        <w:rPr>
          <w:rFonts w:ascii="Times New Roman" w:hAnsi="Times New Roman" w:cs="Times New Roman"/>
          <w:szCs w:val="22"/>
        </w:rPr>
        <w:t xml:space="preserve">permitted in all municipal areas </w:t>
      </w:r>
      <w:r w:rsidR="00432936">
        <w:rPr>
          <w:rFonts w:ascii="Times New Roman" w:hAnsi="Times New Roman" w:cs="Times New Roman"/>
          <w:szCs w:val="22"/>
        </w:rPr>
        <w:t>except</w:t>
      </w:r>
      <w:r w:rsidR="00B274A9" w:rsidRPr="00AC18ED">
        <w:rPr>
          <w:rFonts w:ascii="Times New Roman" w:hAnsi="Times New Roman" w:cs="Times New Roman"/>
          <w:szCs w:val="22"/>
        </w:rPr>
        <w:t xml:space="preserve"> Kolkata Municipal </w:t>
      </w:r>
      <w:r w:rsidR="00B274A9" w:rsidRPr="00D101AC">
        <w:rPr>
          <w:rFonts w:ascii="Times New Roman" w:hAnsi="Times New Roman" w:cs="Times New Roman"/>
          <w:szCs w:val="22"/>
        </w:rPr>
        <w:t>Corporation</w:t>
      </w:r>
      <w:r w:rsidR="00B274A9" w:rsidRPr="00AC18ED">
        <w:rPr>
          <w:rFonts w:ascii="Times New Roman" w:hAnsi="Times New Roman" w:cs="Times New Roman"/>
          <w:szCs w:val="22"/>
        </w:rPr>
        <w:t xml:space="preserve"> and Howrah Municipal Corporation areas </w:t>
      </w:r>
      <w:r w:rsidR="00432936">
        <w:rPr>
          <w:rFonts w:ascii="Times New Roman" w:hAnsi="Times New Roman" w:cs="Times New Roman"/>
          <w:szCs w:val="22"/>
        </w:rPr>
        <w:t>(</w:t>
      </w:r>
      <w:r w:rsidR="00B274A9" w:rsidRPr="00AC18ED">
        <w:rPr>
          <w:rFonts w:ascii="Times New Roman" w:hAnsi="Times New Roman" w:cs="Times New Roman"/>
          <w:szCs w:val="22"/>
        </w:rPr>
        <w:t xml:space="preserve">except </w:t>
      </w:r>
      <w:r w:rsidR="00432936" w:rsidRPr="00AC18ED">
        <w:rPr>
          <w:rFonts w:ascii="Times New Roman" w:hAnsi="Times New Roman" w:cs="Times New Roman"/>
          <w:szCs w:val="22"/>
        </w:rPr>
        <w:t xml:space="preserve">in </w:t>
      </w:r>
      <w:r w:rsidR="00432936">
        <w:rPr>
          <w:rFonts w:ascii="Times New Roman" w:hAnsi="Times New Roman" w:cs="Times New Roman"/>
          <w:szCs w:val="22"/>
        </w:rPr>
        <w:t>i</w:t>
      </w:r>
      <w:r w:rsidR="00432936" w:rsidRPr="00AC18ED">
        <w:rPr>
          <w:rFonts w:ascii="Times New Roman" w:hAnsi="Times New Roman" w:cs="Times New Roman"/>
          <w:szCs w:val="22"/>
        </w:rPr>
        <w:t xml:space="preserve">ndustrial </w:t>
      </w:r>
      <w:r w:rsidR="00432936">
        <w:rPr>
          <w:rFonts w:ascii="Times New Roman" w:hAnsi="Times New Roman" w:cs="Times New Roman"/>
          <w:szCs w:val="22"/>
        </w:rPr>
        <w:t>e</w:t>
      </w:r>
      <w:r w:rsidR="00432936" w:rsidRPr="00AC18ED">
        <w:rPr>
          <w:rFonts w:ascii="Times New Roman" w:hAnsi="Times New Roman" w:cs="Times New Roman"/>
          <w:szCs w:val="22"/>
        </w:rPr>
        <w:t>states</w:t>
      </w:r>
      <w:r w:rsidR="00432936">
        <w:rPr>
          <w:rFonts w:ascii="Times New Roman" w:hAnsi="Times New Roman" w:cs="Times New Roman"/>
          <w:szCs w:val="22"/>
        </w:rPr>
        <w:t>),</w:t>
      </w:r>
      <w:r w:rsidR="00B274A9" w:rsidRPr="00AC18ED">
        <w:rPr>
          <w:rFonts w:ascii="Times New Roman" w:hAnsi="Times New Roman" w:cs="Times New Roman"/>
          <w:szCs w:val="22"/>
        </w:rPr>
        <w:t xml:space="preserve"> </w:t>
      </w:r>
      <w:r w:rsidR="009669D1">
        <w:rPr>
          <w:rFonts w:ascii="Times New Roman" w:hAnsi="Times New Roman" w:cs="Times New Roman"/>
          <w:szCs w:val="22"/>
        </w:rPr>
        <w:t xml:space="preserve">as long as </w:t>
      </w:r>
      <w:r w:rsidR="00B274A9" w:rsidRPr="00AC18ED">
        <w:rPr>
          <w:rFonts w:ascii="Times New Roman" w:hAnsi="Times New Roman" w:cs="Times New Roman"/>
          <w:szCs w:val="22"/>
        </w:rPr>
        <w:t xml:space="preserve">adequate pollution control measures </w:t>
      </w:r>
      <w:r w:rsidR="00432936">
        <w:rPr>
          <w:rFonts w:ascii="Times New Roman" w:hAnsi="Times New Roman" w:cs="Times New Roman"/>
          <w:szCs w:val="22"/>
        </w:rPr>
        <w:t xml:space="preserve">in place and </w:t>
      </w:r>
      <w:r w:rsidR="00B274A9" w:rsidRPr="00AC18ED">
        <w:rPr>
          <w:rFonts w:ascii="Times New Roman" w:hAnsi="Times New Roman" w:cs="Times New Roman"/>
          <w:szCs w:val="22"/>
        </w:rPr>
        <w:t xml:space="preserve">subject to </w:t>
      </w:r>
      <w:r w:rsidR="009669D1">
        <w:rPr>
          <w:rFonts w:ascii="Times New Roman" w:hAnsi="Times New Roman" w:cs="Times New Roman"/>
          <w:szCs w:val="22"/>
        </w:rPr>
        <w:t xml:space="preserve">the </w:t>
      </w:r>
      <w:r w:rsidR="00B274A9" w:rsidRPr="00AC18ED">
        <w:rPr>
          <w:rFonts w:ascii="Times New Roman" w:hAnsi="Times New Roman" w:cs="Times New Roman"/>
          <w:szCs w:val="22"/>
        </w:rPr>
        <w:t xml:space="preserve">site </w:t>
      </w:r>
      <w:r w:rsidR="009669D1">
        <w:rPr>
          <w:rFonts w:ascii="Times New Roman" w:hAnsi="Times New Roman" w:cs="Times New Roman"/>
          <w:szCs w:val="22"/>
        </w:rPr>
        <w:t>receiv</w:t>
      </w:r>
      <w:r w:rsidR="00432936">
        <w:rPr>
          <w:rFonts w:ascii="Times New Roman" w:hAnsi="Times New Roman" w:cs="Times New Roman"/>
          <w:szCs w:val="22"/>
        </w:rPr>
        <w:t>ing</w:t>
      </w:r>
      <w:r w:rsidR="009669D1">
        <w:rPr>
          <w:rFonts w:ascii="Times New Roman" w:hAnsi="Times New Roman" w:cs="Times New Roman"/>
          <w:szCs w:val="22"/>
        </w:rPr>
        <w:t xml:space="preserve"> </w:t>
      </w:r>
      <w:r w:rsidR="00B274A9" w:rsidRPr="00AC18ED">
        <w:rPr>
          <w:rFonts w:ascii="Times New Roman" w:hAnsi="Times New Roman" w:cs="Times New Roman"/>
          <w:szCs w:val="22"/>
        </w:rPr>
        <w:t xml:space="preserve">clearance from the </w:t>
      </w:r>
      <w:r w:rsidR="009669D1">
        <w:rPr>
          <w:rFonts w:ascii="Times New Roman" w:hAnsi="Times New Roman" w:cs="Times New Roman"/>
          <w:szCs w:val="22"/>
        </w:rPr>
        <w:t>m</w:t>
      </w:r>
      <w:r w:rsidR="009669D1" w:rsidRPr="00AC18ED">
        <w:rPr>
          <w:rFonts w:ascii="Times New Roman" w:hAnsi="Times New Roman" w:cs="Times New Roman"/>
          <w:szCs w:val="22"/>
        </w:rPr>
        <w:t xml:space="preserve">unicipal </w:t>
      </w:r>
      <w:r w:rsidR="00B274A9" w:rsidRPr="00AC18ED">
        <w:rPr>
          <w:rFonts w:ascii="Times New Roman" w:hAnsi="Times New Roman" w:cs="Times New Roman"/>
          <w:szCs w:val="22"/>
        </w:rPr>
        <w:t xml:space="preserve">authorities for setting up new units. Industries </w:t>
      </w:r>
      <w:r w:rsidR="009669D1">
        <w:rPr>
          <w:rFonts w:ascii="Times New Roman" w:hAnsi="Times New Roman" w:cs="Times New Roman"/>
          <w:szCs w:val="22"/>
        </w:rPr>
        <w:t>in the</w:t>
      </w:r>
      <w:r w:rsidR="00774A64">
        <w:rPr>
          <w:rFonts w:ascii="Times New Roman" w:hAnsi="Times New Roman" w:cs="Times New Roman"/>
          <w:szCs w:val="22"/>
        </w:rPr>
        <w:t xml:space="preserve"> </w:t>
      </w:r>
      <w:r w:rsidR="00B274A9" w:rsidRPr="00AC18ED">
        <w:rPr>
          <w:rFonts w:ascii="Times New Roman" w:hAnsi="Times New Roman" w:cs="Times New Roman"/>
          <w:szCs w:val="22"/>
        </w:rPr>
        <w:t xml:space="preserve">Green category are permitted in any area in the state </w:t>
      </w:r>
      <w:r w:rsidR="009669D1">
        <w:rPr>
          <w:rFonts w:ascii="Times New Roman" w:hAnsi="Times New Roman" w:cs="Times New Roman"/>
          <w:szCs w:val="22"/>
        </w:rPr>
        <w:t>if they have</w:t>
      </w:r>
      <w:r w:rsidR="009669D1" w:rsidRPr="00AC18ED">
        <w:rPr>
          <w:rFonts w:ascii="Times New Roman" w:hAnsi="Times New Roman" w:cs="Times New Roman"/>
          <w:szCs w:val="22"/>
        </w:rPr>
        <w:t xml:space="preserve"> </w:t>
      </w:r>
      <w:r w:rsidR="00B274A9" w:rsidRPr="00AC18ED">
        <w:rPr>
          <w:rFonts w:ascii="Times New Roman" w:hAnsi="Times New Roman" w:cs="Times New Roman"/>
          <w:szCs w:val="22"/>
        </w:rPr>
        <w:t>adequate pollution control measures subject to site clearance by</w:t>
      </w:r>
      <w:r w:rsidR="00432936">
        <w:rPr>
          <w:rFonts w:ascii="Times New Roman" w:hAnsi="Times New Roman" w:cs="Times New Roman"/>
          <w:szCs w:val="22"/>
        </w:rPr>
        <w:t xml:space="preserve"> the</w:t>
      </w:r>
      <w:r w:rsidR="00774A64">
        <w:rPr>
          <w:rFonts w:ascii="Times New Roman" w:hAnsi="Times New Roman" w:cs="Times New Roman"/>
          <w:szCs w:val="22"/>
        </w:rPr>
        <w:t xml:space="preserve"> </w:t>
      </w:r>
      <w:r w:rsidR="00B274A9" w:rsidRPr="00AC18ED">
        <w:rPr>
          <w:rFonts w:ascii="Times New Roman" w:hAnsi="Times New Roman" w:cs="Times New Roman"/>
          <w:szCs w:val="22"/>
        </w:rPr>
        <w:t>local body.</w:t>
      </w:r>
    </w:p>
    <w:p w14:paraId="2FC63F8A" w14:textId="794F753E" w:rsidR="001C5298" w:rsidRPr="000477FA" w:rsidRDefault="001C5298" w:rsidP="00AC18ED">
      <w:pPr>
        <w:pStyle w:val="Heading2"/>
        <w:numPr>
          <w:ilvl w:val="1"/>
          <w:numId w:val="11"/>
        </w:numPr>
        <w:spacing w:before="0" w:after="120" w:line="276" w:lineRule="auto"/>
        <w:rPr>
          <w:rFonts w:ascii="Times New Roman" w:hAnsi="Times New Roman" w:cs="Times New Roman"/>
          <w:sz w:val="22"/>
          <w:szCs w:val="22"/>
        </w:rPr>
      </w:pPr>
      <w:bookmarkStart w:id="17" w:name="_Toc22630736"/>
      <w:r w:rsidRPr="000477FA">
        <w:rPr>
          <w:rFonts w:ascii="Times New Roman" w:hAnsi="Times New Roman" w:cs="Times New Roman"/>
          <w:sz w:val="22"/>
          <w:szCs w:val="22"/>
        </w:rPr>
        <w:t xml:space="preserve">Power </w:t>
      </w:r>
      <w:r w:rsidR="00C56590" w:rsidRPr="000477FA">
        <w:rPr>
          <w:rFonts w:ascii="Times New Roman" w:hAnsi="Times New Roman" w:cs="Times New Roman"/>
          <w:sz w:val="22"/>
          <w:szCs w:val="22"/>
        </w:rPr>
        <w:t>sector</w:t>
      </w:r>
      <w:bookmarkEnd w:id="17"/>
    </w:p>
    <w:p w14:paraId="63806E44" w14:textId="51199A80" w:rsidR="001C5298" w:rsidRPr="00AC18ED" w:rsidRDefault="00B8545D" w:rsidP="00AC18ED">
      <w:pPr>
        <w:spacing w:after="120" w:line="276" w:lineRule="auto"/>
        <w:jc w:val="both"/>
        <w:rPr>
          <w:rFonts w:ascii="Times New Roman" w:hAnsi="Times New Roman" w:cs="Times New Roman"/>
          <w:szCs w:val="22"/>
        </w:rPr>
      </w:pPr>
      <w:r w:rsidRPr="00AC18ED">
        <w:rPr>
          <w:rFonts w:ascii="Times New Roman" w:hAnsi="Times New Roman" w:cs="Times New Roman"/>
          <w:szCs w:val="22"/>
        </w:rPr>
        <w:t xml:space="preserve">The </w:t>
      </w:r>
      <w:r w:rsidR="00D41E1F" w:rsidRPr="00AC18ED">
        <w:rPr>
          <w:rFonts w:ascii="Times New Roman" w:hAnsi="Times New Roman" w:cs="Times New Roman"/>
          <w:szCs w:val="22"/>
        </w:rPr>
        <w:t>power</w:t>
      </w:r>
      <w:r w:rsidRPr="00AC18ED">
        <w:rPr>
          <w:rFonts w:ascii="Times New Roman" w:hAnsi="Times New Roman" w:cs="Times New Roman"/>
          <w:szCs w:val="22"/>
        </w:rPr>
        <w:t xml:space="preserve"> supply authorities in </w:t>
      </w:r>
      <w:r w:rsidR="000477FA">
        <w:rPr>
          <w:rFonts w:ascii="Times New Roman" w:hAnsi="Times New Roman" w:cs="Times New Roman"/>
          <w:szCs w:val="22"/>
        </w:rPr>
        <w:t>KM</w:t>
      </w:r>
      <w:r w:rsidR="00784DA0">
        <w:rPr>
          <w:rFonts w:ascii="Times New Roman" w:hAnsi="Times New Roman" w:cs="Times New Roman"/>
          <w:szCs w:val="22"/>
        </w:rPr>
        <w:t>C</w:t>
      </w:r>
      <w:r w:rsidRPr="00AC18ED">
        <w:rPr>
          <w:rFonts w:ascii="Times New Roman" w:hAnsi="Times New Roman" w:cs="Times New Roman"/>
          <w:szCs w:val="22"/>
        </w:rPr>
        <w:t xml:space="preserve"> are Calcutta Electric Supply Corporation (CESC) and West Bengal State Electricity Distribution Company Limited (WBSEDCL). </w:t>
      </w:r>
      <w:r w:rsidR="001C5298" w:rsidRPr="00AC18ED">
        <w:rPr>
          <w:rFonts w:ascii="Times New Roman" w:hAnsi="Times New Roman" w:cs="Times New Roman"/>
          <w:szCs w:val="22"/>
        </w:rPr>
        <w:t xml:space="preserve">There are </w:t>
      </w:r>
      <w:r w:rsidR="009669D1">
        <w:rPr>
          <w:rFonts w:ascii="Times New Roman" w:hAnsi="Times New Roman" w:cs="Times New Roman"/>
          <w:szCs w:val="22"/>
        </w:rPr>
        <w:t>five</w:t>
      </w:r>
      <w:r w:rsidR="009669D1" w:rsidRPr="00AC18ED">
        <w:rPr>
          <w:rFonts w:ascii="Times New Roman" w:hAnsi="Times New Roman" w:cs="Times New Roman"/>
          <w:szCs w:val="22"/>
        </w:rPr>
        <w:t xml:space="preserve"> </w:t>
      </w:r>
      <w:r w:rsidR="001C5298" w:rsidRPr="00AC18ED">
        <w:rPr>
          <w:rFonts w:ascii="Times New Roman" w:hAnsi="Times New Roman" w:cs="Times New Roman"/>
          <w:szCs w:val="22"/>
        </w:rPr>
        <w:t xml:space="preserve">major power plants located within the boundary of </w:t>
      </w:r>
      <w:r w:rsidR="000477FA">
        <w:rPr>
          <w:rFonts w:ascii="Times New Roman" w:hAnsi="Times New Roman" w:cs="Times New Roman"/>
          <w:szCs w:val="22"/>
        </w:rPr>
        <w:t>KM</w:t>
      </w:r>
      <w:r w:rsidR="00784DA0">
        <w:rPr>
          <w:rFonts w:ascii="Times New Roman" w:hAnsi="Times New Roman" w:cs="Times New Roman"/>
          <w:szCs w:val="22"/>
        </w:rPr>
        <w:t>C</w:t>
      </w:r>
      <w:r w:rsidR="001C5298" w:rsidRPr="00AC18ED">
        <w:rPr>
          <w:rFonts w:ascii="Times New Roman" w:hAnsi="Times New Roman" w:cs="Times New Roman"/>
          <w:szCs w:val="22"/>
        </w:rPr>
        <w:t xml:space="preserve">. Among them </w:t>
      </w:r>
      <w:r w:rsidR="009669D1">
        <w:rPr>
          <w:rFonts w:ascii="Times New Roman" w:hAnsi="Times New Roman" w:cs="Times New Roman"/>
          <w:szCs w:val="22"/>
        </w:rPr>
        <w:t>are four</w:t>
      </w:r>
      <w:r w:rsidR="00774A64">
        <w:rPr>
          <w:rFonts w:ascii="Times New Roman" w:hAnsi="Times New Roman" w:cs="Times New Roman"/>
          <w:szCs w:val="22"/>
        </w:rPr>
        <w:t xml:space="preserve"> </w:t>
      </w:r>
      <w:r w:rsidR="001C5298" w:rsidRPr="00AC18ED">
        <w:rPr>
          <w:rFonts w:ascii="Times New Roman" w:hAnsi="Times New Roman" w:cs="Times New Roman"/>
          <w:szCs w:val="22"/>
        </w:rPr>
        <w:t>plants at Budge Budge</w:t>
      </w:r>
      <w:r w:rsidR="00044244" w:rsidRPr="00AC18ED">
        <w:rPr>
          <w:rFonts w:ascii="Times New Roman" w:hAnsi="Times New Roman" w:cs="Times New Roman"/>
          <w:szCs w:val="22"/>
        </w:rPr>
        <w:t xml:space="preserve"> (</w:t>
      </w:r>
      <w:r w:rsidR="008E7E85" w:rsidRPr="00AC18ED">
        <w:rPr>
          <w:rFonts w:ascii="Times New Roman" w:hAnsi="Times New Roman" w:cs="Times New Roman"/>
          <w:szCs w:val="22"/>
        </w:rPr>
        <w:t>750</w:t>
      </w:r>
      <w:r w:rsidR="00044244" w:rsidRPr="00AC18ED">
        <w:rPr>
          <w:rFonts w:ascii="Times New Roman" w:hAnsi="Times New Roman" w:cs="Times New Roman"/>
          <w:szCs w:val="22"/>
        </w:rPr>
        <w:t xml:space="preserve"> MW)</w:t>
      </w:r>
      <w:r w:rsidR="001C5298" w:rsidRPr="00AC18ED">
        <w:rPr>
          <w:rFonts w:ascii="Times New Roman" w:hAnsi="Times New Roman" w:cs="Times New Roman"/>
          <w:szCs w:val="22"/>
        </w:rPr>
        <w:t>, Titagarh</w:t>
      </w:r>
      <w:r w:rsidR="00044244" w:rsidRPr="00AC18ED">
        <w:rPr>
          <w:rFonts w:ascii="Times New Roman" w:hAnsi="Times New Roman" w:cs="Times New Roman"/>
          <w:szCs w:val="22"/>
        </w:rPr>
        <w:t xml:space="preserve"> (</w:t>
      </w:r>
      <w:r w:rsidR="008E7E85" w:rsidRPr="00AC18ED">
        <w:rPr>
          <w:rFonts w:ascii="Times New Roman" w:hAnsi="Times New Roman" w:cs="Times New Roman"/>
          <w:szCs w:val="22"/>
        </w:rPr>
        <w:t>240</w:t>
      </w:r>
      <w:r w:rsidR="00044244" w:rsidRPr="00AC18ED">
        <w:rPr>
          <w:rFonts w:ascii="Times New Roman" w:hAnsi="Times New Roman" w:cs="Times New Roman"/>
          <w:szCs w:val="22"/>
        </w:rPr>
        <w:t xml:space="preserve"> MW)</w:t>
      </w:r>
      <w:r w:rsidR="001C5298" w:rsidRPr="00AC18ED">
        <w:rPr>
          <w:rFonts w:ascii="Times New Roman" w:hAnsi="Times New Roman" w:cs="Times New Roman"/>
          <w:szCs w:val="22"/>
        </w:rPr>
        <w:t>, Garden Reach</w:t>
      </w:r>
      <w:r w:rsidR="00044244" w:rsidRPr="00AC18ED">
        <w:rPr>
          <w:rFonts w:ascii="Times New Roman" w:hAnsi="Times New Roman" w:cs="Times New Roman"/>
          <w:szCs w:val="22"/>
        </w:rPr>
        <w:t xml:space="preserve"> (</w:t>
      </w:r>
      <w:r w:rsidR="008E7E85" w:rsidRPr="00AC18ED">
        <w:rPr>
          <w:rFonts w:ascii="Times New Roman" w:hAnsi="Times New Roman" w:cs="Times New Roman"/>
          <w:szCs w:val="22"/>
        </w:rPr>
        <w:t xml:space="preserve">535 </w:t>
      </w:r>
      <w:r w:rsidR="00044244" w:rsidRPr="00AC18ED">
        <w:rPr>
          <w:rFonts w:ascii="Times New Roman" w:hAnsi="Times New Roman" w:cs="Times New Roman"/>
          <w:szCs w:val="22"/>
        </w:rPr>
        <w:t>MW)</w:t>
      </w:r>
      <w:r w:rsidR="001C5298" w:rsidRPr="00AC18ED">
        <w:rPr>
          <w:rFonts w:ascii="Times New Roman" w:hAnsi="Times New Roman" w:cs="Times New Roman"/>
          <w:szCs w:val="22"/>
        </w:rPr>
        <w:t xml:space="preserve">, Cossipore </w:t>
      </w:r>
      <w:r w:rsidR="00044244" w:rsidRPr="00AC18ED">
        <w:rPr>
          <w:rFonts w:ascii="Times New Roman" w:hAnsi="Times New Roman" w:cs="Times New Roman"/>
          <w:szCs w:val="22"/>
        </w:rPr>
        <w:t>(</w:t>
      </w:r>
      <w:r w:rsidR="008E7E85" w:rsidRPr="00AC18ED">
        <w:rPr>
          <w:rFonts w:ascii="Times New Roman" w:hAnsi="Times New Roman" w:cs="Times New Roman"/>
          <w:szCs w:val="22"/>
        </w:rPr>
        <w:t>100</w:t>
      </w:r>
      <w:r w:rsidR="00044244" w:rsidRPr="00AC18ED">
        <w:rPr>
          <w:rFonts w:ascii="Times New Roman" w:hAnsi="Times New Roman" w:cs="Times New Roman"/>
          <w:szCs w:val="22"/>
        </w:rPr>
        <w:t xml:space="preserve"> MW)</w:t>
      </w:r>
      <w:r w:rsidR="00774A64">
        <w:rPr>
          <w:rFonts w:ascii="Times New Roman" w:hAnsi="Times New Roman" w:cs="Times New Roman"/>
          <w:szCs w:val="22"/>
        </w:rPr>
        <w:t xml:space="preserve"> </w:t>
      </w:r>
      <w:r w:rsidR="001C5298" w:rsidRPr="00AC18ED">
        <w:rPr>
          <w:rFonts w:ascii="Times New Roman" w:hAnsi="Times New Roman" w:cs="Times New Roman"/>
          <w:szCs w:val="22"/>
        </w:rPr>
        <w:t xml:space="preserve">operated by </w:t>
      </w:r>
      <w:r w:rsidRPr="00AC18ED">
        <w:rPr>
          <w:rFonts w:ascii="Times New Roman" w:hAnsi="Times New Roman" w:cs="Times New Roman"/>
          <w:szCs w:val="22"/>
        </w:rPr>
        <w:t xml:space="preserve">CESC </w:t>
      </w:r>
      <w:r w:rsidR="001C5298" w:rsidRPr="00AC18ED">
        <w:rPr>
          <w:rFonts w:ascii="Times New Roman" w:hAnsi="Times New Roman" w:cs="Times New Roman"/>
          <w:szCs w:val="22"/>
        </w:rPr>
        <w:t xml:space="preserve">and </w:t>
      </w:r>
      <w:r w:rsidR="009669D1">
        <w:rPr>
          <w:rFonts w:ascii="Times New Roman" w:hAnsi="Times New Roman" w:cs="Times New Roman"/>
          <w:szCs w:val="22"/>
        </w:rPr>
        <w:t>a</w:t>
      </w:r>
      <w:r w:rsidR="00774A64">
        <w:rPr>
          <w:rFonts w:ascii="Times New Roman" w:hAnsi="Times New Roman" w:cs="Times New Roman"/>
          <w:szCs w:val="22"/>
        </w:rPr>
        <w:t xml:space="preserve"> </w:t>
      </w:r>
      <w:r w:rsidR="001C5298" w:rsidRPr="00AC18ED">
        <w:rPr>
          <w:rFonts w:ascii="Times New Roman" w:hAnsi="Times New Roman" w:cs="Times New Roman"/>
          <w:szCs w:val="22"/>
        </w:rPr>
        <w:t xml:space="preserve">fifth, Bandel power plant </w:t>
      </w:r>
      <w:r w:rsidR="00044244" w:rsidRPr="00AC18ED">
        <w:rPr>
          <w:rFonts w:ascii="Times New Roman" w:hAnsi="Times New Roman" w:cs="Times New Roman"/>
          <w:szCs w:val="22"/>
        </w:rPr>
        <w:t>(</w:t>
      </w:r>
      <w:r w:rsidR="008E7E85" w:rsidRPr="00AC18ED">
        <w:rPr>
          <w:rFonts w:ascii="Times New Roman" w:hAnsi="Times New Roman" w:cs="Times New Roman"/>
          <w:szCs w:val="22"/>
        </w:rPr>
        <w:t>135</w:t>
      </w:r>
      <w:r w:rsidR="00044244" w:rsidRPr="00AC18ED">
        <w:rPr>
          <w:rFonts w:ascii="Times New Roman" w:hAnsi="Times New Roman" w:cs="Times New Roman"/>
          <w:szCs w:val="22"/>
        </w:rPr>
        <w:t xml:space="preserve"> MW) </w:t>
      </w:r>
      <w:r w:rsidR="001C5298" w:rsidRPr="00AC18ED">
        <w:rPr>
          <w:rFonts w:ascii="Times New Roman" w:hAnsi="Times New Roman" w:cs="Times New Roman"/>
          <w:szCs w:val="22"/>
        </w:rPr>
        <w:t xml:space="preserve">operated by </w:t>
      </w:r>
      <w:r w:rsidR="00F12529" w:rsidRPr="00F12529">
        <w:rPr>
          <w:rFonts w:ascii="Times New Roman" w:hAnsi="Times New Roman" w:cs="Times New Roman"/>
          <w:szCs w:val="22"/>
        </w:rPr>
        <w:t xml:space="preserve">West Bengal Power Development Corporation Limited </w:t>
      </w:r>
      <w:r w:rsidR="00F12529">
        <w:rPr>
          <w:rFonts w:ascii="Times New Roman" w:hAnsi="Times New Roman" w:cs="Times New Roman"/>
          <w:szCs w:val="22"/>
        </w:rPr>
        <w:t>(</w:t>
      </w:r>
      <w:r w:rsidR="001C5298" w:rsidRPr="00AC18ED">
        <w:rPr>
          <w:rFonts w:ascii="Times New Roman" w:hAnsi="Times New Roman" w:cs="Times New Roman"/>
          <w:szCs w:val="22"/>
        </w:rPr>
        <w:t>WBPDCL</w:t>
      </w:r>
      <w:r w:rsidR="00F12529">
        <w:rPr>
          <w:rFonts w:ascii="Times New Roman" w:hAnsi="Times New Roman" w:cs="Times New Roman"/>
          <w:szCs w:val="22"/>
        </w:rPr>
        <w:t>)</w:t>
      </w:r>
      <w:r w:rsidR="00D41E1F" w:rsidRPr="00AC18ED">
        <w:rPr>
          <w:rFonts w:ascii="Times New Roman" w:hAnsi="Times New Roman" w:cs="Times New Roman"/>
          <w:szCs w:val="22"/>
        </w:rPr>
        <w:t>.</w:t>
      </w:r>
      <w:r w:rsidRPr="00AC18ED">
        <w:rPr>
          <w:rFonts w:ascii="Times New Roman" w:hAnsi="Times New Roman" w:cs="Times New Roman"/>
          <w:szCs w:val="22"/>
        </w:rPr>
        <w:t xml:space="preserve"> </w:t>
      </w:r>
      <w:r w:rsidR="001C5298" w:rsidRPr="00AC18ED">
        <w:rPr>
          <w:rFonts w:ascii="Times New Roman" w:hAnsi="Times New Roman" w:cs="Times New Roman"/>
          <w:szCs w:val="22"/>
        </w:rPr>
        <w:t>All five power plants operating in the study area are coal</w:t>
      </w:r>
      <w:r w:rsidR="009669D1">
        <w:rPr>
          <w:rFonts w:ascii="Times New Roman" w:hAnsi="Times New Roman" w:cs="Times New Roman"/>
          <w:szCs w:val="22"/>
        </w:rPr>
        <w:t>-</w:t>
      </w:r>
      <w:r w:rsidR="001C5298" w:rsidRPr="00AC18ED">
        <w:rPr>
          <w:rFonts w:ascii="Times New Roman" w:hAnsi="Times New Roman" w:cs="Times New Roman"/>
          <w:szCs w:val="22"/>
        </w:rPr>
        <w:t>based</w:t>
      </w:r>
      <w:r w:rsidR="00D41E1F" w:rsidRPr="00AC18ED">
        <w:rPr>
          <w:rFonts w:ascii="Times New Roman" w:hAnsi="Times New Roman" w:cs="Times New Roman"/>
          <w:szCs w:val="22"/>
        </w:rPr>
        <w:t xml:space="preserve"> thermal power plants</w:t>
      </w:r>
      <w:r w:rsidR="001C5298" w:rsidRPr="00AC18ED">
        <w:rPr>
          <w:rFonts w:ascii="Times New Roman" w:hAnsi="Times New Roman" w:cs="Times New Roman"/>
          <w:szCs w:val="22"/>
        </w:rPr>
        <w:t xml:space="preserve">. </w:t>
      </w:r>
      <w:r w:rsidR="005A666A" w:rsidRPr="00AC18ED">
        <w:rPr>
          <w:rFonts w:ascii="Times New Roman" w:hAnsi="Times New Roman" w:cs="Times New Roman"/>
          <w:szCs w:val="22"/>
        </w:rPr>
        <w:t xml:space="preserve">Coal consumption data </w:t>
      </w:r>
      <w:r w:rsidR="009669D1">
        <w:rPr>
          <w:rFonts w:ascii="Times New Roman" w:hAnsi="Times New Roman" w:cs="Times New Roman"/>
          <w:szCs w:val="22"/>
        </w:rPr>
        <w:t xml:space="preserve">were </w:t>
      </w:r>
      <w:r w:rsidR="005A666A" w:rsidRPr="00AC18ED">
        <w:rPr>
          <w:rFonts w:ascii="Times New Roman" w:hAnsi="Times New Roman" w:cs="Times New Roman"/>
          <w:szCs w:val="22"/>
        </w:rPr>
        <w:t xml:space="preserve">collected from individual power plants. The </w:t>
      </w:r>
      <w:r w:rsidR="009669D1" w:rsidRPr="00AC18ED">
        <w:rPr>
          <w:rFonts w:ascii="Times New Roman" w:hAnsi="Times New Roman" w:cs="Times New Roman"/>
          <w:szCs w:val="22"/>
        </w:rPr>
        <w:t>P</w:t>
      </w:r>
      <w:r w:rsidR="009669D1">
        <w:rPr>
          <w:rFonts w:ascii="Times New Roman" w:hAnsi="Times New Roman" w:cs="Times New Roman"/>
          <w:szCs w:val="22"/>
        </w:rPr>
        <w:t xml:space="preserve">LF </w:t>
      </w:r>
      <w:r w:rsidR="005A666A" w:rsidRPr="00AC18ED">
        <w:rPr>
          <w:rFonts w:ascii="Times New Roman" w:hAnsi="Times New Roman" w:cs="Times New Roman"/>
          <w:szCs w:val="22"/>
        </w:rPr>
        <w:t>(p</w:t>
      </w:r>
      <w:r w:rsidR="001634BF">
        <w:rPr>
          <w:rFonts w:ascii="Times New Roman" w:hAnsi="Times New Roman" w:cs="Times New Roman"/>
          <w:szCs w:val="22"/>
        </w:rPr>
        <w:t>lant</w:t>
      </w:r>
      <w:r w:rsidR="005A666A" w:rsidRPr="00AC18ED">
        <w:rPr>
          <w:rFonts w:ascii="Times New Roman" w:hAnsi="Times New Roman" w:cs="Times New Roman"/>
          <w:szCs w:val="22"/>
        </w:rPr>
        <w:t xml:space="preserve"> load factor) and plant operation time percentage for the individual power plants were obtained from </w:t>
      </w:r>
      <w:r w:rsidR="005A666A" w:rsidRPr="006958A4">
        <w:rPr>
          <w:rFonts w:ascii="Times New Roman" w:hAnsi="Times New Roman" w:cs="Times New Roman"/>
          <w:szCs w:val="22"/>
        </w:rPr>
        <w:t>CESC</w:t>
      </w:r>
      <w:r w:rsidR="009669D1" w:rsidRPr="006958A4">
        <w:rPr>
          <w:rFonts w:ascii="Times New Roman" w:hAnsi="Times New Roman" w:cs="Times New Roman"/>
          <w:szCs w:val="22"/>
        </w:rPr>
        <w:t xml:space="preserve"> (</w:t>
      </w:r>
      <w:r w:rsidR="004C1E26" w:rsidRPr="006958A4">
        <w:rPr>
          <w:rFonts w:ascii="Times New Roman" w:hAnsi="Times New Roman" w:cs="Times New Roman"/>
          <w:szCs w:val="22"/>
        </w:rPr>
        <w:t>201</w:t>
      </w:r>
      <w:r w:rsidR="00C83E22" w:rsidRPr="006958A4">
        <w:rPr>
          <w:rFonts w:ascii="Times New Roman" w:hAnsi="Times New Roman" w:cs="Times New Roman"/>
          <w:szCs w:val="22"/>
        </w:rPr>
        <w:t>6</w:t>
      </w:r>
      <w:r w:rsidR="009669D1" w:rsidRPr="006958A4">
        <w:rPr>
          <w:rFonts w:ascii="Times New Roman" w:hAnsi="Times New Roman" w:cs="Times New Roman"/>
          <w:szCs w:val="22"/>
        </w:rPr>
        <w:t>)</w:t>
      </w:r>
      <w:r w:rsidR="004C1E26" w:rsidRPr="006958A4">
        <w:rPr>
          <w:rFonts w:ascii="Times New Roman" w:hAnsi="Times New Roman" w:cs="Times New Roman"/>
          <w:szCs w:val="22"/>
        </w:rPr>
        <w:t xml:space="preserve"> </w:t>
      </w:r>
      <w:r w:rsidR="005A666A" w:rsidRPr="00AC18ED">
        <w:rPr>
          <w:rFonts w:ascii="Times New Roman" w:hAnsi="Times New Roman" w:cs="Times New Roman"/>
          <w:szCs w:val="22"/>
        </w:rPr>
        <w:t xml:space="preserve">and </w:t>
      </w:r>
      <w:r w:rsidR="001A5399" w:rsidRPr="00F263A9">
        <w:rPr>
          <w:rFonts w:ascii="Times New Roman" w:hAnsi="Times New Roman" w:cs="Times New Roman"/>
          <w:szCs w:val="22"/>
        </w:rPr>
        <w:t>WBSEDCL</w:t>
      </w:r>
      <w:r w:rsidR="001A5399" w:rsidRPr="00AC18ED" w:rsidDel="001A5399">
        <w:rPr>
          <w:rFonts w:ascii="Times New Roman" w:hAnsi="Times New Roman" w:cs="Times New Roman"/>
          <w:szCs w:val="22"/>
        </w:rPr>
        <w:t xml:space="preserve"> </w:t>
      </w:r>
      <w:r w:rsidR="009669D1">
        <w:rPr>
          <w:rFonts w:ascii="Times New Roman" w:hAnsi="Times New Roman" w:cs="Times New Roman"/>
          <w:szCs w:val="22"/>
        </w:rPr>
        <w:t>(</w:t>
      </w:r>
      <w:r w:rsidR="004C1E26" w:rsidRPr="00AC18ED">
        <w:rPr>
          <w:rFonts w:ascii="Times New Roman" w:hAnsi="Times New Roman" w:cs="Times New Roman"/>
          <w:szCs w:val="22"/>
        </w:rPr>
        <w:t>2011</w:t>
      </w:r>
      <w:r w:rsidR="009669D1">
        <w:rPr>
          <w:rFonts w:ascii="Times New Roman" w:hAnsi="Times New Roman" w:cs="Times New Roman"/>
          <w:szCs w:val="22"/>
        </w:rPr>
        <w:t>)</w:t>
      </w:r>
      <w:r w:rsidR="00C83E22" w:rsidRPr="00AC18ED">
        <w:rPr>
          <w:rFonts w:ascii="Times New Roman" w:hAnsi="Times New Roman" w:cs="Times New Roman"/>
          <w:szCs w:val="22"/>
        </w:rPr>
        <w:t>;</w:t>
      </w:r>
      <w:r w:rsidR="004C1E26" w:rsidRPr="00AC18ED">
        <w:rPr>
          <w:rFonts w:ascii="Times New Roman" w:hAnsi="Times New Roman" w:cs="Times New Roman"/>
          <w:szCs w:val="22"/>
        </w:rPr>
        <w:t xml:space="preserve"> </w:t>
      </w:r>
      <w:r w:rsidR="009669D1">
        <w:rPr>
          <w:rFonts w:ascii="Times New Roman" w:hAnsi="Times New Roman" w:cs="Times New Roman"/>
          <w:szCs w:val="22"/>
        </w:rPr>
        <w:t xml:space="preserve">and </w:t>
      </w:r>
      <w:r w:rsidR="001A5399" w:rsidRPr="00F263A9">
        <w:rPr>
          <w:rFonts w:ascii="Times New Roman" w:hAnsi="Times New Roman" w:cs="Times New Roman"/>
          <w:szCs w:val="22"/>
        </w:rPr>
        <w:t>WBSEDCL</w:t>
      </w:r>
      <w:r w:rsidR="001A5399" w:rsidRPr="00AC18ED" w:rsidDel="001A5399">
        <w:rPr>
          <w:rFonts w:ascii="Times New Roman" w:hAnsi="Times New Roman" w:cs="Times New Roman"/>
          <w:szCs w:val="22"/>
        </w:rPr>
        <w:t xml:space="preserve"> </w:t>
      </w:r>
      <w:r w:rsidR="009669D1">
        <w:rPr>
          <w:rFonts w:ascii="Times New Roman" w:hAnsi="Times New Roman" w:cs="Times New Roman"/>
          <w:szCs w:val="22"/>
        </w:rPr>
        <w:t>(</w:t>
      </w:r>
      <w:r w:rsidR="004C1E26" w:rsidRPr="00AC18ED">
        <w:rPr>
          <w:rFonts w:ascii="Times New Roman" w:hAnsi="Times New Roman" w:cs="Times New Roman"/>
          <w:szCs w:val="22"/>
        </w:rPr>
        <w:t>2016</w:t>
      </w:r>
      <w:r w:rsidR="009669D1">
        <w:rPr>
          <w:rFonts w:ascii="Times New Roman" w:hAnsi="Times New Roman" w:cs="Times New Roman"/>
          <w:szCs w:val="22"/>
        </w:rPr>
        <w:t>)</w:t>
      </w:r>
      <w:r w:rsidR="000477FA">
        <w:rPr>
          <w:rFonts w:ascii="Times New Roman" w:hAnsi="Times New Roman" w:cs="Times New Roman"/>
          <w:szCs w:val="22"/>
        </w:rPr>
        <w:t>.</w:t>
      </w:r>
      <w:r w:rsidR="005A666A" w:rsidRPr="00AC18ED">
        <w:rPr>
          <w:rFonts w:ascii="Times New Roman" w:hAnsi="Times New Roman" w:cs="Times New Roman"/>
          <w:szCs w:val="22"/>
        </w:rPr>
        <w:t xml:space="preserve"> </w:t>
      </w:r>
      <w:r w:rsidR="009669D1">
        <w:rPr>
          <w:rFonts w:ascii="Times New Roman" w:hAnsi="Times New Roman" w:cs="Times New Roman"/>
          <w:szCs w:val="22"/>
        </w:rPr>
        <w:t xml:space="preserve">The overall </w:t>
      </w:r>
      <w:r w:rsidR="001C5298" w:rsidRPr="00AC18ED">
        <w:rPr>
          <w:rFonts w:ascii="Times New Roman" w:hAnsi="Times New Roman" w:cs="Times New Roman"/>
          <w:szCs w:val="22"/>
        </w:rPr>
        <w:t xml:space="preserve">capacity of </w:t>
      </w:r>
      <w:r w:rsidR="009669D1">
        <w:rPr>
          <w:rFonts w:ascii="Times New Roman" w:hAnsi="Times New Roman" w:cs="Times New Roman"/>
          <w:szCs w:val="22"/>
        </w:rPr>
        <w:t xml:space="preserve">the </w:t>
      </w:r>
      <w:r w:rsidR="001C5298" w:rsidRPr="00AC18ED">
        <w:rPr>
          <w:rFonts w:ascii="Times New Roman" w:hAnsi="Times New Roman" w:cs="Times New Roman"/>
          <w:szCs w:val="22"/>
        </w:rPr>
        <w:t>plants except the one at Cossipore is 1</w:t>
      </w:r>
      <w:r w:rsidR="00356528" w:rsidRPr="00AC18ED">
        <w:rPr>
          <w:rFonts w:ascii="Times New Roman" w:hAnsi="Times New Roman" w:cs="Times New Roman"/>
          <w:szCs w:val="22"/>
        </w:rPr>
        <w:t>660</w:t>
      </w:r>
      <w:r w:rsidR="001C5298" w:rsidRPr="00AC18ED">
        <w:rPr>
          <w:rFonts w:ascii="Times New Roman" w:hAnsi="Times New Roman" w:cs="Times New Roman"/>
          <w:szCs w:val="22"/>
        </w:rPr>
        <w:t xml:space="preserve"> MW</w:t>
      </w:r>
      <w:r w:rsidR="000477FA">
        <w:rPr>
          <w:rFonts w:ascii="Times New Roman" w:hAnsi="Times New Roman" w:cs="Times New Roman"/>
          <w:szCs w:val="22"/>
        </w:rPr>
        <w:t xml:space="preserve"> as the </w:t>
      </w:r>
      <w:r w:rsidR="001C5298" w:rsidRPr="00AC18ED">
        <w:rPr>
          <w:rFonts w:ascii="Times New Roman" w:hAnsi="Times New Roman" w:cs="Times New Roman"/>
          <w:szCs w:val="22"/>
        </w:rPr>
        <w:t xml:space="preserve">Cossipore plant has been </w:t>
      </w:r>
      <w:r w:rsidR="009669D1">
        <w:rPr>
          <w:rFonts w:ascii="Times New Roman" w:hAnsi="Times New Roman" w:cs="Times New Roman"/>
          <w:szCs w:val="22"/>
        </w:rPr>
        <w:t>closed</w:t>
      </w:r>
      <w:r w:rsidR="001C5298" w:rsidRPr="00AC18ED">
        <w:rPr>
          <w:rFonts w:ascii="Times New Roman" w:hAnsi="Times New Roman" w:cs="Times New Roman"/>
          <w:szCs w:val="22"/>
        </w:rPr>
        <w:t xml:space="preserve"> since 2014.</w:t>
      </w:r>
    </w:p>
    <w:p w14:paraId="51131E70" w14:textId="77777777" w:rsidR="006E37DF" w:rsidRPr="00AC18ED" w:rsidRDefault="006E37DF" w:rsidP="00AC18ED">
      <w:pPr>
        <w:numPr>
          <w:ilvl w:val="2"/>
          <w:numId w:val="11"/>
        </w:numPr>
        <w:spacing w:after="120"/>
        <w:jc w:val="both"/>
        <w:rPr>
          <w:rStyle w:val="IntenseEmphasis"/>
          <w:rFonts w:ascii="Times New Roman" w:hAnsi="Times New Roman" w:cs="Times New Roman"/>
        </w:rPr>
      </w:pPr>
      <w:r w:rsidRPr="00AC18ED">
        <w:rPr>
          <w:rStyle w:val="IntenseEmphasis"/>
          <w:rFonts w:ascii="Times New Roman" w:hAnsi="Times New Roman" w:cs="Times New Roman"/>
        </w:rPr>
        <w:t>Electricity distribution</w:t>
      </w:r>
    </w:p>
    <w:p w14:paraId="65839291" w14:textId="3236FC14" w:rsidR="00D41E1F" w:rsidRPr="006958A4" w:rsidRDefault="00D41E1F" w:rsidP="00AC18ED">
      <w:pPr>
        <w:spacing w:after="120" w:line="276" w:lineRule="auto"/>
        <w:jc w:val="both"/>
        <w:rPr>
          <w:rFonts w:ascii="Times New Roman" w:hAnsi="Times New Roman" w:cs="Times New Roman"/>
          <w:szCs w:val="22"/>
        </w:rPr>
      </w:pPr>
      <w:r w:rsidRPr="00AC18ED">
        <w:rPr>
          <w:rFonts w:ascii="Times New Roman" w:hAnsi="Times New Roman" w:cs="Times New Roman"/>
          <w:szCs w:val="22"/>
        </w:rPr>
        <w:t xml:space="preserve">The share of total electricity generated in </w:t>
      </w:r>
      <w:r w:rsidR="009669D1">
        <w:rPr>
          <w:rFonts w:ascii="Times New Roman" w:hAnsi="Times New Roman" w:cs="Times New Roman"/>
          <w:szCs w:val="22"/>
        </w:rPr>
        <w:t xml:space="preserve">the </w:t>
      </w:r>
      <w:r w:rsidR="00A7166F">
        <w:rPr>
          <w:rFonts w:ascii="Times New Roman" w:hAnsi="Times New Roman" w:cs="Times New Roman"/>
          <w:szCs w:val="22"/>
        </w:rPr>
        <w:t>KMC</w:t>
      </w:r>
      <w:r w:rsidRPr="00AC18ED">
        <w:rPr>
          <w:rFonts w:ascii="Times New Roman" w:hAnsi="Times New Roman" w:cs="Times New Roman"/>
          <w:szCs w:val="22"/>
        </w:rPr>
        <w:t xml:space="preserve"> is distributed </w:t>
      </w:r>
      <w:r w:rsidR="009669D1">
        <w:rPr>
          <w:rFonts w:ascii="Times New Roman" w:hAnsi="Times New Roman" w:cs="Times New Roman"/>
          <w:szCs w:val="22"/>
        </w:rPr>
        <w:t xml:space="preserve">among </w:t>
      </w:r>
      <w:r w:rsidRPr="00AC18ED">
        <w:rPr>
          <w:rFonts w:ascii="Times New Roman" w:hAnsi="Times New Roman" w:cs="Times New Roman"/>
          <w:szCs w:val="22"/>
        </w:rPr>
        <w:t xml:space="preserve">different sectors for different purposes. The percentage share of power generation by CESC was obtained </w:t>
      </w:r>
      <w:r w:rsidRPr="006958A4">
        <w:rPr>
          <w:rFonts w:ascii="Times New Roman" w:hAnsi="Times New Roman" w:cs="Times New Roman"/>
          <w:szCs w:val="22"/>
        </w:rPr>
        <w:t xml:space="preserve">from </w:t>
      </w:r>
      <w:r w:rsidR="00B9006C" w:rsidRPr="006958A4">
        <w:rPr>
          <w:rFonts w:ascii="Times New Roman" w:hAnsi="Times New Roman" w:cs="Times New Roman"/>
          <w:szCs w:val="22"/>
        </w:rPr>
        <w:t xml:space="preserve">CESC </w:t>
      </w:r>
      <w:r w:rsidR="009669D1" w:rsidRPr="006958A4">
        <w:rPr>
          <w:rFonts w:ascii="Times New Roman" w:hAnsi="Times New Roman" w:cs="Times New Roman"/>
          <w:szCs w:val="22"/>
        </w:rPr>
        <w:t>(</w:t>
      </w:r>
      <w:r w:rsidR="00B9006C" w:rsidRPr="006958A4">
        <w:rPr>
          <w:rFonts w:ascii="Times New Roman" w:hAnsi="Times New Roman" w:cs="Times New Roman"/>
          <w:szCs w:val="22"/>
        </w:rPr>
        <w:t>2016</w:t>
      </w:r>
      <w:r w:rsidR="009669D1" w:rsidRPr="006958A4">
        <w:rPr>
          <w:rFonts w:ascii="Times New Roman" w:hAnsi="Times New Roman" w:cs="Times New Roman"/>
          <w:szCs w:val="22"/>
        </w:rPr>
        <w:t>)</w:t>
      </w:r>
      <w:r w:rsidRPr="006958A4">
        <w:rPr>
          <w:rFonts w:ascii="Times New Roman" w:hAnsi="Times New Roman" w:cs="Times New Roman"/>
          <w:szCs w:val="22"/>
        </w:rPr>
        <w:t xml:space="preserve">. </w:t>
      </w:r>
      <w:r w:rsidR="0092564A" w:rsidRPr="006958A4">
        <w:rPr>
          <w:rFonts w:ascii="Times New Roman" w:hAnsi="Times New Roman" w:cs="Times New Roman"/>
          <w:szCs w:val="22"/>
        </w:rPr>
        <w:t>To obtain</w:t>
      </w:r>
      <w:r w:rsidR="00774A64" w:rsidRPr="006958A4">
        <w:rPr>
          <w:rFonts w:ascii="Times New Roman" w:hAnsi="Times New Roman" w:cs="Times New Roman"/>
          <w:szCs w:val="22"/>
        </w:rPr>
        <w:t xml:space="preserve"> </w:t>
      </w:r>
      <w:r w:rsidR="0092564A" w:rsidRPr="006958A4">
        <w:rPr>
          <w:rFonts w:ascii="Times New Roman" w:hAnsi="Times New Roman" w:cs="Times New Roman"/>
          <w:szCs w:val="22"/>
        </w:rPr>
        <w:t xml:space="preserve">the estimated share of distribution for </w:t>
      </w:r>
      <w:r w:rsidR="009669D1" w:rsidRPr="006958A4">
        <w:rPr>
          <w:rFonts w:ascii="Times New Roman" w:hAnsi="Times New Roman" w:cs="Times New Roman"/>
          <w:szCs w:val="22"/>
        </w:rPr>
        <w:t xml:space="preserve">the </w:t>
      </w:r>
      <w:r w:rsidR="00784DA0" w:rsidRPr="006958A4">
        <w:rPr>
          <w:rFonts w:ascii="Times New Roman" w:hAnsi="Times New Roman" w:cs="Times New Roman"/>
          <w:szCs w:val="22"/>
        </w:rPr>
        <w:t xml:space="preserve">WBPDCL </w:t>
      </w:r>
      <w:r w:rsidRPr="006958A4">
        <w:rPr>
          <w:rFonts w:ascii="Times New Roman" w:hAnsi="Times New Roman" w:cs="Times New Roman"/>
          <w:szCs w:val="22"/>
        </w:rPr>
        <w:t>supply</w:t>
      </w:r>
      <w:r w:rsidR="00324055" w:rsidRPr="006958A4">
        <w:rPr>
          <w:rFonts w:ascii="Times New Roman" w:hAnsi="Times New Roman" w:cs="Times New Roman"/>
          <w:szCs w:val="22"/>
        </w:rPr>
        <w:t>,</w:t>
      </w:r>
      <w:r w:rsidRPr="006958A4">
        <w:rPr>
          <w:rFonts w:ascii="Times New Roman" w:hAnsi="Times New Roman" w:cs="Times New Roman"/>
          <w:szCs w:val="22"/>
        </w:rPr>
        <w:t xml:space="preserve"> the distribution </w:t>
      </w:r>
      <w:r w:rsidR="0003755C" w:rsidRPr="006958A4">
        <w:rPr>
          <w:rFonts w:ascii="Times New Roman" w:hAnsi="Times New Roman" w:cs="Times New Roman"/>
          <w:szCs w:val="22"/>
        </w:rPr>
        <w:t xml:space="preserve">districts under </w:t>
      </w:r>
      <w:r w:rsidR="00A7166F" w:rsidRPr="006958A4">
        <w:rPr>
          <w:rFonts w:ascii="Times New Roman" w:hAnsi="Times New Roman" w:cs="Times New Roman"/>
          <w:szCs w:val="22"/>
        </w:rPr>
        <w:t>KMC</w:t>
      </w:r>
      <w:r w:rsidR="0003755C" w:rsidRPr="006958A4">
        <w:rPr>
          <w:rFonts w:ascii="Times New Roman" w:hAnsi="Times New Roman" w:cs="Times New Roman"/>
          <w:szCs w:val="22"/>
        </w:rPr>
        <w:t xml:space="preserve"> </w:t>
      </w:r>
      <w:r w:rsidRPr="006958A4">
        <w:rPr>
          <w:rFonts w:ascii="Times New Roman" w:hAnsi="Times New Roman" w:cs="Times New Roman"/>
          <w:szCs w:val="22"/>
        </w:rPr>
        <w:t xml:space="preserve">and </w:t>
      </w:r>
      <w:r w:rsidR="009669D1" w:rsidRPr="006958A4">
        <w:rPr>
          <w:rFonts w:ascii="Times New Roman" w:hAnsi="Times New Roman" w:cs="Times New Roman"/>
          <w:szCs w:val="22"/>
        </w:rPr>
        <w:t xml:space="preserve">the </w:t>
      </w:r>
      <w:r w:rsidRPr="006958A4">
        <w:rPr>
          <w:rFonts w:ascii="Times New Roman" w:hAnsi="Times New Roman" w:cs="Times New Roman"/>
          <w:szCs w:val="22"/>
        </w:rPr>
        <w:t xml:space="preserve">percentage of </w:t>
      </w:r>
      <w:r w:rsidR="009669D1" w:rsidRPr="006958A4">
        <w:rPr>
          <w:rFonts w:ascii="Times New Roman" w:hAnsi="Times New Roman" w:cs="Times New Roman"/>
          <w:szCs w:val="22"/>
        </w:rPr>
        <w:t xml:space="preserve">the </w:t>
      </w:r>
      <w:r w:rsidRPr="006958A4">
        <w:rPr>
          <w:rFonts w:ascii="Times New Roman" w:hAnsi="Times New Roman" w:cs="Times New Roman"/>
          <w:szCs w:val="22"/>
        </w:rPr>
        <w:t xml:space="preserve">population share of individual districts </w:t>
      </w:r>
      <w:r w:rsidR="00E67F8A" w:rsidRPr="006958A4">
        <w:rPr>
          <w:rFonts w:ascii="Times New Roman" w:hAnsi="Times New Roman" w:cs="Times New Roman"/>
          <w:szCs w:val="22"/>
        </w:rPr>
        <w:t xml:space="preserve">supplied </w:t>
      </w:r>
      <w:r w:rsidR="00664BCB" w:rsidRPr="006958A4">
        <w:rPr>
          <w:rFonts w:ascii="Times New Roman" w:hAnsi="Times New Roman" w:cs="Times New Roman"/>
          <w:szCs w:val="22"/>
        </w:rPr>
        <w:t xml:space="preserve">by WBPDCL </w:t>
      </w:r>
      <w:r w:rsidRPr="006958A4">
        <w:rPr>
          <w:rFonts w:ascii="Times New Roman" w:hAnsi="Times New Roman" w:cs="Times New Roman"/>
          <w:szCs w:val="22"/>
        </w:rPr>
        <w:t>in each district</w:t>
      </w:r>
      <w:r w:rsidR="0092564A" w:rsidRPr="006958A4">
        <w:rPr>
          <w:rFonts w:ascii="Times New Roman" w:hAnsi="Times New Roman" w:cs="Times New Roman"/>
          <w:szCs w:val="22"/>
        </w:rPr>
        <w:t xml:space="preserve"> were obtained</w:t>
      </w:r>
      <w:r w:rsidR="00B9006C" w:rsidRPr="006958A4">
        <w:rPr>
          <w:rFonts w:ascii="Times New Roman" w:hAnsi="Times New Roman" w:cs="Times New Roman"/>
          <w:szCs w:val="22"/>
        </w:rPr>
        <w:t xml:space="preserve"> (WBSEDCL</w:t>
      </w:r>
      <w:r w:rsidR="000477FA" w:rsidRPr="006958A4">
        <w:rPr>
          <w:rFonts w:ascii="Times New Roman" w:hAnsi="Times New Roman" w:cs="Times New Roman"/>
          <w:szCs w:val="22"/>
        </w:rPr>
        <w:t>,</w:t>
      </w:r>
      <w:r w:rsidR="00B9006C" w:rsidRPr="006958A4">
        <w:rPr>
          <w:rFonts w:ascii="Times New Roman" w:hAnsi="Times New Roman" w:cs="Times New Roman"/>
          <w:szCs w:val="22"/>
        </w:rPr>
        <w:t xml:space="preserve"> 2011,</w:t>
      </w:r>
      <w:r w:rsidR="009669D1" w:rsidRPr="006958A4">
        <w:rPr>
          <w:rFonts w:ascii="Times New Roman" w:hAnsi="Times New Roman" w:cs="Times New Roman"/>
          <w:szCs w:val="22"/>
        </w:rPr>
        <w:t xml:space="preserve"> </w:t>
      </w:r>
      <w:r w:rsidR="00B9006C" w:rsidRPr="006958A4">
        <w:rPr>
          <w:rFonts w:ascii="Times New Roman" w:hAnsi="Times New Roman" w:cs="Times New Roman"/>
          <w:szCs w:val="22"/>
        </w:rPr>
        <w:t>2016)</w:t>
      </w:r>
      <w:r w:rsidRPr="006958A4">
        <w:rPr>
          <w:rFonts w:ascii="Times New Roman" w:hAnsi="Times New Roman" w:cs="Times New Roman"/>
          <w:szCs w:val="22"/>
        </w:rPr>
        <w:t xml:space="preserve">. </w:t>
      </w:r>
    </w:p>
    <w:p w14:paraId="039AA364" w14:textId="77777777" w:rsidR="006E37DF" w:rsidRPr="00AC18ED" w:rsidRDefault="006E37DF" w:rsidP="00AC18ED">
      <w:pPr>
        <w:numPr>
          <w:ilvl w:val="2"/>
          <w:numId w:val="11"/>
        </w:numPr>
        <w:spacing w:after="120"/>
        <w:jc w:val="both"/>
        <w:rPr>
          <w:rStyle w:val="IntenseEmphasis"/>
          <w:rFonts w:ascii="Times New Roman" w:hAnsi="Times New Roman" w:cs="Times New Roman"/>
        </w:rPr>
      </w:pPr>
      <w:r w:rsidRPr="00AC18ED">
        <w:rPr>
          <w:rStyle w:val="IntenseEmphasis"/>
          <w:rFonts w:ascii="Times New Roman" w:hAnsi="Times New Roman" w:cs="Times New Roman"/>
        </w:rPr>
        <w:t>Generator sets</w:t>
      </w:r>
    </w:p>
    <w:p w14:paraId="5E7AD738" w14:textId="5188C244" w:rsidR="00B8545D" w:rsidRDefault="006E37DF" w:rsidP="00AC18ED">
      <w:pPr>
        <w:spacing w:after="120" w:line="276" w:lineRule="auto"/>
        <w:jc w:val="both"/>
        <w:rPr>
          <w:rFonts w:ascii="Times New Roman" w:hAnsi="Times New Roman" w:cs="Times New Roman"/>
          <w:szCs w:val="22"/>
          <w:lang w:val="en-US" w:bidi="ar-SA"/>
        </w:rPr>
      </w:pPr>
      <w:r w:rsidRPr="00AC18ED">
        <w:rPr>
          <w:rFonts w:ascii="Times New Roman" w:hAnsi="Times New Roman" w:cs="Times New Roman"/>
          <w:szCs w:val="22"/>
          <w:lang w:val="en-US" w:bidi="ar-SA"/>
        </w:rPr>
        <w:t xml:space="preserve">Diesel Generator (DG) sets are used </w:t>
      </w:r>
      <w:r w:rsidR="009669D1" w:rsidRPr="00AC18ED">
        <w:rPr>
          <w:rFonts w:ascii="Times New Roman" w:hAnsi="Times New Roman" w:cs="Times New Roman"/>
          <w:szCs w:val="22"/>
          <w:lang w:val="en-US" w:bidi="ar-SA"/>
        </w:rPr>
        <w:t>m</w:t>
      </w:r>
      <w:r w:rsidR="009669D1">
        <w:rPr>
          <w:rFonts w:ascii="Times New Roman" w:hAnsi="Times New Roman" w:cs="Times New Roman"/>
          <w:szCs w:val="22"/>
          <w:lang w:val="en-US" w:bidi="ar-SA"/>
        </w:rPr>
        <w:t>ainly</w:t>
      </w:r>
      <w:r w:rsidR="009669D1" w:rsidRPr="00AC18ED">
        <w:rPr>
          <w:rFonts w:ascii="Times New Roman" w:hAnsi="Times New Roman" w:cs="Times New Roman"/>
          <w:szCs w:val="22"/>
          <w:lang w:val="en-US" w:bidi="ar-SA"/>
        </w:rPr>
        <w:t xml:space="preserve"> </w:t>
      </w:r>
      <w:r w:rsidRPr="00AC18ED">
        <w:rPr>
          <w:rFonts w:ascii="Times New Roman" w:hAnsi="Times New Roman" w:cs="Times New Roman"/>
          <w:szCs w:val="22"/>
          <w:lang w:val="en-US" w:bidi="ar-SA"/>
        </w:rPr>
        <w:t>for industrial purposes; information on DG sets and their fuel usage was obtained for</w:t>
      </w:r>
      <w:r w:rsidR="009669D1">
        <w:rPr>
          <w:rFonts w:ascii="Times New Roman" w:hAnsi="Times New Roman" w:cs="Times New Roman"/>
          <w:szCs w:val="22"/>
          <w:lang w:val="en-US" w:bidi="ar-SA"/>
        </w:rPr>
        <w:t xml:space="preserve"> the</w:t>
      </w:r>
      <w:r w:rsidRPr="00AC18ED">
        <w:rPr>
          <w:rFonts w:ascii="Times New Roman" w:hAnsi="Times New Roman" w:cs="Times New Roman"/>
          <w:szCs w:val="22"/>
          <w:lang w:val="en-US" w:bidi="ar-SA"/>
        </w:rPr>
        <w:t xml:space="preserve"> industrial sector </w:t>
      </w:r>
      <w:r w:rsidRPr="004A5E30">
        <w:rPr>
          <w:rFonts w:ascii="Times New Roman" w:hAnsi="Times New Roman" w:cs="Times New Roman"/>
          <w:szCs w:val="22"/>
          <w:lang w:val="en-US" w:bidi="ar-SA"/>
        </w:rPr>
        <w:t xml:space="preserve">from </w:t>
      </w:r>
      <w:r w:rsidR="00B7095C" w:rsidRPr="004A5E30">
        <w:rPr>
          <w:rFonts w:ascii="Times New Roman" w:hAnsi="Times New Roman" w:cs="Times New Roman"/>
          <w:szCs w:val="22"/>
          <w:lang w:val="en-US" w:bidi="ar-SA"/>
        </w:rPr>
        <w:t>EMIS</w:t>
      </w:r>
      <w:r w:rsidR="001B7099" w:rsidRPr="004A5E30">
        <w:rPr>
          <w:rFonts w:ascii="Times New Roman" w:hAnsi="Times New Roman" w:cs="Times New Roman"/>
          <w:szCs w:val="22"/>
          <w:lang w:val="en-US" w:bidi="ar-SA"/>
        </w:rPr>
        <w:t xml:space="preserve"> </w:t>
      </w:r>
      <w:r w:rsidR="00F12529" w:rsidRPr="004A5E30">
        <w:rPr>
          <w:rFonts w:ascii="Times New Roman" w:hAnsi="Times New Roman" w:cs="Times New Roman"/>
          <w:szCs w:val="22"/>
          <w:lang w:val="en-US" w:bidi="ar-SA"/>
        </w:rPr>
        <w:t>(</w:t>
      </w:r>
      <w:r w:rsidR="001B7099" w:rsidRPr="004A5E30">
        <w:rPr>
          <w:rFonts w:ascii="Times New Roman" w:hAnsi="Times New Roman" w:cs="Times New Roman"/>
          <w:szCs w:val="22"/>
          <w:lang w:val="en-US" w:bidi="ar-SA"/>
        </w:rPr>
        <w:t>2015</w:t>
      </w:r>
      <w:r w:rsidR="00F12529" w:rsidRPr="004A5E30">
        <w:rPr>
          <w:rFonts w:ascii="Times New Roman" w:hAnsi="Times New Roman" w:cs="Times New Roman"/>
          <w:szCs w:val="22"/>
          <w:lang w:val="en-US" w:bidi="ar-SA"/>
        </w:rPr>
        <w:t>)</w:t>
      </w:r>
      <w:r w:rsidRPr="004A5E30">
        <w:rPr>
          <w:rFonts w:ascii="Times New Roman" w:hAnsi="Times New Roman" w:cs="Times New Roman"/>
          <w:szCs w:val="22"/>
          <w:lang w:val="en-US" w:bidi="ar-SA"/>
        </w:rPr>
        <w:t xml:space="preserve">. The status of </w:t>
      </w:r>
      <w:r w:rsidR="009669D1" w:rsidRPr="004A5E30">
        <w:rPr>
          <w:rFonts w:ascii="Times New Roman" w:hAnsi="Times New Roman" w:cs="Times New Roman"/>
          <w:szCs w:val="22"/>
          <w:lang w:val="en-US" w:bidi="ar-SA"/>
        </w:rPr>
        <w:t xml:space="preserve">residential </w:t>
      </w:r>
      <w:r w:rsidRPr="004A5E30">
        <w:rPr>
          <w:rFonts w:ascii="Times New Roman" w:hAnsi="Times New Roman" w:cs="Times New Roman"/>
          <w:szCs w:val="22"/>
          <w:lang w:val="en-US" w:bidi="ar-SA"/>
        </w:rPr>
        <w:t xml:space="preserve">electricity is satisfactory in </w:t>
      </w:r>
      <w:r w:rsidR="009669D1" w:rsidRPr="004A5E30">
        <w:rPr>
          <w:rFonts w:ascii="Times New Roman" w:hAnsi="Times New Roman" w:cs="Times New Roman"/>
          <w:szCs w:val="22"/>
          <w:lang w:val="en-US" w:bidi="ar-SA"/>
        </w:rPr>
        <w:t xml:space="preserve">the </w:t>
      </w:r>
      <w:r w:rsidR="00A7166F" w:rsidRPr="004A5E30">
        <w:rPr>
          <w:rFonts w:ascii="Times New Roman" w:hAnsi="Times New Roman" w:cs="Times New Roman"/>
          <w:szCs w:val="22"/>
          <w:lang w:val="en-US" w:bidi="ar-SA"/>
        </w:rPr>
        <w:t>KMC</w:t>
      </w:r>
      <w:r w:rsidRPr="004A5E30">
        <w:rPr>
          <w:rFonts w:ascii="Times New Roman" w:hAnsi="Times New Roman" w:cs="Times New Roman"/>
          <w:szCs w:val="22"/>
          <w:lang w:val="en-US" w:bidi="ar-SA"/>
        </w:rPr>
        <w:t xml:space="preserve"> area and instances of power </w:t>
      </w:r>
      <w:r w:rsidR="009669D1" w:rsidRPr="004A5E30">
        <w:rPr>
          <w:rFonts w:ascii="Times New Roman" w:hAnsi="Times New Roman" w:cs="Times New Roman"/>
          <w:szCs w:val="22"/>
          <w:lang w:val="en-US" w:bidi="ar-SA"/>
        </w:rPr>
        <w:t>outages are rare</w:t>
      </w:r>
      <w:r w:rsidRPr="00AC18ED">
        <w:rPr>
          <w:rFonts w:ascii="Times New Roman" w:hAnsi="Times New Roman" w:cs="Times New Roman"/>
          <w:szCs w:val="22"/>
          <w:lang w:val="en-US" w:bidi="ar-SA"/>
        </w:rPr>
        <w:t xml:space="preserve">. </w:t>
      </w:r>
      <w:r w:rsidR="00F12529">
        <w:rPr>
          <w:rFonts w:ascii="Times New Roman" w:hAnsi="Times New Roman" w:cs="Times New Roman"/>
          <w:szCs w:val="22"/>
          <w:lang w:val="en-US" w:bidi="ar-SA"/>
        </w:rPr>
        <w:t>Therefore,</w:t>
      </w:r>
      <w:r w:rsidR="00774A64">
        <w:rPr>
          <w:rFonts w:ascii="Times New Roman" w:hAnsi="Times New Roman" w:cs="Times New Roman"/>
          <w:szCs w:val="22"/>
          <w:lang w:val="en-US" w:bidi="ar-SA"/>
        </w:rPr>
        <w:t xml:space="preserve"> </w:t>
      </w:r>
      <w:r w:rsidR="009669D1">
        <w:rPr>
          <w:rFonts w:ascii="Times New Roman" w:hAnsi="Times New Roman" w:cs="Times New Roman"/>
          <w:szCs w:val="22"/>
          <w:lang w:val="en-US" w:bidi="ar-SA"/>
        </w:rPr>
        <w:t>the</w:t>
      </w:r>
      <w:r w:rsidRPr="00AC18ED">
        <w:rPr>
          <w:rFonts w:ascii="Times New Roman" w:hAnsi="Times New Roman" w:cs="Times New Roman"/>
          <w:szCs w:val="22"/>
          <w:lang w:val="en-US" w:bidi="ar-SA"/>
        </w:rPr>
        <w:t xml:space="preserve"> residential DG</w:t>
      </w:r>
      <w:r w:rsidR="0003755C" w:rsidRPr="00AC18ED">
        <w:rPr>
          <w:rFonts w:ascii="Times New Roman" w:hAnsi="Times New Roman" w:cs="Times New Roman"/>
          <w:szCs w:val="22"/>
          <w:lang w:val="en-US" w:bidi="ar-SA"/>
        </w:rPr>
        <w:t>-set</w:t>
      </w:r>
      <w:r w:rsidRPr="00AC18ED">
        <w:rPr>
          <w:rFonts w:ascii="Times New Roman" w:hAnsi="Times New Roman" w:cs="Times New Roman"/>
          <w:szCs w:val="22"/>
          <w:lang w:val="en-US" w:bidi="ar-SA"/>
        </w:rPr>
        <w:t xml:space="preserve"> usage was not taken into consideration.</w:t>
      </w:r>
    </w:p>
    <w:p w14:paraId="5C105F61" w14:textId="77777777" w:rsidR="008B5654" w:rsidRPr="00AC18ED" w:rsidRDefault="008B5654" w:rsidP="00AC18ED">
      <w:pPr>
        <w:spacing w:after="120" w:line="276" w:lineRule="auto"/>
        <w:jc w:val="both"/>
        <w:rPr>
          <w:rFonts w:ascii="Times New Roman" w:hAnsi="Times New Roman" w:cs="Times New Roman"/>
          <w:szCs w:val="22"/>
          <w:lang w:val="en-US" w:bidi="ar-SA"/>
        </w:rPr>
      </w:pPr>
    </w:p>
    <w:p w14:paraId="6135D15B" w14:textId="77777777" w:rsidR="001C5298" w:rsidRPr="00AC18ED" w:rsidRDefault="008800B1" w:rsidP="00AC18ED">
      <w:pPr>
        <w:pStyle w:val="Heading2"/>
        <w:numPr>
          <w:ilvl w:val="1"/>
          <w:numId w:val="11"/>
        </w:numPr>
        <w:spacing w:before="0" w:after="120" w:line="276" w:lineRule="auto"/>
        <w:rPr>
          <w:rFonts w:ascii="Times New Roman" w:hAnsi="Times New Roman" w:cs="Times New Roman"/>
          <w:sz w:val="22"/>
          <w:szCs w:val="22"/>
        </w:rPr>
      </w:pPr>
      <w:bookmarkStart w:id="18" w:name="_Toc22630737"/>
      <w:r w:rsidRPr="00AC18ED">
        <w:rPr>
          <w:rFonts w:ascii="Times New Roman" w:hAnsi="Times New Roman" w:cs="Times New Roman"/>
          <w:sz w:val="22"/>
          <w:szCs w:val="22"/>
        </w:rPr>
        <w:lastRenderedPageBreak/>
        <w:t>Domestic</w:t>
      </w:r>
      <w:r w:rsidR="001C5298" w:rsidRPr="00AC18ED">
        <w:rPr>
          <w:rFonts w:ascii="Times New Roman" w:hAnsi="Times New Roman" w:cs="Times New Roman"/>
          <w:sz w:val="22"/>
          <w:szCs w:val="22"/>
        </w:rPr>
        <w:t xml:space="preserve"> </w:t>
      </w:r>
      <w:r w:rsidR="00682C51" w:rsidRPr="00AC18ED">
        <w:rPr>
          <w:rFonts w:ascii="Times New Roman" w:hAnsi="Times New Roman" w:cs="Times New Roman"/>
          <w:sz w:val="22"/>
          <w:szCs w:val="22"/>
        </w:rPr>
        <w:t>sector</w:t>
      </w:r>
      <w:bookmarkEnd w:id="18"/>
      <w:r w:rsidR="00682C51" w:rsidRPr="00AC18ED">
        <w:rPr>
          <w:rFonts w:ascii="Times New Roman" w:hAnsi="Times New Roman" w:cs="Times New Roman"/>
          <w:sz w:val="22"/>
          <w:szCs w:val="22"/>
        </w:rPr>
        <w:t xml:space="preserve"> </w:t>
      </w:r>
    </w:p>
    <w:p w14:paraId="68AD8372" w14:textId="4B4E965C" w:rsidR="00664BCB" w:rsidRPr="00AC18ED" w:rsidRDefault="008800B1" w:rsidP="00AC18ED">
      <w:pPr>
        <w:numPr>
          <w:ilvl w:val="2"/>
          <w:numId w:val="11"/>
        </w:numPr>
        <w:spacing w:after="120"/>
        <w:jc w:val="both"/>
        <w:rPr>
          <w:rStyle w:val="IntenseEmphasis"/>
          <w:rFonts w:ascii="Times New Roman" w:hAnsi="Times New Roman" w:cs="Times New Roman"/>
        </w:rPr>
      </w:pPr>
      <w:r w:rsidRPr="00AC18ED">
        <w:rPr>
          <w:rStyle w:val="IntenseEmphasis"/>
          <w:rFonts w:ascii="Times New Roman" w:hAnsi="Times New Roman" w:cs="Times New Roman"/>
        </w:rPr>
        <w:t xml:space="preserve">Domestic </w:t>
      </w:r>
      <w:r w:rsidR="00C56590">
        <w:rPr>
          <w:rStyle w:val="IntenseEmphasis"/>
          <w:rFonts w:ascii="Times New Roman" w:hAnsi="Times New Roman" w:cs="Times New Roman"/>
        </w:rPr>
        <w:t>r</w:t>
      </w:r>
      <w:r w:rsidR="00C56590" w:rsidRPr="00AC18ED">
        <w:rPr>
          <w:rStyle w:val="IntenseEmphasis"/>
          <w:rFonts w:ascii="Times New Roman" w:hAnsi="Times New Roman" w:cs="Times New Roman"/>
        </w:rPr>
        <w:t xml:space="preserve">esidential </w:t>
      </w:r>
      <w:r w:rsidR="00664BCB" w:rsidRPr="00AC18ED">
        <w:rPr>
          <w:rStyle w:val="IntenseEmphasis"/>
          <w:rFonts w:ascii="Times New Roman" w:hAnsi="Times New Roman" w:cs="Times New Roman"/>
        </w:rPr>
        <w:t>sector</w:t>
      </w:r>
    </w:p>
    <w:p w14:paraId="4E5FA24D" w14:textId="7CBC3F4D" w:rsidR="00F12529" w:rsidRPr="00AC18ED" w:rsidRDefault="003A69E6" w:rsidP="00AC18ED">
      <w:pPr>
        <w:spacing w:after="120" w:line="276" w:lineRule="auto"/>
        <w:jc w:val="both"/>
        <w:rPr>
          <w:rFonts w:ascii="Times New Roman" w:hAnsi="Times New Roman" w:cs="Times New Roman"/>
          <w:szCs w:val="22"/>
        </w:rPr>
      </w:pPr>
      <w:r>
        <w:rPr>
          <w:rFonts w:ascii="Times New Roman" w:hAnsi="Times New Roman" w:cs="Times New Roman"/>
          <w:noProof/>
          <w:szCs w:val="22"/>
          <w:lang w:eastAsia="en-IN" w:bidi="ar-SA"/>
        </w:rPr>
        <w:drawing>
          <wp:anchor distT="0" distB="0" distL="114300" distR="114300" simplePos="0" relativeHeight="251663360" behindDoc="1" locked="0" layoutInCell="1" allowOverlap="1" wp14:anchorId="57D89E78" wp14:editId="49D3CAAA">
            <wp:simplePos x="0" y="0"/>
            <wp:positionH relativeFrom="column">
              <wp:posOffset>2586355</wp:posOffset>
            </wp:positionH>
            <wp:positionV relativeFrom="paragraph">
              <wp:posOffset>476250</wp:posOffset>
            </wp:positionV>
            <wp:extent cx="3035935" cy="1847850"/>
            <wp:effectExtent l="0" t="0" r="0" b="0"/>
            <wp:wrapTight wrapText="bothSides">
              <wp:wrapPolygon edited="0">
                <wp:start x="0" y="0"/>
                <wp:lineTo x="0" y="21377"/>
                <wp:lineTo x="21415" y="21377"/>
                <wp:lineTo x="2141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5935" cy="1847850"/>
                    </a:xfrm>
                    <a:prstGeom prst="rect">
                      <a:avLst/>
                    </a:prstGeom>
                    <a:noFill/>
                  </pic:spPr>
                </pic:pic>
              </a:graphicData>
            </a:graphic>
            <wp14:sizeRelH relativeFrom="page">
              <wp14:pctWidth>0</wp14:pctWidth>
            </wp14:sizeRelH>
            <wp14:sizeRelV relativeFrom="page">
              <wp14:pctHeight>0</wp14:pctHeight>
            </wp14:sizeRelV>
          </wp:anchor>
        </w:drawing>
      </w:r>
      <w:r w:rsidR="002878DD" w:rsidRPr="00AC18ED">
        <w:rPr>
          <w:rFonts w:ascii="Times New Roman" w:hAnsi="Times New Roman" w:cs="Times New Roman"/>
          <w:noProof/>
          <w:szCs w:val="22"/>
          <w:lang w:eastAsia="en-IN" w:bidi="ar-SA"/>
        </w:rPr>
        <mc:AlternateContent>
          <mc:Choice Requires="wps">
            <w:drawing>
              <wp:anchor distT="0" distB="0" distL="114300" distR="114300" simplePos="0" relativeHeight="251660288" behindDoc="0" locked="0" layoutInCell="1" allowOverlap="1" wp14:anchorId="0A4F3E1C" wp14:editId="790BF782">
                <wp:simplePos x="0" y="0"/>
                <wp:positionH relativeFrom="column">
                  <wp:posOffset>2496185</wp:posOffset>
                </wp:positionH>
                <wp:positionV relativeFrom="paragraph">
                  <wp:posOffset>2322830</wp:posOffset>
                </wp:positionV>
                <wp:extent cx="3228340" cy="473710"/>
                <wp:effectExtent l="635" t="0" r="0" b="25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340" cy="47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CD2B7" w14:textId="2C921041" w:rsidR="00B66F7E" w:rsidRPr="002A73C5" w:rsidRDefault="00B66F7E" w:rsidP="002B6A4D">
                            <w:pPr>
                              <w:jc w:val="both"/>
                              <w:rPr>
                                <w:rFonts w:ascii="Times New Roman" w:hAnsi="Times New Roman"/>
                                <w:b/>
                              </w:rPr>
                            </w:pPr>
                            <w:r w:rsidRPr="002A73C5">
                              <w:rPr>
                                <w:rFonts w:ascii="Times New Roman" w:hAnsi="Times New Roman"/>
                                <w:b/>
                              </w:rPr>
                              <w:t xml:space="preserve">Figure S3: </w:t>
                            </w:r>
                            <w:r>
                              <w:rPr>
                                <w:rFonts w:ascii="Times New Roman" w:hAnsi="Times New Roman" w:cs="Times New Roman"/>
                                <w:b/>
                              </w:rPr>
                              <w:t>E</w:t>
                            </w:r>
                            <w:r w:rsidRPr="001003EB">
                              <w:rPr>
                                <w:rFonts w:ascii="Times New Roman" w:hAnsi="Times New Roman" w:cs="Times New Roman"/>
                                <w:b/>
                              </w:rPr>
                              <w:t>nergy</w:t>
                            </w:r>
                            <w:r w:rsidRPr="002A73C5">
                              <w:rPr>
                                <w:rFonts w:ascii="Times New Roman" w:hAnsi="Times New Roman"/>
                                <w:b/>
                              </w:rPr>
                              <w:t xml:space="preserve"> consumption </w:t>
                            </w:r>
                            <w:r>
                              <w:rPr>
                                <w:rFonts w:ascii="Times New Roman" w:hAnsi="Times New Roman" w:cs="Times New Roman"/>
                                <w:b/>
                              </w:rPr>
                              <w:t>(in %)</w:t>
                            </w:r>
                            <w:r w:rsidRPr="002A73C5">
                              <w:rPr>
                                <w:rFonts w:ascii="Times New Roman" w:hAnsi="Times New Roman"/>
                                <w:b/>
                              </w:rPr>
                              <w:t xml:space="preserve"> in domestic residential sector in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4F3E1C" id="_x0000_t202" coordsize="21600,21600" o:spt="202" path="m,l,21600r21600,l21600,xe">
                <v:stroke joinstyle="miter"/>
                <v:path gradientshapeok="t" o:connecttype="rect"/>
              </v:shapetype>
              <v:shape id="Text Box 2" o:spid="_x0000_s1026" type="#_x0000_t202" style="position:absolute;left:0;text-align:left;margin-left:196.55pt;margin-top:182.9pt;width:254.2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xD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" filled="f" stroked="f">
                <v:textbox>
                  <w:txbxContent>
                    <w:p w14:paraId="3AECD2B7" w14:textId="2C921041" w:rsidR="00B66F7E" w:rsidRPr="002A73C5" w:rsidRDefault="00B66F7E" w:rsidP="002B6A4D">
                      <w:pPr>
                        <w:jc w:val="both"/>
                        <w:rPr>
                          <w:rFonts w:ascii="Times New Roman" w:hAnsi="Times New Roman"/>
                          <w:b/>
                        </w:rPr>
                      </w:pPr>
                      <w:r w:rsidRPr="002A73C5">
                        <w:rPr>
                          <w:rFonts w:ascii="Times New Roman" w:hAnsi="Times New Roman"/>
                          <w:b/>
                        </w:rPr>
                        <w:t xml:space="preserve">Figure S3: </w:t>
                      </w:r>
                      <w:r>
                        <w:rPr>
                          <w:rFonts w:ascii="Times New Roman" w:hAnsi="Times New Roman" w:cs="Times New Roman"/>
                          <w:b/>
                        </w:rPr>
                        <w:t>E</w:t>
                      </w:r>
                      <w:r w:rsidRPr="001003EB">
                        <w:rPr>
                          <w:rFonts w:ascii="Times New Roman" w:hAnsi="Times New Roman" w:cs="Times New Roman"/>
                          <w:b/>
                        </w:rPr>
                        <w:t>nergy</w:t>
                      </w:r>
                      <w:r w:rsidRPr="002A73C5">
                        <w:rPr>
                          <w:rFonts w:ascii="Times New Roman" w:hAnsi="Times New Roman"/>
                          <w:b/>
                        </w:rPr>
                        <w:t xml:space="preserve"> consumption </w:t>
                      </w:r>
                      <w:r>
                        <w:rPr>
                          <w:rFonts w:ascii="Times New Roman" w:hAnsi="Times New Roman" w:cs="Times New Roman"/>
                          <w:b/>
                        </w:rPr>
                        <w:t>(in %)</w:t>
                      </w:r>
                      <w:r w:rsidRPr="002A73C5">
                        <w:rPr>
                          <w:rFonts w:ascii="Times New Roman" w:hAnsi="Times New Roman"/>
                          <w:b/>
                        </w:rPr>
                        <w:t xml:space="preserve"> in domestic residential sector in 2015</w:t>
                      </w:r>
                    </w:p>
                  </w:txbxContent>
                </v:textbox>
                <w10:wrap type="square"/>
              </v:shape>
            </w:pict>
          </mc:Fallback>
        </mc:AlternateContent>
      </w:r>
      <w:r w:rsidR="00664BCB" w:rsidRPr="00AC18ED">
        <w:rPr>
          <w:rFonts w:ascii="Times New Roman" w:hAnsi="Times New Roman" w:cs="Times New Roman"/>
          <w:szCs w:val="22"/>
        </w:rPr>
        <w:t>Activity</w:t>
      </w:r>
      <w:r w:rsidR="001C5298" w:rsidRPr="00AC18ED">
        <w:rPr>
          <w:rFonts w:ascii="Times New Roman" w:hAnsi="Times New Roman" w:cs="Times New Roman"/>
          <w:szCs w:val="22"/>
        </w:rPr>
        <w:t xml:space="preserve"> data </w:t>
      </w:r>
      <w:r w:rsidR="00F12529">
        <w:rPr>
          <w:rFonts w:ascii="Times New Roman" w:hAnsi="Times New Roman" w:cs="Times New Roman"/>
          <w:szCs w:val="22"/>
        </w:rPr>
        <w:t xml:space="preserve">on </w:t>
      </w:r>
      <w:r w:rsidR="001C5298" w:rsidRPr="00AC18ED">
        <w:rPr>
          <w:rFonts w:ascii="Times New Roman" w:hAnsi="Times New Roman" w:cs="Times New Roman"/>
          <w:szCs w:val="22"/>
        </w:rPr>
        <w:t xml:space="preserve">fuel used for cooking </w:t>
      </w:r>
      <w:r w:rsidR="0092564A">
        <w:rPr>
          <w:rFonts w:ascii="Times New Roman" w:hAnsi="Times New Roman" w:cs="Times New Roman"/>
          <w:szCs w:val="22"/>
        </w:rPr>
        <w:t>and</w:t>
      </w:r>
      <w:r w:rsidR="001C5298" w:rsidRPr="00AC18ED">
        <w:rPr>
          <w:rFonts w:ascii="Times New Roman" w:hAnsi="Times New Roman" w:cs="Times New Roman"/>
          <w:szCs w:val="22"/>
        </w:rPr>
        <w:t xml:space="preserve"> lighting in households in residential areas</w:t>
      </w:r>
      <w:r w:rsidR="00F12529">
        <w:rPr>
          <w:rFonts w:ascii="Times New Roman" w:hAnsi="Times New Roman" w:cs="Times New Roman"/>
          <w:szCs w:val="22"/>
        </w:rPr>
        <w:t xml:space="preserve"> (</w:t>
      </w:r>
      <w:r w:rsidR="001C5298" w:rsidRPr="00AC18ED">
        <w:rPr>
          <w:rFonts w:ascii="Times New Roman" w:hAnsi="Times New Roman" w:cs="Times New Roman"/>
          <w:szCs w:val="22"/>
        </w:rPr>
        <w:t>including slum areas</w:t>
      </w:r>
      <w:r w:rsidR="00F12529">
        <w:rPr>
          <w:rFonts w:ascii="Times New Roman" w:hAnsi="Times New Roman" w:cs="Times New Roman"/>
          <w:szCs w:val="22"/>
        </w:rPr>
        <w:t>) have been comprised</w:t>
      </w:r>
      <w:r w:rsidR="001C5298" w:rsidRPr="00AC18ED">
        <w:rPr>
          <w:rFonts w:ascii="Times New Roman" w:hAnsi="Times New Roman" w:cs="Times New Roman"/>
          <w:szCs w:val="22"/>
        </w:rPr>
        <w:t xml:space="preserve">. Information on </w:t>
      </w:r>
      <w:r w:rsidR="00867A0F">
        <w:rPr>
          <w:rFonts w:ascii="Times New Roman" w:hAnsi="Times New Roman" w:cs="Times New Roman"/>
          <w:szCs w:val="22"/>
        </w:rPr>
        <w:t xml:space="preserve">the </w:t>
      </w:r>
      <w:r w:rsidR="001C5298" w:rsidRPr="00AC18ED">
        <w:rPr>
          <w:rFonts w:ascii="Times New Roman" w:hAnsi="Times New Roman" w:cs="Times New Roman"/>
          <w:szCs w:val="22"/>
        </w:rPr>
        <w:t xml:space="preserve">type and quantity of fuel used, </w:t>
      </w:r>
      <w:r w:rsidR="00867A0F">
        <w:rPr>
          <w:rFonts w:ascii="Times New Roman" w:hAnsi="Times New Roman" w:cs="Times New Roman"/>
          <w:szCs w:val="22"/>
        </w:rPr>
        <w:t xml:space="preserve">and </w:t>
      </w:r>
      <w:r w:rsidR="00867A0F" w:rsidRPr="00AC18ED">
        <w:rPr>
          <w:rFonts w:ascii="Times New Roman" w:hAnsi="Times New Roman" w:cs="Times New Roman"/>
          <w:szCs w:val="22"/>
        </w:rPr>
        <w:t>the</w:t>
      </w:r>
      <w:r w:rsidR="00867A0F">
        <w:rPr>
          <w:rFonts w:ascii="Times New Roman" w:hAnsi="Times New Roman" w:cs="Times New Roman"/>
          <w:szCs w:val="22"/>
        </w:rPr>
        <w:t xml:space="preserve"> </w:t>
      </w:r>
      <w:r w:rsidR="001C5298" w:rsidRPr="00AC18ED">
        <w:rPr>
          <w:rFonts w:ascii="Times New Roman" w:hAnsi="Times New Roman" w:cs="Times New Roman"/>
          <w:szCs w:val="22"/>
        </w:rPr>
        <w:t xml:space="preserve">hours </w:t>
      </w:r>
      <w:r w:rsidR="00867A0F">
        <w:rPr>
          <w:rFonts w:ascii="Times New Roman" w:hAnsi="Times New Roman" w:cs="Times New Roman"/>
          <w:szCs w:val="22"/>
        </w:rPr>
        <w:t>when they were used</w:t>
      </w:r>
      <w:r w:rsidR="001C5298" w:rsidRPr="00AC18ED">
        <w:rPr>
          <w:rFonts w:ascii="Times New Roman" w:hAnsi="Times New Roman" w:cs="Times New Roman"/>
          <w:szCs w:val="22"/>
        </w:rPr>
        <w:t xml:space="preserve"> for cooking</w:t>
      </w:r>
      <w:r w:rsidR="00867A0F">
        <w:rPr>
          <w:rFonts w:ascii="Times New Roman" w:hAnsi="Times New Roman" w:cs="Times New Roman"/>
          <w:szCs w:val="22"/>
        </w:rPr>
        <w:t>,</w:t>
      </w:r>
      <w:r w:rsidR="001C5298" w:rsidRPr="00AC18ED">
        <w:rPr>
          <w:rFonts w:ascii="Times New Roman" w:hAnsi="Times New Roman" w:cs="Times New Roman"/>
          <w:szCs w:val="22"/>
        </w:rPr>
        <w:t xml:space="preserve"> was </w:t>
      </w:r>
      <w:r w:rsidR="00392281" w:rsidRPr="00AC18ED">
        <w:rPr>
          <w:rFonts w:ascii="Times New Roman" w:hAnsi="Times New Roman" w:cs="Times New Roman"/>
          <w:szCs w:val="22"/>
        </w:rPr>
        <w:t>estimated</w:t>
      </w:r>
      <w:r w:rsidR="001C5298" w:rsidRPr="00AC18ED">
        <w:rPr>
          <w:rFonts w:ascii="Times New Roman" w:hAnsi="Times New Roman" w:cs="Times New Roman"/>
          <w:szCs w:val="22"/>
        </w:rPr>
        <w:t xml:space="preserve"> from</w:t>
      </w:r>
      <w:r w:rsidR="00867A0F">
        <w:rPr>
          <w:rFonts w:ascii="Times New Roman" w:hAnsi="Times New Roman" w:cs="Times New Roman"/>
          <w:szCs w:val="22"/>
        </w:rPr>
        <w:t xml:space="preserve"> the</w:t>
      </w:r>
      <w:r w:rsidR="001C5298" w:rsidRPr="00AC18ED">
        <w:rPr>
          <w:rFonts w:ascii="Times New Roman" w:hAnsi="Times New Roman" w:cs="Times New Roman"/>
          <w:szCs w:val="22"/>
        </w:rPr>
        <w:t xml:space="preserve"> primary household </w:t>
      </w:r>
      <w:r w:rsidR="00392281" w:rsidRPr="00AC18ED">
        <w:rPr>
          <w:rFonts w:ascii="Times New Roman" w:hAnsi="Times New Roman" w:cs="Times New Roman"/>
          <w:szCs w:val="22"/>
        </w:rPr>
        <w:t>survey</w:t>
      </w:r>
      <w:r w:rsidR="001A5399">
        <w:rPr>
          <w:rFonts w:ascii="Times New Roman" w:hAnsi="Times New Roman" w:cs="Times New Roman"/>
          <w:szCs w:val="22"/>
        </w:rPr>
        <w:t xml:space="preserve"> conducted as part of this study</w:t>
      </w:r>
      <w:r w:rsidR="00392281" w:rsidRPr="00AC18ED">
        <w:rPr>
          <w:rFonts w:ascii="Times New Roman" w:hAnsi="Times New Roman" w:cs="Times New Roman"/>
          <w:szCs w:val="22"/>
        </w:rPr>
        <w:t>. Information on</w:t>
      </w:r>
      <w:r w:rsidR="001C5298" w:rsidRPr="00AC18ED">
        <w:rPr>
          <w:rFonts w:ascii="Times New Roman" w:hAnsi="Times New Roman" w:cs="Times New Roman"/>
          <w:szCs w:val="22"/>
        </w:rPr>
        <w:t xml:space="preserve"> population </w:t>
      </w:r>
      <w:r w:rsidR="00392281" w:rsidRPr="00AC18ED">
        <w:rPr>
          <w:rFonts w:ascii="Times New Roman" w:hAnsi="Times New Roman" w:cs="Times New Roman"/>
          <w:szCs w:val="22"/>
        </w:rPr>
        <w:t xml:space="preserve">and </w:t>
      </w:r>
      <w:r w:rsidR="00867A0F" w:rsidRPr="00AC18ED">
        <w:rPr>
          <w:rFonts w:ascii="Times New Roman" w:hAnsi="Times New Roman" w:cs="Times New Roman"/>
          <w:szCs w:val="22"/>
        </w:rPr>
        <w:t>district</w:t>
      </w:r>
      <w:r w:rsidR="00867A0F">
        <w:rPr>
          <w:rFonts w:ascii="Times New Roman" w:hAnsi="Times New Roman" w:cs="Times New Roman"/>
          <w:szCs w:val="22"/>
        </w:rPr>
        <w:t>-</w:t>
      </w:r>
      <w:r w:rsidR="00392281" w:rsidRPr="00AC18ED">
        <w:rPr>
          <w:rFonts w:ascii="Times New Roman" w:hAnsi="Times New Roman" w:cs="Times New Roman"/>
          <w:szCs w:val="22"/>
        </w:rPr>
        <w:t>wise fuel usage details for domestic purpose</w:t>
      </w:r>
      <w:r w:rsidR="0092564A">
        <w:rPr>
          <w:rFonts w:ascii="Times New Roman" w:hAnsi="Times New Roman" w:cs="Times New Roman"/>
          <w:szCs w:val="22"/>
        </w:rPr>
        <w:t>s</w:t>
      </w:r>
      <w:r w:rsidR="00392281" w:rsidRPr="00AC18ED">
        <w:rPr>
          <w:rFonts w:ascii="Times New Roman" w:hAnsi="Times New Roman" w:cs="Times New Roman"/>
          <w:szCs w:val="22"/>
        </w:rPr>
        <w:t xml:space="preserve"> </w:t>
      </w:r>
      <w:r w:rsidR="00867A0F" w:rsidRPr="00AC18ED">
        <w:rPr>
          <w:rFonts w:ascii="Times New Roman" w:hAnsi="Times New Roman" w:cs="Times New Roman"/>
          <w:szCs w:val="22"/>
        </w:rPr>
        <w:t>w</w:t>
      </w:r>
      <w:r w:rsidR="00867A0F">
        <w:rPr>
          <w:rFonts w:ascii="Times New Roman" w:hAnsi="Times New Roman" w:cs="Times New Roman"/>
          <w:szCs w:val="22"/>
        </w:rPr>
        <w:t>as</w:t>
      </w:r>
      <w:r w:rsidR="00867A0F" w:rsidRPr="00AC18ED">
        <w:rPr>
          <w:rFonts w:ascii="Times New Roman" w:hAnsi="Times New Roman" w:cs="Times New Roman"/>
          <w:szCs w:val="22"/>
        </w:rPr>
        <w:t xml:space="preserve"> </w:t>
      </w:r>
      <w:r w:rsidR="001C5298" w:rsidRPr="00AC18ED">
        <w:rPr>
          <w:rFonts w:ascii="Times New Roman" w:hAnsi="Times New Roman" w:cs="Times New Roman"/>
          <w:szCs w:val="22"/>
        </w:rPr>
        <w:t xml:space="preserve">collected from </w:t>
      </w:r>
      <w:r w:rsidR="00867A0F">
        <w:rPr>
          <w:rFonts w:ascii="Times New Roman" w:hAnsi="Times New Roman" w:cs="Times New Roman"/>
          <w:szCs w:val="22"/>
        </w:rPr>
        <w:t xml:space="preserve">the </w:t>
      </w:r>
      <w:r w:rsidR="000F3DD4">
        <w:rPr>
          <w:rFonts w:ascii="Times New Roman" w:hAnsi="Times New Roman" w:cs="Times New Roman"/>
          <w:szCs w:val="22"/>
        </w:rPr>
        <w:t xml:space="preserve">2011 </w:t>
      </w:r>
      <w:r w:rsidR="000F3DD4" w:rsidRPr="004A5E30">
        <w:rPr>
          <w:rFonts w:ascii="Times New Roman" w:hAnsi="Times New Roman" w:cs="Times New Roman"/>
          <w:szCs w:val="22"/>
        </w:rPr>
        <w:t>census (GoI</w:t>
      </w:r>
      <w:r w:rsidR="00F12529" w:rsidRPr="004A5E30">
        <w:rPr>
          <w:rFonts w:ascii="Times New Roman" w:hAnsi="Times New Roman" w:cs="Times New Roman"/>
          <w:szCs w:val="22"/>
        </w:rPr>
        <w:t>,</w:t>
      </w:r>
      <w:r w:rsidR="000F3DD4" w:rsidRPr="004A5E30">
        <w:rPr>
          <w:rFonts w:ascii="Times New Roman" w:hAnsi="Times New Roman" w:cs="Times New Roman"/>
          <w:szCs w:val="22"/>
        </w:rPr>
        <w:t xml:space="preserve"> </w:t>
      </w:r>
      <w:r w:rsidR="002878DD" w:rsidRPr="004A5E30">
        <w:rPr>
          <w:rFonts w:ascii="Times New Roman" w:hAnsi="Times New Roman" w:cs="Times New Roman"/>
          <w:szCs w:val="22"/>
        </w:rPr>
        <w:t>2011)</w:t>
      </w:r>
      <w:r w:rsidR="00867A0F" w:rsidRPr="004A5E30">
        <w:rPr>
          <w:rFonts w:ascii="Times New Roman" w:hAnsi="Times New Roman" w:cs="Times New Roman"/>
          <w:szCs w:val="22"/>
        </w:rPr>
        <w:t xml:space="preserve">. </w:t>
      </w:r>
      <w:r w:rsidR="001C5298" w:rsidRPr="00AC18ED">
        <w:rPr>
          <w:rFonts w:ascii="Times New Roman" w:hAnsi="Times New Roman" w:cs="Times New Roman"/>
          <w:szCs w:val="22"/>
        </w:rPr>
        <w:t xml:space="preserve">Electricity usage for </w:t>
      </w:r>
      <w:r w:rsidR="00867A0F">
        <w:rPr>
          <w:rFonts w:ascii="Times New Roman" w:hAnsi="Times New Roman" w:cs="Times New Roman"/>
          <w:szCs w:val="22"/>
        </w:rPr>
        <w:t xml:space="preserve">the </w:t>
      </w:r>
      <w:r w:rsidR="001C5298" w:rsidRPr="00AC18ED">
        <w:rPr>
          <w:rFonts w:ascii="Times New Roman" w:hAnsi="Times New Roman" w:cs="Times New Roman"/>
          <w:szCs w:val="22"/>
        </w:rPr>
        <w:t>domestic sector was also obtained</w:t>
      </w:r>
      <w:r w:rsidR="00D21ED2" w:rsidRPr="00AC18ED">
        <w:rPr>
          <w:rFonts w:ascii="Times New Roman" w:hAnsi="Times New Roman" w:cs="Times New Roman"/>
          <w:szCs w:val="22"/>
        </w:rPr>
        <w:t xml:space="preserve"> </w:t>
      </w:r>
      <w:r w:rsidR="00D21ED2" w:rsidRPr="004A5E30">
        <w:rPr>
          <w:rFonts w:ascii="Times New Roman" w:hAnsi="Times New Roman" w:cs="Times New Roman"/>
          <w:szCs w:val="22"/>
        </w:rPr>
        <w:t xml:space="preserve">from CESC </w:t>
      </w:r>
      <w:r w:rsidR="00867A0F" w:rsidRPr="004A5E30">
        <w:rPr>
          <w:rFonts w:ascii="Times New Roman" w:hAnsi="Times New Roman" w:cs="Times New Roman"/>
          <w:szCs w:val="22"/>
        </w:rPr>
        <w:t>(</w:t>
      </w:r>
      <w:r w:rsidR="00D21ED2" w:rsidRPr="004A5E30">
        <w:rPr>
          <w:rFonts w:ascii="Times New Roman" w:hAnsi="Times New Roman" w:cs="Times New Roman"/>
          <w:szCs w:val="22"/>
        </w:rPr>
        <w:t>2016</w:t>
      </w:r>
      <w:r w:rsidR="00867A0F" w:rsidRPr="004A5E30">
        <w:rPr>
          <w:rFonts w:ascii="Times New Roman" w:hAnsi="Times New Roman" w:cs="Times New Roman"/>
          <w:szCs w:val="22"/>
        </w:rPr>
        <w:t>) and</w:t>
      </w:r>
      <w:r w:rsidR="00774A64" w:rsidRPr="004A5E30">
        <w:rPr>
          <w:rFonts w:ascii="Times New Roman" w:hAnsi="Times New Roman" w:cs="Times New Roman"/>
          <w:szCs w:val="22"/>
        </w:rPr>
        <w:t xml:space="preserve"> </w:t>
      </w:r>
      <w:r w:rsidR="001A5399" w:rsidRPr="004A5E30">
        <w:rPr>
          <w:rFonts w:ascii="Times New Roman" w:hAnsi="Times New Roman" w:cs="Times New Roman"/>
          <w:szCs w:val="22"/>
        </w:rPr>
        <w:t>WBSEDCL</w:t>
      </w:r>
      <w:r w:rsidR="001A5399" w:rsidRPr="004A5E30" w:rsidDel="001A5399">
        <w:rPr>
          <w:rFonts w:ascii="Times New Roman" w:hAnsi="Times New Roman" w:cs="Times New Roman"/>
          <w:szCs w:val="22"/>
        </w:rPr>
        <w:t xml:space="preserve"> </w:t>
      </w:r>
      <w:r w:rsidR="00867A0F" w:rsidRPr="004A5E30">
        <w:rPr>
          <w:rFonts w:ascii="Times New Roman" w:hAnsi="Times New Roman" w:cs="Times New Roman"/>
          <w:szCs w:val="22"/>
        </w:rPr>
        <w:t>(</w:t>
      </w:r>
      <w:r w:rsidR="00D21ED2" w:rsidRPr="004A5E30">
        <w:rPr>
          <w:rFonts w:ascii="Times New Roman" w:hAnsi="Times New Roman" w:cs="Times New Roman"/>
          <w:szCs w:val="22"/>
        </w:rPr>
        <w:t>2016</w:t>
      </w:r>
      <w:r w:rsidR="00867A0F" w:rsidRPr="004A5E30">
        <w:rPr>
          <w:rFonts w:ascii="Times New Roman" w:hAnsi="Times New Roman" w:cs="Times New Roman"/>
          <w:szCs w:val="22"/>
        </w:rPr>
        <w:t>)</w:t>
      </w:r>
      <w:r w:rsidR="001C5298" w:rsidRPr="004A5E30">
        <w:rPr>
          <w:rFonts w:ascii="Times New Roman" w:hAnsi="Times New Roman" w:cs="Times New Roman"/>
          <w:szCs w:val="22"/>
        </w:rPr>
        <w:t xml:space="preserve">. The population of </w:t>
      </w:r>
      <w:r w:rsidR="00867A0F" w:rsidRPr="004A5E30">
        <w:rPr>
          <w:rFonts w:ascii="Times New Roman" w:hAnsi="Times New Roman" w:cs="Times New Roman"/>
          <w:szCs w:val="22"/>
        </w:rPr>
        <w:t xml:space="preserve">the </w:t>
      </w:r>
      <w:r w:rsidR="00A7166F" w:rsidRPr="004A5E30">
        <w:rPr>
          <w:rFonts w:ascii="Times New Roman" w:hAnsi="Times New Roman" w:cs="Times New Roman"/>
          <w:szCs w:val="22"/>
        </w:rPr>
        <w:t>KMC</w:t>
      </w:r>
      <w:r w:rsidR="001C5298" w:rsidRPr="004A5E30">
        <w:rPr>
          <w:rFonts w:ascii="Times New Roman" w:hAnsi="Times New Roman" w:cs="Times New Roman"/>
          <w:szCs w:val="22"/>
        </w:rPr>
        <w:t xml:space="preserve"> is assumed to be </w:t>
      </w:r>
      <w:r w:rsidR="001C5298" w:rsidRPr="00AC18ED">
        <w:rPr>
          <w:rFonts w:ascii="Times New Roman" w:hAnsi="Times New Roman" w:cs="Times New Roman"/>
          <w:szCs w:val="22"/>
        </w:rPr>
        <w:t>distributed among 2.</w:t>
      </w:r>
      <w:r w:rsidR="006B0F00" w:rsidRPr="00AC18ED">
        <w:rPr>
          <w:rFonts w:ascii="Times New Roman" w:hAnsi="Times New Roman" w:cs="Times New Roman"/>
          <w:szCs w:val="22"/>
        </w:rPr>
        <w:t>8</w:t>
      </w:r>
      <w:r w:rsidR="00774A64">
        <w:rPr>
          <w:rFonts w:ascii="Times New Roman" w:hAnsi="Times New Roman" w:cs="Times New Roman"/>
          <w:szCs w:val="22"/>
        </w:rPr>
        <w:t xml:space="preserve"> </w:t>
      </w:r>
      <w:r w:rsidR="001C5298" w:rsidRPr="00AC18ED">
        <w:rPr>
          <w:rFonts w:ascii="Times New Roman" w:hAnsi="Times New Roman" w:cs="Times New Roman"/>
          <w:szCs w:val="22"/>
        </w:rPr>
        <w:t>million households with an aver</w:t>
      </w:r>
      <w:r w:rsidR="008800B1" w:rsidRPr="00AC18ED">
        <w:rPr>
          <w:rFonts w:ascii="Times New Roman" w:hAnsi="Times New Roman" w:cs="Times New Roman"/>
          <w:szCs w:val="22"/>
        </w:rPr>
        <w:t xml:space="preserve">age of </w:t>
      </w:r>
      <w:r w:rsidR="00867A0F">
        <w:rPr>
          <w:rFonts w:ascii="Times New Roman" w:hAnsi="Times New Roman" w:cs="Times New Roman"/>
          <w:szCs w:val="22"/>
        </w:rPr>
        <w:t>five</w:t>
      </w:r>
      <w:r w:rsidR="00774A64">
        <w:rPr>
          <w:rFonts w:ascii="Times New Roman" w:hAnsi="Times New Roman" w:cs="Times New Roman"/>
          <w:szCs w:val="22"/>
        </w:rPr>
        <w:t xml:space="preserve"> </w:t>
      </w:r>
      <w:r w:rsidR="008800B1" w:rsidRPr="00AC18ED">
        <w:rPr>
          <w:rFonts w:ascii="Times New Roman" w:hAnsi="Times New Roman" w:cs="Times New Roman"/>
          <w:szCs w:val="22"/>
        </w:rPr>
        <w:t xml:space="preserve">people per household. </w:t>
      </w:r>
      <w:r w:rsidR="003C63B3" w:rsidRPr="00AC18ED">
        <w:rPr>
          <w:rFonts w:ascii="Times New Roman" w:hAnsi="Times New Roman" w:cs="Times New Roman"/>
          <w:szCs w:val="22"/>
        </w:rPr>
        <w:t xml:space="preserve">Figure </w:t>
      </w:r>
      <w:r w:rsidR="009A3BB2" w:rsidRPr="00AC18ED">
        <w:rPr>
          <w:rFonts w:ascii="Times New Roman" w:hAnsi="Times New Roman" w:cs="Times New Roman"/>
          <w:szCs w:val="22"/>
        </w:rPr>
        <w:t xml:space="preserve">S3 presents the share of different fuel use in </w:t>
      </w:r>
      <w:r w:rsidR="006B0F00">
        <w:rPr>
          <w:rFonts w:ascii="Times New Roman" w:hAnsi="Times New Roman" w:cs="Times New Roman"/>
          <w:szCs w:val="22"/>
        </w:rPr>
        <w:t xml:space="preserve">the </w:t>
      </w:r>
      <w:r w:rsidR="00A7166F">
        <w:rPr>
          <w:rFonts w:ascii="Times New Roman" w:hAnsi="Times New Roman" w:cs="Times New Roman"/>
          <w:szCs w:val="22"/>
        </w:rPr>
        <w:t>KMC</w:t>
      </w:r>
      <w:r w:rsidR="009A3BB2" w:rsidRPr="00AC18ED">
        <w:rPr>
          <w:rFonts w:ascii="Times New Roman" w:hAnsi="Times New Roman" w:cs="Times New Roman"/>
          <w:szCs w:val="22"/>
        </w:rPr>
        <w:t xml:space="preserve"> for household cooking, lighting</w:t>
      </w:r>
      <w:r w:rsidR="006B0F00">
        <w:rPr>
          <w:rFonts w:ascii="Times New Roman" w:hAnsi="Times New Roman" w:cs="Times New Roman"/>
          <w:szCs w:val="22"/>
        </w:rPr>
        <w:t>,</w:t>
      </w:r>
      <w:r w:rsidR="009A3BB2" w:rsidRPr="00AC18ED">
        <w:rPr>
          <w:rFonts w:ascii="Times New Roman" w:hAnsi="Times New Roman" w:cs="Times New Roman"/>
          <w:szCs w:val="22"/>
        </w:rPr>
        <w:t xml:space="preserve"> </w:t>
      </w:r>
      <w:r w:rsidR="00F12529">
        <w:rPr>
          <w:rFonts w:ascii="Times New Roman" w:hAnsi="Times New Roman" w:cs="Times New Roman"/>
          <w:szCs w:val="22"/>
        </w:rPr>
        <w:t xml:space="preserve">household </w:t>
      </w:r>
      <w:r w:rsidR="00C35CAF">
        <w:rPr>
          <w:rFonts w:ascii="Times New Roman" w:hAnsi="Times New Roman" w:cs="Times New Roman"/>
          <w:szCs w:val="22"/>
        </w:rPr>
        <w:t xml:space="preserve">appliences </w:t>
      </w:r>
      <w:r w:rsidR="009A3BB2" w:rsidRPr="00AC18ED">
        <w:rPr>
          <w:rFonts w:ascii="Times New Roman" w:hAnsi="Times New Roman" w:cs="Times New Roman"/>
          <w:szCs w:val="22"/>
        </w:rPr>
        <w:t xml:space="preserve">and </w:t>
      </w:r>
      <w:r w:rsidR="002878DD">
        <w:rPr>
          <w:rFonts w:ascii="Times New Roman" w:hAnsi="Times New Roman" w:cs="Times New Roman"/>
          <w:szCs w:val="22"/>
        </w:rPr>
        <w:t>other</w:t>
      </w:r>
      <w:r w:rsidR="002878DD" w:rsidRPr="00AC18ED">
        <w:rPr>
          <w:rFonts w:ascii="Times New Roman" w:hAnsi="Times New Roman" w:cs="Times New Roman"/>
          <w:szCs w:val="22"/>
        </w:rPr>
        <w:t xml:space="preserve"> </w:t>
      </w:r>
      <w:r w:rsidR="009A3BB2" w:rsidRPr="00AC18ED">
        <w:rPr>
          <w:rFonts w:ascii="Times New Roman" w:hAnsi="Times New Roman" w:cs="Times New Roman"/>
          <w:szCs w:val="22"/>
        </w:rPr>
        <w:t>purposes.</w:t>
      </w:r>
    </w:p>
    <w:p w14:paraId="71908D2C" w14:textId="7FEB3ECB" w:rsidR="001C5298" w:rsidRPr="00AC18ED" w:rsidRDefault="008800B1" w:rsidP="00AC18ED">
      <w:pPr>
        <w:numPr>
          <w:ilvl w:val="2"/>
          <w:numId w:val="11"/>
        </w:numPr>
        <w:spacing w:after="120"/>
        <w:jc w:val="both"/>
        <w:rPr>
          <w:rStyle w:val="IntenseEmphasis"/>
          <w:rFonts w:ascii="Times New Roman" w:hAnsi="Times New Roman" w:cs="Times New Roman"/>
        </w:rPr>
      </w:pPr>
      <w:r w:rsidRPr="00AC18ED">
        <w:rPr>
          <w:rStyle w:val="IntenseEmphasis"/>
          <w:rFonts w:ascii="Times New Roman" w:hAnsi="Times New Roman" w:cs="Times New Roman"/>
        </w:rPr>
        <w:t xml:space="preserve">Domestic </w:t>
      </w:r>
      <w:r w:rsidR="00C56590">
        <w:rPr>
          <w:rStyle w:val="IntenseEmphasis"/>
          <w:rFonts w:ascii="Times New Roman" w:hAnsi="Times New Roman" w:cs="Times New Roman"/>
        </w:rPr>
        <w:t>c</w:t>
      </w:r>
      <w:r w:rsidR="00C56590" w:rsidRPr="00AC18ED">
        <w:rPr>
          <w:rStyle w:val="IntenseEmphasis"/>
          <w:rFonts w:ascii="Times New Roman" w:hAnsi="Times New Roman" w:cs="Times New Roman"/>
        </w:rPr>
        <w:t xml:space="preserve">ommercial </w:t>
      </w:r>
      <w:r w:rsidR="001C5298" w:rsidRPr="00AC18ED">
        <w:rPr>
          <w:rStyle w:val="IntenseEmphasis"/>
          <w:rFonts w:ascii="Times New Roman" w:hAnsi="Times New Roman" w:cs="Times New Roman"/>
        </w:rPr>
        <w:t>sources</w:t>
      </w:r>
    </w:p>
    <w:p w14:paraId="5184D23C" w14:textId="6C23842E" w:rsidR="001C5298" w:rsidRPr="00AC18ED" w:rsidRDefault="000F5D03" w:rsidP="00AC18ED">
      <w:pPr>
        <w:spacing w:after="120" w:line="276" w:lineRule="auto"/>
        <w:jc w:val="both"/>
        <w:rPr>
          <w:rFonts w:ascii="Times New Roman" w:hAnsi="Times New Roman" w:cs="Times New Roman"/>
          <w:szCs w:val="22"/>
          <w:lang w:bidi="bn-IN"/>
        </w:rPr>
      </w:pPr>
      <w:r w:rsidRPr="00AC18ED">
        <w:rPr>
          <w:rFonts w:ascii="Times New Roman" w:hAnsi="Times New Roman" w:cs="Times New Roman"/>
          <w:noProof/>
          <w:szCs w:val="22"/>
          <w:lang w:eastAsia="en-IN" w:bidi="ar-SA"/>
        </w:rPr>
        <mc:AlternateContent>
          <mc:Choice Requires="wps">
            <w:drawing>
              <wp:anchor distT="0" distB="0" distL="114300" distR="114300" simplePos="0" relativeHeight="251662336" behindDoc="0" locked="0" layoutInCell="1" allowOverlap="1" wp14:anchorId="46DA2609" wp14:editId="6A5D21BE">
                <wp:simplePos x="0" y="0"/>
                <wp:positionH relativeFrom="column">
                  <wp:posOffset>2847975</wp:posOffset>
                </wp:positionH>
                <wp:positionV relativeFrom="paragraph">
                  <wp:posOffset>3517265</wp:posOffset>
                </wp:positionV>
                <wp:extent cx="2876550" cy="743585"/>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6199D" w14:textId="02981D21" w:rsidR="00B66F7E" w:rsidRPr="00C35D33" w:rsidRDefault="00B66F7E" w:rsidP="00BE2782">
                            <w:pPr>
                              <w:jc w:val="both"/>
                              <w:rPr>
                                <w:rFonts w:ascii="Times New Roman" w:hAnsi="Times New Roman" w:cs="Times New Roman"/>
                                <w:b/>
                                <w:sz w:val="20"/>
                              </w:rPr>
                            </w:pPr>
                            <w:r w:rsidRPr="00C35D33">
                              <w:rPr>
                                <w:rFonts w:ascii="Times New Roman" w:hAnsi="Times New Roman" w:cs="Times New Roman"/>
                                <w:b/>
                                <w:sz w:val="20"/>
                              </w:rPr>
                              <w:t>Figure S4: Energy consumption</w:t>
                            </w:r>
                            <w:r>
                              <w:rPr>
                                <w:rFonts w:ascii="Times New Roman" w:hAnsi="Times New Roman" w:cs="Times New Roman"/>
                                <w:b/>
                                <w:sz w:val="20"/>
                              </w:rPr>
                              <w:t xml:space="preserve"> (in %) </w:t>
                            </w:r>
                            <w:r w:rsidRPr="00C35D33">
                              <w:rPr>
                                <w:rFonts w:ascii="Times New Roman" w:hAnsi="Times New Roman" w:cs="Times New Roman"/>
                                <w:b/>
                                <w:sz w:val="20"/>
                              </w:rPr>
                              <w:t xml:space="preserve">in domestic commercial sector </w:t>
                            </w:r>
                            <w:r>
                              <w:rPr>
                                <w:rFonts w:ascii="Times New Roman" w:hAnsi="Times New Roman" w:cs="Times New Roman"/>
                                <w:b/>
                                <w:sz w:val="20"/>
                              </w:rPr>
                              <w:t xml:space="preserve">including </w:t>
                            </w:r>
                            <w:r w:rsidRPr="00C35D33">
                              <w:rPr>
                                <w:rFonts w:ascii="Times New Roman" w:hAnsi="Times New Roman" w:cs="Times New Roman"/>
                                <w:b/>
                                <w:sz w:val="20"/>
                              </w:rPr>
                              <w:t>contribution of registered hotels and unregistered eateries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DA2609" id="Text Box 5" o:spid="_x0000_s1027" type="#_x0000_t202" style="position:absolute;left:0;text-align:left;margin-left:224.25pt;margin-top:276.95pt;width:226.5pt;height:5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tuuA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" filled="f" stroked="f">
                <v:textbox>
                  <w:txbxContent>
                    <w:p w14:paraId="3DA6199D" w14:textId="02981D21" w:rsidR="00B66F7E" w:rsidRPr="00C35D33" w:rsidRDefault="00B66F7E" w:rsidP="00BE2782">
                      <w:pPr>
                        <w:jc w:val="both"/>
                        <w:rPr>
                          <w:rFonts w:ascii="Times New Roman" w:hAnsi="Times New Roman" w:cs="Times New Roman"/>
                          <w:b/>
                          <w:sz w:val="20"/>
                        </w:rPr>
                      </w:pPr>
                      <w:r w:rsidRPr="00C35D33">
                        <w:rPr>
                          <w:rFonts w:ascii="Times New Roman" w:hAnsi="Times New Roman" w:cs="Times New Roman"/>
                          <w:b/>
                          <w:sz w:val="20"/>
                        </w:rPr>
                        <w:t>Figure S4: Energy consumption</w:t>
                      </w:r>
                      <w:r>
                        <w:rPr>
                          <w:rFonts w:ascii="Times New Roman" w:hAnsi="Times New Roman" w:cs="Times New Roman"/>
                          <w:b/>
                          <w:sz w:val="20"/>
                        </w:rPr>
                        <w:t xml:space="preserve"> (in %) </w:t>
                      </w:r>
                      <w:r w:rsidRPr="00C35D33">
                        <w:rPr>
                          <w:rFonts w:ascii="Times New Roman" w:hAnsi="Times New Roman" w:cs="Times New Roman"/>
                          <w:b/>
                          <w:sz w:val="20"/>
                        </w:rPr>
                        <w:t xml:space="preserve">in domestic commercial sector </w:t>
                      </w:r>
                      <w:r>
                        <w:rPr>
                          <w:rFonts w:ascii="Times New Roman" w:hAnsi="Times New Roman" w:cs="Times New Roman"/>
                          <w:b/>
                          <w:sz w:val="20"/>
                        </w:rPr>
                        <w:t xml:space="preserve">including </w:t>
                      </w:r>
                      <w:r w:rsidRPr="00C35D33">
                        <w:rPr>
                          <w:rFonts w:ascii="Times New Roman" w:hAnsi="Times New Roman" w:cs="Times New Roman"/>
                          <w:b/>
                          <w:sz w:val="20"/>
                        </w:rPr>
                        <w:t>contribution of registered hotels and unregistered eateries</w:t>
                      </w:r>
                    </w:p>
                  </w:txbxContent>
                </v:textbox>
                <w10:wrap type="square"/>
              </v:shape>
            </w:pict>
          </mc:Fallback>
        </mc:AlternateContent>
      </w:r>
      <w:r>
        <w:rPr>
          <w:rFonts w:ascii="Times New Roman" w:hAnsi="Times New Roman" w:cs="Times New Roman"/>
          <w:noProof/>
          <w:szCs w:val="22"/>
          <w:lang w:eastAsia="en-IN" w:bidi="ar-SA"/>
        </w:rPr>
        <w:drawing>
          <wp:anchor distT="0" distB="0" distL="114300" distR="114300" simplePos="0" relativeHeight="251664384" behindDoc="1" locked="0" layoutInCell="1" allowOverlap="1" wp14:anchorId="364D4C4E" wp14:editId="37EF4321">
            <wp:simplePos x="0" y="0"/>
            <wp:positionH relativeFrom="column">
              <wp:posOffset>2847975</wp:posOffset>
            </wp:positionH>
            <wp:positionV relativeFrom="paragraph">
              <wp:posOffset>1323975</wp:posOffset>
            </wp:positionV>
            <wp:extent cx="2876550" cy="2190115"/>
            <wp:effectExtent l="0" t="0" r="0" b="635"/>
            <wp:wrapTight wrapText="bothSides">
              <wp:wrapPolygon edited="0">
                <wp:start x="0" y="0"/>
                <wp:lineTo x="0" y="21418"/>
                <wp:lineTo x="21457" y="21418"/>
                <wp:lineTo x="2145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2190115"/>
                    </a:xfrm>
                    <a:prstGeom prst="rect">
                      <a:avLst/>
                    </a:prstGeom>
                    <a:noFill/>
                  </pic:spPr>
                </pic:pic>
              </a:graphicData>
            </a:graphic>
            <wp14:sizeRelH relativeFrom="page">
              <wp14:pctWidth>0</wp14:pctWidth>
            </wp14:sizeRelH>
            <wp14:sizeRelV relativeFrom="page">
              <wp14:pctHeight>0</wp14:pctHeight>
            </wp14:sizeRelV>
          </wp:anchor>
        </w:drawing>
      </w:r>
      <w:r w:rsidR="001C5298" w:rsidRPr="00AC18ED">
        <w:rPr>
          <w:rFonts w:ascii="Times New Roman" w:hAnsi="Times New Roman" w:cs="Times New Roman"/>
          <w:szCs w:val="22"/>
          <w:lang w:bidi="bn-IN"/>
        </w:rPr>
        <w:t>Information on registered hotel</w:t>
      </w:r>
      <w:r w:rsidR="006B0F00">
        <w:rPr>
          <w:rFonts w:ascii="Times New Roman" w:hAnsi="Times New Roman" w:cs="Times New Roman"/>
          <w:szCs w:val="22"/>
          <w:lang w:bidi="bn-IN"/>
        </w:rPr>
        <w:t>s</w:t>
      </w:r>
      <w:r w:rsidR="001C5298" w:rsidRPr="00AC18ED">
        <w:rPr>
          <w:rFonts w:ascii="Times New Roman" w:hAnsi="Times New Roman" w:cs="Times New Roman"/>
          <w:szCs w:val="22"/>
          <w:lang w:bidi="bn-IN"/>
        </w:rPr>
        <w:t>, restaurants</w:t>
      </w:r>
      <w:r w:rsidR="006B0F00">
        <w:rPr>
          <w:rFonts w:ascii="Times New Roman" w:hAnsi="Times New Roman" w:cs="Times New Roman"/>
          <w:szCs w:val="22"/>
          <w:lang w:bidi="bn-IN"/>
        </w:rPr>
        <w:t>,</w:t>
      </w:r>
      <w:r w:rsidR="001C5298" w:rsidRPr="00AC18ED">
        <w:rPr>
          <w:rFonts w:ascii="Times New Roman" w:hAnsi="Times New Roman" w:cs="Times New Roman"/>
          <w:szCs w:val="22"/>
          <w:lang w:bidi="bn-IN"/>
        </w:rPr>
        <w:t xml:space="preserve"> and bakeries </w:t>
      </w:r>
      <w:r w:rsidR="006B0F00" w:rsidRPr="00AC18ED">
        <w:rPr>
          <w:rFonts w:ascii="Times New Roman" w:hAnsi="Times New Roman" w:cs="Times New Roman"/>
          <w:szCs w:val="22"/>
          <w:lang w:bidi="bn-IN"/>
        </w:rPr>
        <w:t>w</w:t>
      </w:r>
      <w:r w:rsidR="006B0F00">
        <w:rPr>
          <w:rFonts w:ascii="Times New Roman" w:hAnsi="Times New Roman" w:cs="Times New Roman"/>
          <w:szCs w:val="22"/>
          <w:lang w:bidi="bn-IN"/>
        </w:rPr>
        <w:t xml:space="preserve">as </w:t>
      </w:r>
      <w:r w:rsidR="001C5298" w:rsidRPr="00AC18ED">
        <w:rPr>
          <w:rFonts w:ascii="Times New Roman" w:hAnsi="Times New Roman" w:cs="Times New Roman"/>
          <w:szCs w:val="22"/>
          <w:lang w:bidi="bn-IN"/>
        </w:rPr>
        <w:t xml:space="preserve">collected from </w:t>
      </w:r>
      <w:r w:rsidR="006B0F00">
        <w:rPr>
          <w:rFonts w:ascii="Times New Roman" w:hAnsi="Times New Roman" w:cs="Times New Roman"/>
          <w:szCs w:val="22"/>
          <w:lang w:bidi="bn-IN"/>
        </w:rPr>
        <w:t xml:space="preserve">the </w:t>
      </w:r>
      <w:r w:rsidR="001C5298" w:rsidRPr="00AC18ED">
        <w:rPr>
          <w:rFonts w:ascii="Times New Roman" w:hAnsi="Times New Roman" w:cs="Times New Roman"/>
          <w:szCs w:val="22"/>
          <w:lang w:bidi="bn-IN"/>
        </w:rPr>
        <w:t xml:space="preserve">West Bengal Pollution Control </w:t>
      </w:r>
      <w:r w:rsidR="001C5298" w:rsidRPr="004A5E30">
        <w:rPr>
          <w:rFonts w:ascii="Times New Roman" w:hAnsi="Times New Roman" w:cs="Times New Roman"/>
          <w:szCs w:val="22"/>
          <w:lang w:bidi="bn-IN"/>
        </w:rPr>
        <w:t>Board</w:t>
      </w:r>
      <w:r w:rsidR="004350E2" w:rsidRPr="004A5E30">
        <w:rPr>
          <w:rFonts w:ascii="Times New Roman" w:hAnsi="Times New Roman" w:cs="Times New Roman"/>
          <w:szCs w:val="22"/>
          <w:lang w:bidi="bn-IN"/>
        </w:rPr>
        <w:t xml:space="preserve"> (EMIS</w:t>
      </w:r>
      <w:r w:rsidR="00F12529" w:rsidRPr="004A5E30">
        <w:rPr>
          <w:rFonts w:ascii="Times New Roman" w:hAnsi="Times New Roman" w:cs="Times New Roman"/>
          <w:szCs w:val="22"/>
          <w:lang w:bidi="bn-IN"/>
        </w:rPr>
        <w:t>,</w:t>
      </w:r>
      <w:r w:rsidR="00726BA3" w:rsidRPr="004A5E30">
        <w:rPr>
          <w:rFonts w:ascii="Times New Roman" w:hAnsi="Times New Roman" w:cs="Times New Roman"/>
          <w:szCs w:val="22"/>
          <w:lang w:bidi="bn-IN"/>
        </w:rPr>
        <w:t xml:space="preserve"> </w:t>
      </w:r>
      <w:r w:rsidR="001B7099" w:rsidRPr="004A5E30">
        <w:rPr>
          <w:rFonts w:ascii="Times New Roman" w:hAnsi="Times New Roman" w:cs="Times New Roman"/>
          <w:szCs w:val="22"/>
          <w:lang w:bidi="bn-IN"/>
        </w:rPr>
        <w:t>2015</w:t>
      </w:r>
      <w:r w:rsidR="004350E2" w:rsidRPr="004A5E30">
        <w:rPr>
          <w:rFonts w:ascii="Times New Roman" w:hAnsi="Times New Roman" w:cs="Times New Roman"/>
          <w:szCs w:val="22"/>
          <w:lang w:bidi="bn-IN"/>
        </w:rPr>
        <w:t>)</w:t>
      </w:r>
      <w:r w:rsidR="001C5298" w:rsidRPr="004A5E30">
        <w:rPr>
          <w:rFonts w:ascii="Times New Roman" w:hAnsi="Times New Roman" w:cs="Times New Roman"/>
          <w:szCs w:val="22"/>
          <w:lang w:bidi="bn-IN"/>
        </w:rPr>
        <w:t xml:space="preserve">. The fuel </w:t>
      </w:r>
      <w:r w:rsidR="001C5298" w:rsidRPr="00AC18ED">
        <w:rPr>
          <w:rFonts w:ascii="Times New Roman" w:hAnsi="Times New Roman" w:cs="Times New Roman"/>
          <w:szCs w:val="22"/>
          <w:lang w:bidi="bn-IN"/>
        </w:rPr>
        <w:t xml:space="preserve">type and monthly fuel use trend data </w:t>
      </w:r>
      <w:r w:rsidR="006B0F00" w:rsidRPr="00AC18ED">
        <w:rPr>
          <w:rFonts w:ascii="Times New Roman" w:hAnsi="Times New Roman" w:cs="Times New Roman"/>
          <w:szCs w:val="22"/>
          <w:lang w:bidi="bn-IN"/>
        </w:rPr>
        <w:t>w</w:t>
      </w:r>
      <w:r w:rsidR="006B0F00">
        <w:rPr>
          <w:rFonts w:ascii="Times New Roman" w:hAnsi="Times New Roman" w:cs="Times New Roman"/>
          <w:szCs w:val="22"/>
          <w:lang w:bidi="bn-IN"/>
        </w:rPr>
        <w:t>ere</w:t>
      </w:r>
      <w:r w:rsidR="006B0F00" w:rsidRPr="00AC18ED">
        <w:rPr>
          <w:rFonts w:ascii="Times New Roman" w:hAnsi="Times New Roman" w:cs="Times New Roman"/>
          <w:szCs w:val="22"/>
          <w:lang w:bidi="bn-IN"/>
        </w:rPr>
        <w:t xml:space="preserve"> </w:t>
      </w:r>
      <w:r w:rsidR="001C5298" w:rsidRPr="00AC18ED">
        <w:rPr>
          <w:rFonts w:ascii="Times New Roman" w:hAnsi="Times New Roman" w:cs="Times New Roman"/>
          <w:szCs w:val="22"/>
          <w:lang w:bidi="bn-IN"/>
        </w:rPr>
        <w:t xml:space="preserve">obtained from </w:t>
      </w:r>
      <w:r w:rsidR="0092564A">
        <w:rPr>
          <w:rFonts w:ascii="Times New Roman" w:hAnsi="Times New Roman" w:cs="Times New Roman"/>
          <w:szCs w:val="22"/>
          <w:lang w:bidi="bn-IN"/>
        </w:rPr>
        <w:t xml:space="preserve">a </w:t>
      </w:r>
      <w:r w:rsidR="001C5298" w:rsidRPr="00AC18ED">
        <w:rPr>
          <w:rFonts w:ascii="Times New Roman" w:hAnsi="Times New Roman" w:cs="Times New Roman"/>
          <w:szCs w:val="22"/>
          <w:lang w:bidi="bn-IN"/>
        </w:rPr>
        <w:t xml:space="preserve">primary survey </w:t>
      </w:r>
      <w:r w:rsidR="00556A96">
        <w:rPr>
          <w:rFonts w:ascii="Times New Roman" w:hAnsi="Times New Roman" w:cs="Times New Roman"/>
          <w:szCs w:val="22"/>
          <w:lang w:bidi="bn-IN"/>
        </w:rPr>
        <w:t xml:space="preserve">conducted as part of this </w:t>
      </w:r>
      <w:r w:rsidR="00391451">
        <w:rPr>
          <w:rFonts w:ascii="Times New Roman" w:hAnsi="Times New Roman" w:cs="Times New Roman"/>
          <w:szCs w:val="22"/>
          <w:lang w:bidi="bn-IN"/>
        </w:rPr>
        <w:t>s</w:t>
      </w:r>
      <w:r w:rsidR="00556A96">
        <w:rPr>
          <w:rFonts w:ascii="Times New Roman" w:hAnsi="Times New Roman" w:cs="Times New Roman"/>
          <w:szCs w:val="22"/>
          <w:lang w:bidi="bn-IN"/>
        </w:rPr>
        <w:t xml:space="preserve">tudy </w:t>
      </w:r>
      <w:r w:rsidR="001C5298" w:rsidRPr="00AC18ED">
        <w:rPr>
          <w:rFonts w:ascii="Times New Roman" w:hAnsi="Times New Roman" w:cs="Times New Roman"/>
          <w:szCs w:val="22"/>
          <w:lang w:bidi="bn-IN"/>
        </w:rPr>
        <w:t xml:space="preserve">in representative </w:t>
      </w:r>
      <w:r w:rsidR="00914E95" w:rsidRPr="00AC18ED">
        <w:rPr>
          <w:rFonts w:ascii="Times New Roman" w:hAnsi="Times New Roman" w:cs="Times New Roman"/>
          <w:szCs w:val="22"/>
          <w:lang w:bidi="bn-IN"/>
        </w:rPr>
        <w:t xml:space="preserve">hotels </w:t>
      </w:r>
      <w:r w:rsidR="001C5298" w:rsidRPr="00AC18ED">
        <w:rPr>
          <w:rFonts w:ascii="Times New Roman" w:hAnsi="Times New Roman" w:cs="Times New Roman"/>
          <w:szCs w:val="22"/>
          <w:lang w:bidi="bn-IN"/>
        </w:rPr>
        <w:t xml:space="preserve">and restaurants </w:t>
      </w:r>
      <w:r w:rsidR="006B0F00">
        <w:rPr>
          <w:rFonts w:ascii="Times New Roman" w:hAnsi="Times New Roman" w:cs="Times New Roman"/>
          <w:szCs w:val="22"/>
          <w:lang w:bidi="bn-IN"/>
        </w:rPr>
        <w:t xml:space="preserve">to </w:t>
      </w:r>
      <w:r w:rsidR="0092564A">
        <w:rPr>
          <w:rFonts w:ascii="Times New Roman" w:hAnsi="Times New Roman" w:cs="Times New Roman"/>
          <w:szCs w:val="22"/>
          <w:lang w:bidi="bn-IN"/>
        </w:rPr>
        <w:t xml:space="preserve">allow </w:t>
      </w:r>
      <w:r w:rsidR="001C5298" w:rsidRPr="00AC18ED">
        <w:rPr>
          <w:rFonts w:ascii="Times New Roman" w:hAnsi="Times New Roman" w:cs="Times New Roman"/>
          <w:szCs w:val="22"/>
          <w:lang w:bidi="bn-IN"/>
        </w:rPr>
        <w:t>total fuel usage in this sector</w:t>
      </w:r>
      <w:r w:rsidR="0092564A">
        <w:rPr>
          <w:rFonts w:ascii="Times New Roman" w:hAnsi="Times New Roman" w:cs="Times New Roman"/>
          <w:szCs w:val="22"/>
          <w:lang w:bidi="bn-IN"/>
        </w:rPr>
        <w:t xml:space="preserve"> to be calculated.</w:t>
      </w:r>
      <w:r w:rsidR="001C5298" w:rsidRPr="00AC18ED">
        <w:rPr>
          <w:rFonts w:ascii="Times New Roman" w:hAnsi="Times New Roman" w:cs="Times New Roman"/>
          <w:szCs w:val="22"/>
          <w:lang w:bidi="bn-IN"/>
        </w:rPr>
        <w:t xml:space="preserve"> Packed LPG data used for </w:t>
      </w:r>
      <w:r w:rsidR="006B0F00">
        <w:rPr>
          <w:rFonts w:ascii="Times New Roman" w:hAnsi="Times New Roman" w:cs="Times New Roman"/>
          <w:szCs w:val="22"/>
          <w:lang w:bidi="bn-IN"/>
        </w:rPr>
        <w:t xml:space="preserve">the </w:t>
      </w:r>
      <w:r w:rsidR="001C5298" w:rsidRPr="00AC18ED">
        <w:rPr>
          <w:rFonts w:ascii="Times New Roman" w:hAnsi="Times New Roman" w:cs="Times New Roman"/>
          <w:szCs w:val="22"/>
          <w:lang w:bidi="bn-IN"/>
        </w:rPr>
        <w:t xml:space="preserve">industrial sector </w:t>
      </w:r>
      <w:r w:rsidR="006B0F00" w:rsidRPr="00AC18ED">
        <w:rPr>
          <w:rFonts w:ascii="Times New Roman" w:hAnsi="Times New Roman" w:cs="Times New Roman"/>
          <w:szCs w:val="22"/>
          <w:lang w:bidi="bn-IN"/>
        </w:rPr>
        <w:t>w</w:t>
      </w:r>
      <w:r w:rsidR="006B0F00">
        <w:rPr>
          <w:rFonts w:ascii="Times New Roman" w:hAnsi="Times New Roman" w:cs="Times New Roman"/>
          <w:szCs w:val="22"/>
          <w:lang w:bidi="bn-IN"/>
        </w:rPr>
        <w:t>ere</w:t>
      </w:r>
      <w:r w:rsidR="006B0F00" w:rsidRPr="00AC18ED">
        <w:rPr>
          <w:rFonts w:ascii="Times New Roman" w:hAnsi="Times New Roman" w:cs="Times New Roman"/>
          <w:szCs w:val="22"/>
          <w:lang w:bidi="bn-IN"/>
        </w:rPr>
        <w:t xml:space="preserve"> </w:t>
      </w:r>
      <w:r w:rsidR="001C5298" w:rsidRPr="00AC18ED">
        <w:rPr>
          <w:rFonts w:ascii="Times New Roman" w:hAnsi="Times New Roman" w:cs="Times New Roman"/>
          <w:szCs w:val="22"/>
          <w:lang w:bidi="bn-IN"/>
        </w:rPr>
        <w:t xml:space="preserve">obtained from sales data and considered under </w:t>
      </w:r>
      <w:r w:rsidR="006B0F00">
        <w:rPr>
          <w:rFonts w:ascii="Times New Roman" w:hAnsi="Times New Roman" w:cs="Times New Roman"/>
          <w:szCs w:val="22"/>
          <w:lang w:bidi="bn-IN"/>
        </w:rPr>
        <w:t xml:space="preserve">the </w:t>
      </w:r>
      <w:r w:rsidR="001C5298" w:rsidRPr="00AC18ED">
        <w:rPr>
          <w:rFonts w:ascii="Times New Roman" w:hAnsi="Times New Roman" w:cs="Times New Roman"/>
          <w:szCs w:val="22"/>
          <w:lang w:bidi="bn-IN"/>
        </w:rPr>
        <w:t>domestic commercial sector for this study.</w:t>
      </w:r>
      <w:r w:rsidR="002E1D6B" w:rsidRPr="00AC18ED">
        <w:rPr>
          <w:rFonts w:ascii="Times New Roman" w:hAnsi="Times New Roman" w:cs="Times New Roman"/>
          <w:szCs w:val="22"/>
          <w:lang w:bidi="bn-IN"/>
        </w:rPr>
        <w:t xml:space="preserve"> </w:t>
      </w:r>
      <w:r w:rsidR="001C5298" w:rsidRPr="00AC18ED">
        <w:rPr>
          <w:rFonts w:ascii="Times New Roman" w:hAnsi="Times New Roman" w:cs="Times New Roman"/>
          <w:szCs w:val="22"/>
          <w:lang w:bidi="bn-IN"/>
        </w:rPr>
        <w:t>There</w:t>
      </w:r>
      <w:r w:rsidR="006B0F00">
        <w:rPr>
          <w:rFonts w:ascii="Times New Roman" w:hAnsi="Times New Roman" w:cs="Times New Roman"/>
          <w:szCs w:val="22"/>
          <w:lang w:bidi="bn-IN"/>
        </w:rPr>
        <w:t xml:space="preserve"> are</w:t>
      </w:r>
      <w:r w:rsidR="001C5298" w:rsidRPr="00AC18ED">
        <w:rPr>
          <w:rFonts w:ascii="Times New Roman" w:hAnsi="Times New Roman" w:cs="Times New Roman"/>
          <w:szCs w:val="22"/>
          <w:lang w:bidi="bn-IN"/>
        </w:rPr>
        <w:t xml:space="preserve"> a considerable number of unregistered hotel</w:t>
      </w:r>
      <w:r w:rsidR="0092564A">
        <w:rPr>
          <w:rFonts w:ascii="Times New Roman" w:hAnsi="Times New Roman" w:cs="Times New Roman"/>
          <w:szCs w:val="22"/>
          <w:lang w:bidi="bn-IN"/>
        </w:rPr>
        <w:t>s</w:t>
      </w:r>
      <w:r w:rsidR="001C5298" w:rsidRPr="00AC18ED">
        <w:rPr>
          <w:rFonts w:ascii="Times New Roman" w:hAnsi="Times New Roman" w:cs="Times New Roman"/>
          <w:szCs w:val="22"/>
          <w:lang w:bidi="bn-IN"/>
        </w:rPr>
        <w:t xml:space="preserve"> and roadside eateries in operation in Kolkata. They serve good quality food </w:t>
      </w:r>
      <w:r w:rsidR="006B0F00">
        <w:rPr>
          <w:rFonts w:ascii="Times New Roman" w:hAnsi="Times New Roman" w:cs="Times New Roman"/>
          <w:szCs w:val="22"/>
          <w:lang w:bidi="bn-IN"/>
        </w:rPr>
        <w:t xml:space="preserve">at a </w:t>
      </w:r>
      <w:r w:rsidR="001C5298" w:rsidRPr="00AC18ED">
        <w:rPr>
          <w:rFonts w:ascii="Times New Roman" w:hAnsi="Times New Roman" w:cs="Times New Roman"/>
          <w:szCs w:val="22"/>
          <w:lang w:bidi="bn-IN"/>
        </w:rPr>
        <w:t xml:space="preserve">cheap price to </w:t>
      </w:r>
      <w:r w:rsidR="006B0F00">
        <w:rPr>
          <w:rFonts w:ascii="Times New Roman" w:hAnsi="Times New Roman" w:cs="Times New Roman"/>
          <w:szCs w:val="22"/>
          <w:lang w:bidi="bn-IN"/>
        </w:rPr>
        <w:t xml:space="preserve">a </w:t>
      </w:r>
      <w:r w:rsidR="001C5298" w:rsidRPr="00AC18ED">
        <w:rPr>
          <w:rFonts w:ascii="Times New Roman" w:hAnsi="Times New Roman" w:cs="Times New Roman"/>
          <w:szCs w:val="22"/>
          <w:lang w:bidi="bn-IN"/>
        </w:rPr>
        <w:t>huge number of</w:t>
      </w:r>
      <w:r w:rsidR="006B0F00">
        <w:rPr>
          <w:rFonts w:ascii="Times New Roman" w:hAnsi="Times New Roman" w:cs="Times New Roman"/>
          <w:szCs w:val="22"/>
          <w:lang w:bidi="bn-IN"/>
        </w:rPr>
        <w:t xml:space="preserve"> the</w:t>
      </w:r>
      <w:r w:rsidR="001C5298" w:rsidRPr="00AC18ED">
        <w:rPr>
          <w:rFonts w:ascii="Times New Roman" w:hAnsi="Times New Roman" w:cs="Times New Roman"/>
          <w:szCs w:val="22"/>
          <w:lang w:bidi="bn-IN"/>
        </w:rPr>
        <w:t xml:space="preserve"> city</w:t>
      </w:r>
      <w:r w:rsidR="00907B68">
        <w:rPr>
          <w:rFonts w:ascii="Times New Roman" w:hAnsi="Times New Roman" w:cs="Times New Roman"/>
          <w:szCs w:val="22"/>
          <w:lang w:bidi="bn-IN"/>
        </w:rPr>
        <w:t xml:space="preserve"> dwellers</w:t>
      </w:r>
      <w:r w:rsidR="001C5298" w:rsidRPr="00AC18ED">
        <w:rPr>
          <w:rFonts w:ascii="Times New Roman" w:hAnsi="Times New Roman" w:cs="Times New Roman"/>
          <w:szCs w:val="22"/>
          <w:lang w:bidi="bn-IN"/>
        </w:rPr>
        <w:t xml:space="preserve">. They are part of the reason </w:t>
      </w:r>
      <w:r w:rsidR="006B0F00">
        <w:rPr>
          <w:rFonts w:ascii="Times New Roman" w:hAnsi="Times New Roman" w:cs="Times New Roman"/>
          <w:szCs w:val="22"/>
          <w:lang w:bidi="bn-IN"/>
        </w:rPr>
        <w:t xml:space="preserve">why </w:t>
      </w:r>
      <w:r w:rsidR="001C5298" w:rsidRPr="00AC18ED">
        <w:rPr>
          <w:rFonts w:ascii="Times New Roman" w:hAnsi="Times New Roman" w:cs="Times New Roman"/>
          <w:szCs w:val="22"/>
          <w:lang w:bidi="bn-IN"/>
        </w:rPr>
        <w:t xml:space="preserve">Kolkata is known as one of the cheapest </w:t>
      </w:r>
      <w:r w:rsidR="00726BA3" w:rsidRPr="00AC18ED">
        <w:rPr>
          <w:rFonts w:ascii="Times New Roman" w:hAnsi="Times New Roman" w:cs="Times New Roman"/>
          <w:szCs w:val="22"/>
          <w:lang w:bidi="bn-IN"/>
        </w:rPr>
        <w:t>metro</w:t>
      </w:r>
      <w:r w:rsidR="00726BA3">
        <w:rPr>
          <w:rFonts w:ascii="Times New Roman" w:hAnsi="Times New Roman" w:cs="Times New Roman"/>
          <w:szCs w:val="22"/>
          <w:lang w:bidi="bn-IN"/>
        </w:rPr>
        <w:t>politan cities</w:t>
      </w:r>
      <w:r w:rsidR="00726BA3" w:rsidRPr="00AC18ED">
        <w:rPr>
          <w:rFonts w:ascii="Times New Roman" w:hAnsi="Times New Roman" w:cs="Times New Roman"/>
          <w:szCs w:val="22"/>
          <w:lang w:bidi="bn-IN"/>
        </w:rPr>
        <w:t xml:space="preserve"> </w:t>
      </w:r>
      <w:r w:rsidR="001C5298" w:rsidRPr="00AC18ED">
        <w:rPr>
          <w:rFonts w:ascii="Times New Roman" w:hAnsi="Times New Roman" w:cs="Times New Roman"/>
          <w:szCs w:val="22"/>
          <w:lang w:bidi="bn-IN"/>
        </w:rPr>
        <w:t xml:space="preserve">in India. A </w:t>
      </w:r>
      <w:r w:rsidR="006B0F00" w:rsidRPr="00AC18ED">
        <w:rPr>
          <w:rFonts w:ascii="Times New Roman" w:hAnsi="Times New Roman" w:cs="Times New Roman"/>
          <w:szCs w:val="22"/>
          <w:lang w:bidi="bn-IN"/>
        </w:rPr>
        <w:t>question</w:t>
      </w:r>
      <w:r w:rsidR="006B0F00">
        <w:rPr>
          <w:rFonts w:ascii="Times New Roman" w:hAnsi="Times New Roman" w:cs="Times New Roman"/>
          <w:szCs w:val="22"/>
          <w:lang w:bidi="bn-IN"/>
        </w:rPr>
        <w:t>-</w:t>
      </w:r>
      <w:r w:rsidR="000F7CD2" w:rsidRPr="00AC18ED">
        <w:rPr>
          <w:rFonts w:ascii="Times New Roman" w:hAnsi="Times New Roman" w:cs="Times New Roman"/>
          <w:szCs w:val="22"/>
          <w:lang w:bidi="bn-IN"/>
        </w:rPr>
        <w:t xml:space="preserve">based </w:t>
      </w:r>
      <w:r w:rsidR="004966A7" w:rsidRPr="00AC18ED">
        <w:rPr>
          <w:rFonts w:ascii="Times New Roman" w:hAnsi="Times New Roman" w:cs="Times New Roman"/>
          <w:szCs w:val="22"/>
          <w:lang w:bidi="bn-IN"/>
        </w:rPr>
        <w:t>in</w:t>
      </w:r>
      <w:r w:rsidR="000F7CD2" w:rsidRPr="00AC18ED">
        <w:rPr>
          <w:rFonts w:ascii="Times New Roman" w:hAnsi="Times New Roman" w:cs="Times New Roman"/>
          <w:szCs w:val="22"/>
          <w:lang w:bidi="bn-IN"/>
        </w:rPr>
        <w:t>-</w:t>
      </w:r>
      <w:r w:rsidR="004966A7" w:rsidRPr="00AC18ED">
        <w:rPr>
          <w:rFonts w:ascii="Times New Roman" w:hAnsi="Times New Roman" w:cs="Times New Roman"/>
          <w:szCs w:val="22"/>
          <w:lang w:bidi="bn-IN"/>
        </w:rPr>
        <w:t xml:space="preserve">house </w:t>
      </w:r>
      <w:r w:rsidR="000F7CD2" w:rsidRPr="00AC18ED">
        <w:rPr>
          <w:rFonts w:ascii="Times New Roman" w:hAnsi="Times New Roman" w:cs="Times New Roman"/>
          <w:szCs w:val="22"/>
          <w:lang w:bidi="bn-IN"/>
        </w:rPr>
        <w:t xml:space="preserve">primary </w:t>
      </w:r>
      <w:r w:rsidR="001C5298" w:rsidRPr="00AC18ED">
        <w:rPr>
          <w:rFonts w:ascii="Times New Roman" w:hAnsi="Times New Roman" w:cs="Times New Roman"/>
          <w:szCs w:val="22"/>
          <w:lang w:bidi="bn-IN"/>
        </w:rPr>
        <w:t xml:space="preserve">survey </w:t>
      </w:r>
      <w:r w:rsidR="006B0F00" w:rsidRPr="00AC18ED">
        <w:rPr>
          <w:rFonts w:ascii="Times New Roman" w:hAnsi="Times New Roman" w:cs="Times New Roman"/>
          <w:szCs w:val="22"/>
          <w:lang w:bidi="bn-IN"/>
        </w:rPr>
        <w:t>w</w:t>
      </w:r>
      <w:r w:rsidR="006B0F00">
        <w:rPr>
          <w:rFonts w:ascii="Times New Roman" w:hAnsi="Times New Roman" w:cs="Times New Roman"/>
          <w:szCs w:val="22"/>
          <w:lang w:bidi="bn-IN"/>
        </w:rPr>
        <w:t xml:space="preserve">as </w:t>
      </w:r>
      <w:r w:rsidR="001C5298" w:rsidRPr="00AC18ED">
        <w:rPr>
          <w:rFonts w:ascii="Times New Roman" w:hAnsi="Times New Roman" w:cs="Times New Roman"/>
          <w:szCs w:val="22"/>
          <w:lang w:bidi="bn-IN"/>
        </w:rPr>
        <w:t>undertaken in 2017</w:t>
      </w:r>
      <w:r w:rsidR="00556A96">
        <w:rPr>
          <w:rFonts w:ascii="Times New Roman" w:hAnsi="Times New Roman" w:cs="Times New Roman"/>
          <w:szCs w:val="22"/>
          <w:lang w:bidi="bn-IN"/>
        </w:rPr>
        <w:t xml:space="preserve"> as part of the present study</w:t>
      </w:r>
      <w:r w:rsidR="001C5298" w:rsidRPr="00AC18ED">
        <w:rPr>
          <w:rFonts w:ascii="Times New Roman" w:hAnsi="Times New Roman" w:cs="Times New Roman"/>
          <w:szCs w:val="22"/>
          <w:lang w:bidi="bn-IN"/>
        </w:rPr>
        <w:t xml:space="preserve"> to assess the number of such estab</w:t>
      </w:r>
      <w:r w:rsidR="004966A7" w:rsidRPr="00AC18ED">
        <w:rPr>
          <w:rFonts w:ascii="Times New Roman" w:hAnsi="Times New Roman" w:cs="Times New Roman"/>
          <w:szCs w:val="22"/>
          <w:lang w:bidi="bn-IN"/>
        </w:rPr>
        <w:t>lishments</w:t>
      </w:r>
      <w:r w:rsidR="006B0F00">
        <w:rPr>
          <w:rFonts w:ascii="Times New Roman" w:hAnsi="Times New Roman" w:cs="Times New Roman"/>
          <w:szCs w:val="22"/>
          <w:lang w:bidi="bn-IN"/>
        </w:rPr>
        <w:t xml:space="preserve"> and </w:t>
      </w:r>
      <w:r w:rsidR="004966A7" w:rsidRPr="00AC18ED">
        <w:rPr>
          <w:rFonts w:ascii="Times New Roman" w:hAnsi="Times New Roman" w:cs="Times New Roman"/>
          <w:szCs w:val="22"/>
          <w:lang w:bidi="bn-IN"/>
        </w:rPr>
        <w:t xml:space="preserve">their fuel </w:t>
      </w:r>
      <w:r w:rsidR="0092564A" w:rsidRPr="00AC18ED">
        <w:rPr>
          <w:rFonts w:ascii="Times New Roman" w:hAnsi="Times New Roman" w:cs="Times New Roman"/>
          <w:szCs w:val="22"/>
          <w:lang w:bidi="bn-IN"/>
        </w:rPr>
        <w:t>us</w:t>
      </w:r>
      <w:r w:rsidR="0092564A">
        <w:rPr>
          <w:rFonts w:ascii="Times New Roman" w:hAnsi="Times New Roman" w:cs="Times New Roman"/>
          <w:szCs w:val="22"/>
          <w:lang w:bidi="bn-IN"/>
        </w:rPr>
        <w:t>e</w:t>
      </w:r>
      <w:r w:rsidR="006B0F00">
        <w:rPr>
          <w:rFonts w:ascii="Times New Roman" w:hAnsi="Times New Roman" w:cs="Times New Roman"/>
          <w:szCs w:val="22"/>
          <w:lang w:bidi="bn-IN"/>
        </w:rPr>
        <w:t>,</w:t>
      </w:r>
      <w:r w:rsidR="004966A7" w:rsidRPr="00AC18ED">
        <w:rPr>
          <w:rFonts w:ascii="Times New Roman" w:hAnsi="Times New Roman" w:cs="Times New Roman"/>
          <w:szCs w:val="22"/>
          <w:lang w:bidi="bn-IN"/>
        </w:rPr>
        <w:t xml:space="preserve"> etc</w:t>
      </w:r>
      <w:r w:rsidR="00736C41" w:rsidRPr="00AC18ED">
        <w:rPr>
          <w:rFonts w:ascii="Times New Roman" w:hAnsi="Times New Roman" w:cs="Times New Roman"/>
          <w:szCs w:val="22"/>
          <w:lang w:bidi="bn-IN"/>
        </w:rPr>
        <w:t>.</w:t>
      </w:r>
      <w:r w:rsidR="001C5298" w:rsidRPr="00AC18ED">
        <w:rPr>
          <w:rFonts w:ascii="Times New Roman" w:hAnsi="Times New Roman" w:cs="Times New Roman"/>
          <w:szCs w:val="22"/>
          <w:lang w:bidi="bn-IN"/>
        </w:rPr>
        <w:t xml:space="preserve"> </w:t>
      </w:r>
      <w:r w:rsidR="004966A7" w:rsidRPr="00AC18ED">
        <w:rPr>
          <w:rFonts w:ascii="Times New Roman" w:hAnsi="Times New Roman" w:cs="Times New Roman"/>
          <w:szCs w:val="22"/>
          <w:lang w:bidi="bn-IN"/>
        </w:rPr>
        <w:t xml:space="preserve">For the </w:t>
      </w:r>
      <w:r w:rsidR="006B0F00" w:rsidRPr="00AC18ED">
        <w:rPr>
          <w:rFonts w:ascii="Times New Roman" w:hAnsi="Times New Roman" w:cs="Times New Roman"/>
          <w:szCs w:val="22"/>
          <w:lang w:bidi="bn-IN"/>
        </w:rPr>
        <w:t>purpose</w:t>
      </w:r>
      <w:r w:rsidR="006B0F00">
        <w:rPr>
          <w:rFonts w:ascii="Times New Roman" w:hAnsi="Times New Roman" w:cs="Times New Roman"/>
          <w:szCs w:val="22"/>
          <w:lang w:bidi="bn-IN"/>
        </w:rPr>
        <w:t>s of the s</w:t>
      </w:r>
      <w:r w:rsidR="004966A7" w:rsidRPr="00AC18ED">
        <w:rPr>
          <w:rFonts w:ascii="Times New Roman" w:hAnsi="Times New Roman" w:cs="Times New Roman"/>
          <w:szCs w:val="22"/>
          <w:lang w:bidi="bn-IN"/>
        </w:rPr>
        <w:t>urvey</w:t>
      </w:r>
      <w:r w:rsidR="006B0F00">
        <w:rPr>
          <w:rFonts w:ascii="Times New Roman" w:hAnsi="Times New Roman" w:cs="Times New Roman"/>
          <w:szCs w:val="22"/>
          <w:lang w:bidi="bn-IN"/>
        </w:rPr>
        <w:t>, the</w:t>
      </w:r>
      <w:r w:rsidR="004966A7" w:rsidRPr="00AC18ED">
        <w:rPr>
          <w:rFonts w:ascii="Times New Roman" w:hAnsi="Times New Roman" w:cs="Times New Roman"/>
          <w:szCs w:val="22"/>
          <w:lang w:bidi="bn-IN"/>
        </w:rPr>
        <w:t xml:space="preserve"> </w:t>
      </w:r>
      <w:r w:rsidR="00A7166F">
        <w:rPr>
          <w:rFonts w:ascii="Times New Roman" w:hAnsi="Times New Roman" w:cs="Times New Roman"/>
          <w:szCs w:val="22"/>
          <w:lang w:bidi="bn-IN"/>
        </w:rPr>
        <w:t>KMC</w:t>
      </w:r>
      <w:r w:rsidR="004966A7" w:rsidRPr="00AC18ED">
        <w:rPr>
          <w:rFonts w:ascii="Times New Roman" w:hAnsi="Times New Roman" w:cs="Times New Roman"/>
          <w:szCs w:val="22"/>
          <w:lang w:bidi="bn-IN"/>
        </w:rPr>
        <w:t xml:space="preserve"> area </w:t>
      </w:r>
      <w:r w:rsidR="006B0F00" w:rsidRPr="00AC18ED">
        <w:rPr>
          <w:rFonts w:ascii="Times New Roman" w:hAnsi="Times New Roman" w:cs="Times New Roman"/>
          <w:szCs w:val="22"/>
          <w:lang w:bidi="bn-IN"/>
        </w:rPr>
        <w:t>w</w:t>
      </w:r>
      <w:r w:rsidR="006B0F00">
        <w:rPr>
          <w:rFonts w:ascii="Times New Roman" w:hAnsi="Times New Roman" w:cs="Times New Roman"/>
          <w:szCs w:val="22"/>
          <w:lang w:bidi="bn-IN"/>
        </w:rPr>
        <w:t>as</w:t>
      </w:r>
      <w:r w:rsidR="006B0F00" w:rsidRPr="00AC18ED">
        <w:rPr>
          <w:rFonts w:ascii="Times New Roman" w:hAnsi="Times New Roman" w:cs="Times New Roman"/>
          <w:szCs w:val="22"/>
          <w:lang w:bidi="bn-IN"/>
        </w:rPr>
        <w:t xml:space="preserve"> </w:t>
      </w:r>
      <w:r w:rsidR="004966A7" w:rsidRPr="00AC18ED">
        <w:rPr>
          <w:rFonts w:ascii="Times New Roman" w:hAnsi="Times New Roman" w:cs="Times New Roman"/>
          <w:szCs w:val="22"/>
          <w:lang w:bidi="bn-IN"/>
        </w:rPr>
        <w:t>divided in</w:t>
      </w:r>
      <w:r w:rsidR="006B0F00">
        <w:rPr>
          <w:rFonts w:ascii="Times New Roman" w:hAnsi="Times New Roman" w:cs="Times New Roman"/>
          <w:szCs w:val="22"/>
          <w:lang w:bidi="bn-IN"/>
        </w:rPr>
        <w:t>t</w:t>
      </w:r>
      <w:r w:rsidR="0092564A">
        <w:rPr>
          <w:rFonts w:ascii="Times New Roman" w:hAnsi="Times New Roman" w:cs="Times New Roman"/>
          <w:szCs w:val="22"/>
          <w:lang w:bidi="bn-IN"/>
        </w:rPr>
        <w:t>o a</w:t>
      </w:r>
      <w:r w:rsidR="004966A7" w:rsidRPr="00AC18ED">
        <w:rPr>
          <w:rFonts w:ascii="Times New Roman" w:hAnsi="Times New Roman" w:cs="Times New Roman"/>
          <w:szCs w:val="22"/>
          <w:lang w:bidi="bn-IN"/>
        </w:rPr>
        <w:t xml:space="preserve"> 2 km x 2 km grid. Eight representative grids were chose</w:t>
      </w:r>
      <w:r w:rsidR="006B0F00">
        <w:rPr>
          <w:rFonts w:ascii="Times New Roman" w:hAnsi="Times New Roman" w:cs="Times New Roman"/>
          <w:szCs w:val="22"/>
          <w:lang w:bidi="bn-IN"/>
        </w:rPr>
        <w:t>n</w:t>
      </w:r>
      <w:r w:rsidR="004966A7" w:rsidRPr="00AC18ED">
        <w:rPr>
          <w:rFonts w:ascii="Times New Roman" w:hAnsi="Times New Roman" w:cs="Times New Roman"/>
          <w:szCs w:val="22"/>
          <w:lang w:bidi="bn-IN"/>
        </w:rPr>
        <w:t xml:space="preserve"> for </w:t>
      </w:r>
      <w:r w:rsidR="006B0F00" w:rsidRPr="00AC18ED">
        <w:rPr>
          <w:rFonts w:ascii="Times New Roman" w:hAnsi="Times New Roman" w:cs="Times New Roman"/>
          <w:szCs w:val="22"/>
          <w:lang w:bidi="bn-IN"/>
        </w:rPr>
        <w:t>th</w:t>
      </w:r>
      <w:r w:rsidR="006B0F00">
        <w:rPr>
          <w:rFonts w:ascii="Times New Roman" w:hAnsi="Times New Roman" w:cs="Times New Roman"/>
          <w:szCs w:val="22"/>
          <w:lang w:bidi="bn-IN"/>
        </w:rPr>
        <w:t>e</w:t>
      </w:r>
      <w:r w:rsidR="006B0F00" w:rsidRPr="00AC18ED">
        <w:rPr>
          <w:rFonts w:ascii="Times New Roman" w:hAnsi="Times New Roman" w:cs="Times New Roman"/>
          <w:szCs w:val="22"/>
          <w:lang w:bidi="bn-IN"/>
        </w:rPr>
        <w:t xml:space="preserve"> </w:t>
      </w:r>
      <w:r w:rsidR="004966A7" w:rsidRPr="00AC18ED">
        <w:rPr>
          <w:rFonts w:ascii="Times New Roman" w:hAnsi="Times New Roman" w:cs="Times New Roman"/>
          <w:szCs w:val="22"/>
          <w:lang w:bidi="bn-IN"/>
        </w:rPr>
        <w:t xml:space="preserve">survey. All the temporary unregistered establishments in those grids were counted. </w:t>
      </w:r>
      <w:r w:rsidR="006B0F00">
        <w:rPr>
          <w:rFonts w:ascii="Times New Roman" w:hAnsi="Times New Roman" w:cs="Times New Roman"/>
          <w:szCs w:val="22"/>
          <w:lang w:bidi="bn-IN"/>
        </w:rPr>
        <w:t>Ten percent</w:t>
      </w:r>
      <w:r w:rsidR="00774A64">
        <w:rPr>
          <w:rFonts w:ascii="Times New Roman" w:hAnsi="Times New Roman" w:cs="Times New Roman"/>
          <w:szCs w:val="22"/>
          <w:lang w:bidi="bn-IN"/>
        </w:rPr>
        <w:t xml:space="preserve"> </w:t>
      </w:r>
      <w:r w:rsidR="004966A7" w:rsidRPr="00AC18ED">
        <w:rPr>
          <w:rFonts w:ascii="Times New Roman" w:hAnsi="Times New Roman" w:cs="Times New Roman"/>
          <w:szCs w:val="22"/>
          <w:lang w:bidi="bn-IN"/>
        </w:rPr>
        <w:t xml:space="preserve">of the establishments were interviewed for the questioner survey </w:t>
      </w:r>
      <w:r w:rsidR="009C4E2D">
        <w:rPr>
          <w:rFonts w:ascii="Times New Roman" w:hAnsi="Times New Roman" w:cs="Times New Roman"/>
          <w:szCs w:val="22"/>
          <w:lang w:bidi="bn-IN"/>
        </w:rPr>
        <w:t xml:space="preserve">to see if there was a </w:t>
      </w:r>
      <w:r w:rsidR="004966A7" w:rsidRPr="00AC18ED">
        <w:rPr>
          <w:rFonts w:ascii="Times New Roman" w:hAnsi="Times New Roman" w:cs="Times New Roman"/>
          <w:szCs w:val="22"/>
          <w:lang w:bidi="bn-IN"/>
        </w:rPr>
        <w:t xml:space="preserve">trend in </w:t>
      </w:r>
      <w:r w:rsidR="009C4E2D">
        <w:rPr>
          <w:rFonts w:ascii="Times New Roman" w:hAnsi="Times New Roman" w:cs="Times New Roman"/>
          <w:szCs w:val="22"/>
          <w:lang w:bidi="bn-IN"/>
        </w:rPr>
        <w:t xml:space="preserve">the </w:t>
      </w:r>
      <w:r w:rsidR="004966A7" w:rsidRPr="00AC18ED">
        <w:rPr>
          <w:rFonts w:ascii="Times New Roman" w:hAnsi="Times New Roman" w:cs="Times New Roman"/>
          <w:szCs w:val="22"/>
          <w:lang w:bidi="bn-IN"/>
        </w:rPr>
        <w:t xml:space="preserve">type and amount of fuel </w:t>
      </w:r>
      <w:r w:rsidR="009C4E2D">
        <w:rPr>
          <w:rFonts w:ascii="Times New Roman" w:hAnsi="Times New Roman" w:cs="Times New Roman"/>
          <w:szCs w:val="22"/>
          <w:lang w:bidi="bn-IN"/>
        </w:rPr>
        <w:t>used.</w:t>
      </w:r>
      <w:r w:rsidR="004966A7" w:rsidRPr="00AC18ED">
        <w:rPr>
          <w:rFonts w:ascii="Times New Roman" w:hAnsi="Times New Roman" w:cs="Times New Roman"/>
          <w:szCs w:val="22"/>
          <w:lang w:bidi="bn-IN"/>
        </w:rPr>
        <w:t xml:space="preserve"> </w:t>
      </w:r>
      <w:r w:rsidR="00736C41" w:rsidRPr="00AC18ED">
        <w:rPr>
          <w:rFonts w:ascii="Times New Roman" w:hAnsi="Times New Roman" w:cs="Times New Roman"/>
          <w:szCs w:val="22"/>
          <w:lang w:bidi="bn-IN"/>
        </w:rPr>
        <w:t>T</w:t>
      </w:r>
      <w:r w:rsidR="001C5298" w:rsidRPr="00AC18ED">
        <w:rPr>
          <w:rFonts w:ascii="Times New Roman" w:hAnsi="Times New Roman" w:cs="Times New Roman"/>
          <w:szCs w:val="22"/>
          <w:lang w:bidi="bn-IN"/>
        </w:rPr>
        <w:t xml:space="preserve">he survey result was extrapolated to </w:t>
      </w:r>
      <w:r w:rsidR="009C4E2D">
        <w:rPr>
          <w:rFonts w:ascii="Times New Roman" w:hAnsi="Times New Roman" w:cs="Times New Roman"/>
          <w:szCs w:val="22"/>
          <w:lang w:bidi="bn-IN"/>
        </w:rPr>
        <w:t xml:space="preserve">the </w:t>
      </w:r>
      <w:r w:rsidR="001C5298" w:rsidRPr="00AC18ED">
        <w:rPr>
          <w:rFonts w:ascii="Times New Roman" w:hAnsi="Times New Roman" w:cs="Times New Roman"/>
          <w:szCs w:val="22"/>
          <w:lang w:bidi="bn-IN"/>
        </w:rPr>
        <w:t xml:space="preserve">entire </w:t>
      </w:r>
      <w:r w:rsidR="00A7166F">
        <w:rPr>
          <w:rFonts w:ascii="Times New Roman" w:hAnsi="Times New Roman" w:cs="Times New Roman"/>
          <w:szCs w:val="22"/>
          <w:lang w:bidi="bn-IN"/>
        </w:rPr>
        <w:t>KMC</w:t>
      </w:r>
      <w:r w:rsidR="001C5298" w:rsidRPr="00AC18ED">
        <w:rPr>
          <w:rFonts w:ascii="Times New Roman" w:hAnsi="Times New Roman" w:cs="Times New Roman"/>
          <w:szCs w:val="22"/>
          <w:lang w:bidi="bn-IN"/>
        </w:rPr>
        <w:t xml:space="preserve"> area to project the total number of unregistered hotels, restaurants, </w:t>
      </w:r>
      <w:r w:rsidR="009C4E2D">
        <w:rPr>
          <w:rFonts w:ascii="Times New Roman" w:hAnsi="Times New Roman" w:cs="Times New Roman"/>
          <w:szCs w:val="22"/>
          <w:lang w:bidi="bn-IN"/>
        </w:rPr>
        <w:t xml:space="preserve">and </w:t>
      </w:r>
      <w:r w:rsidR="001C5298" w:rsidRPr="00AC18ED">
        <w:rPr>
          <w:rFonts w:ascii="Times New Roman" w:hAnsi="Times New Roman" w:cs="Times New Roman"/>
          <w:szCs w:val="22"/>
          <w:lang w:bidi="bn-IN"/>
        </w:rPr>
        <w:t>mobile food vendor</w:t>
      </w:r>
      <w:r w:rsidR="009C4E2D">
        <w:rPr>
          <w:rFonts w:ascii="Times New Roman" w:hAnsi="Times New Roman" w:cs="Times New Roman"/>
          <w:szCs w:val="22"/>
          <w:lang w:bidi="bn-IN"/>
        </w:rPr>
        <w:t>s</w:t>
      </w:r>
      <w:r w:rsidR="001C5298" w:rsidRPr="00AC18ED">
        <w:rPr>
          <w:rFonts w:ascii="Times New Roman" w:hAnsi="Times New Roman" w:cs="Times New Roman"/>
          <w:szCs w:val="22"/>
          <w:lang w:bidi="bn-IN"/>
        </w:rPr>
        <w:t xml:space="preserve"> using </w:t>
      </w:r>
      <w:r w:rsidR="00736C41" w:rsidRPr="00AC18ED">
        <w:rPr>
          <w:rFonts w:ascii="Times New Roman" w:hAnsi="Times New Roman" w:cs="Times New Roman"/>
          <w:szCs w:val="22"/>
          <w:lang w:bidi="bn-IN"/>
        </w:rPr>
        <w:t xml:space="preserve">different </w:t>
      </w:r>
      <w:r w:rsidR="001C5298" w:rsidRPr="00AC18ED">
        <w:rPr>
          <w:rFonts w:ascii="Times New Roman" w:hAnsi="Times New Roman" w:cs="Times New Roman"/>
          <w:szCs w:val="22"/>
          <w:lang w:bidi="bn-IN"/>
        </w:rPr>
        <w:t>fuel</w:t>
      </w:r>
      <w:r w:rsidR="00736C41" w:rsidRPr="00AC18ED">
        <w:rPr>
          <w:rFonts w:ascii="Times New Roman" w:hAnsi="Times New Roman" w:cs="Times New Roman"/>
          <w:szCs w:val="22"/>
          <w:lang w:bidi="bn-IN"/>
        </w:rPr>
        <w:t xml:space="preserve"> type</w:t>
      </w:r>
      <w:r w:rsidR="001C5298" w:rsidRPr="00AC18ED">
        <w:rPr>
          <w:rFonts w:ascii="Times New Roman" w:hAnsi="Times New Roman" w:cs="Times New Roman"/>
          <w:szCs w:val="22"/>
          <w:lang w:bidi="bn-IN"/>
        </w:rPr>
        <w:t xml:space="preserve">s. </w:t>
      </w:r>
      <w:r w:rsidR="0092564A" w:rsidRPr="00C35D33">
        <w:rPr>
          <w:rFonts w:ascii="Times New Roman" w:hAnsi="Times New Roman" w:cs="Times New Roman"/>
          <w:szCs w:val="22"/>
          <w:lang w:bidi="bn-IN"/>
        </w:rPr>
        <w:t xml:space="preserve">For the purposes of this study, the 2017 </w:t>
      </w:r>
      <w:r w:rsidR="001C5298" w:rsidRPr="0092564A">
        <w:rPr>
          <w:rFonts w:ascii="Times New Roman" w:hAnsi="Times New Roman" w:cs="Times New Roman"/>
          <w:szCs w:val="22"/>
          <w:lang w:bidi="bn-IN"/>
        </w:rPr>
        <w:t xml:space="preserve">survey data </w:t>
      </w:r>
      <w:r w:rsidR="0092564A" w:rsidRPr="0092564A">
        <w:rPr>
          <w:rFonts w:ascii="Times New Roman" w:hAnsi="Times New Roman" w:cs="Times New Roman"/>
          <w:szCs w:val="22"/>
          <w:lang w:bidi="bn-IN"/>
        </w:rPr>
        <w:t>w</w:t>
      </w:r>
      <w:r w:rsidR="0092564A" w:rsidRPr="00C35D33">
        <w:rPr>
          <w:rFonts w:ascii="Times New Roman" w:hAnsi="Times New Roman" w:cs="Times New Roman"/>
          <w:szCs w:val="22"/>
          <w:lang w:bidi="bn-IN"/>
        </w:rPr>
        <w:t>ere</w:t>
      </w:r>
      <w:r w:rsidR="0092564A" w:rsidRPr="0092564A">
        <w:rPr>
          <w:rFonts w:ascii="Times New Roman" w:hAnsi="Times New Roman" w:cs="Times New Roman"/>
          <w:szCs w:val="22"/>
          <w:lang w:bidi="bn-IN"/>
        </w:rPr>
        <w:t xml:space="preserve"> </w:t>
      </w:r>
      <w:r w:rsidR="001C5298" w:rsidRPr="0092564A">
        <w:rPr>
          <w:rFonts w:ascii="Times New Roman" w:hAnsi="Times New Roman" w:cs="Times New Roman"/>
          <w:szCs w:val="22"/>
          <w:lang w:bidi="bn-IN"/>
        </w:rPr>
        <w:t xml:space="preserve">used for 2015 and </w:t>
      </w:r>
      <w:r w:rsidR="0092564A" w:rsidRPr="0092564A">
        <w:rPr>
          <w:rFonts w:ascii="Times New Roman" w:hAnsi="Times New Roman" w:cs="Times New Roman"/>
          <w:szCs w:val="22"/>
          <w:lang w:bidi="bn-IN"/>
        </w:rPr>
        <w:t>back</w:t>
      </w:r>
      <w:r w:rsidR="00D4595B">
        <w:rPr>
          <w:rFonts w:ascii="Times New Roman" w:hAnsi="Times New Roman" w:cs="Times New Roman"/>
          <w:szCs w:val="22"/>
          <w:lang w:bidi="bn-IN"/>
        </w:rPr>
        <w:t>casted</w:t>
      </w:r>
      <w:r w:rsidR="001C5298" w:rsidRPr="00AC18ED">
        <w:rPr>
          <w:rFonts w:ascii="Times New Roman" w:hAnsi="Times New Roman" w:cs="Times New Roman"/>
          <w:szCs w:val="22"/>
          <w:lang w:bidi="bn-IN"/>
        </w:rPr>
        <w:t xml:space="preserve"> for 2010 based on total </w:t>
      </w:r>
      <w:r w:rsidR="00A7166F">
        <w:rPr>
          <w:rFonts w:ascii="Times New Roman" w:hAnsi="Times New Roman" w:cs="Times New Roman"/>
          <w:szCs w:val="22"/>
          <w:lang w:bidi="bn-IN"/>
        </w:rPr>
        <w:t>KMC</w:t>
      </w:r>
      <w:r w:rsidR="001C5298" w:rsidRPr="00AC18ED">
        <w:rPr>
          <w:rFonts w:ascii="Times New Roman" w:hAnsi="Times New Roman" w:cs="Times New Roman"/>
          <w:szCs w:val="22"/>
          <w:lang w:bidi="bn-IN"/>
        </w:rPr>
        <w:t xml:space="preserve"> population.</w:t>
      </w:r>
      <w:r w:rsidR="00C729A4" w:rsidRPr="00AC18ED">
        <w:rPr>
          <w:rFonts w:ascii="Times New Roman" w:hAnsi="Times New Roman" w:cs="Times New Roman"/>
          <w:szCs w:val="22"/>
          <w:lang w:bidi="bn-IN"/>
        </w:rPr>
        <w:t xml:space="preserve"> Figure S4 presents the estimated </w:t>
      </w:r>
      <w:r w:rsidR="00C3311B">
        <w:rPr>
          <w:rFonts w:ascii="Times New Roman" w:hAnsi="Times New Roman" w:cs="Times New Roman"/>
          <w:szCs w:val="22"/>
          <w:lang w:bidi="bn-IN"/>
        </w:rPr>
        <w:t xml:space="preserve">share </w:t>
      </w:r>
      <w:r w:rsidR="00C729A4" w:rsidRPr="00AC18ED">
        <w:rPr>
          <w:rFonts w:ascii="Times New Roman" w:hAnsi="Times New Roman" w:cs="Times New Roman"/>
          <w:szCs w:val="22"/>
          <w:lang w:bidi="bn-IN"/>
        </w:rPr>
        <w:t xml:space="preserve">of energy </w:t>
      </w:r>
      <w:r w:rsidR="00D4595B">
        <w:rPr>
          <w:rFonts w:ascii="Times New Roman" w:hAnsi="Times New Roman" w:cs="Times New Roman"/>
          <w:szCs w:val="22"/>
          <w:lang w:bidi="bn-IN"/>
        </w:rPr>
        <w:t xml:space="preserve">consumption </w:t>
      </w:r>
      <w:r w:rsidR="00C729A4" w:rsidRPr="00AC18ED">
        <w:rPr>
          <w:rFonts w:ascii="Times New Roman" w:hAnsi="Times New Roman" w:cs="Times New Roman"/>
          <w:szCs w:val="22"/>
          <w:lang w:bidi="bn-IN"/>
        </w:rPr>
        <w:t>from various fuel</w:t>
      </w:r>
      <w:r w:rsidR="0092564A">
        <w:rPr>
          <w:rFonts w:ascii="Times New Roman" w:hAnsi="Times New Roman" w:cs="Times New Roman"/>
          <w:szCs w:val="22"/>
          <w:lang w:bidi="bn-IN"/>
        </w:rPr>
        <w:t>s</w:t>
      </w:r>
      <w:r w:rsidR="00C729A4" w:rsidRPr="00AC18ED">
        <w:rPr>
          <w:rFonts w:ascii="Times New Roman" w:hAnsi="Times New Roman" w:cs="Times New Roman"/>
          <w:szCs w:val="22"/>
          <w:lang w:bidi="bn-IN"/>
        </w:rPr>
        <w:t xml:space="preserve"> in </w:t>
      </w:r>
      <w:r w:rsidR="009C4E2D">
        <w:rPr>
          <w:rFonts w:ascii="Times New Roman" w:hAnsi="Times New Roman" w:cs="Times New Roman"/>
          <w:szCs w:val="22"/>
          <w:lang w:bidi="bn-IN"/>
        </w:rPr>
        <w:t xml:space="preserve">the </w:t>
      </w:r>
      <w:r w:rsidR="00C729A4" w:rsidRPr="00AC18ED">
        <w:rPr>
          <w:rFonts w:ascii="Times New Roman" w:hAnsi="Times New Roman" w:cs="Times New Roman"/>
          <w:szCs w:val="22"/>
          <w:lang w:bidi="bn-IN"/>
        </w:rPr>
        <w:t xml:space="preserve">domestic </w:t>
      </w:r>
      <w:r w:rsidR="00C729A4" w:rsidRPr="00AC18ED">
        <w:rPr>
          <w:rFonts w:ascii="Times New Roman" w:hAnsi="Times New Roman" w:cs="Times New Roman"/>
          <w:szCs w:val="22"/>
          <w:lang w:bidi="bn-IN"/>
        </w:rPr>
        <w:lastRenderedPageBreak/>
        <w:t>commercial sector indicating</w:t>
      </w:r>
      <w:r w:rsidR="00774A64">
        <w:rPr>
          <w:rFonts w:ascii="Times New Roman" w:hAnsi="Times New Roman" w:cs="Times New Roman"/>
          <w:szCs w:val="22"/>
          <w:lang w:bidi="bn-IN"/>
        </w:rPr>
        <w:t xml:space="preserve"> </w:t>
      </w:r>
      <w:r w:rsidR="0092564A">
        <w:rPr>
          <w:rFonts w:ascii="Times New Roman" w:hAnsi="Times New Roman" w:cs="Times New Roman"/>
          <w:szCs w:val="22"/>
          <w:lang w:bidi="bn-IN"/>
        </w:rPr>
        <w:t>the c</w:t>
      </w:r>
      <w:r w:rsidR="00C729A4" w:rsidRPr="00AC18ED">
        <w:rPr>
          <w:rFonts w:ascii="Times New Roman" w:hAnsi="Times New Roman" w:cs="Times New Roman"/>
          <w:szCs w:val="22"/>
          <w:lang w:bidi="bn-IN"/>
        </w:rPr>
        <w:t xml:space="preserve">ontribution from </w:t>
      </w:r>
      <w:r w:rsidR="009C4E2D">
        <w:rPr>
          <w:rFonts w:ascii="Times New Roman" w:hAnsi="Times New Roman" w:cs="Times New Roman"/>
          <w:szCs w:val="22"/>
          <w:lang w:bidi="bn-IN"/>
        </w:rPr>
        <w:t xml:space="preserve">the </w:t>
      </w:r>
      <w:r w:rsidR="00C729A4" w:rsidRPr="00AC18ED">
        <w:rPr>
          <w:rFonts w:ascii="Times New Roman" w:hAnsi="Times New Roman" w:cs="Times New Roman"/>
          <w:szCs w:val="22"/>
          <w:lang w:bidi="bn-IN"/>
        </w:rPr>
        <w:t>register</w:t>
      </w:r>
      <w:r w:rsidR="009C4E2D">
        <w:rPr>
          <w:rFonts w:ascii="Times New Roman" w:hAnsi="Times New Roman" w:cs="Times New Roman"/>
          <w:szCs w:val="22"/>
          <w:lang w:bidi="bn-IN"/>
        </w:rPr>
        <w:t>ed</w:t>
      </w:r>
      <w:r w:rsidR="00C729A4" w:rsidRPr="00AC18ED">
        <w:rPr>
          <w:rFonts w:ascii="Times New Roman" w:hAnsi="Times New Roman" w:cs="Times New Roman"/>
          <w:szCs w:val="22"/>
          <w:lang w:bidi="bn-IN"/>
        </w:rPr>
        <w:t xml:space="preserve"> and unregister</w:t>
      </w:r>
      <w:r w:rsidR="009C4E2D">
        <w:rPr>
          <w:rFonts w:ascii="Times New Roman" w:hAnsi="Times New Roman" w:cs="Times New Roman"/>
          <w:szCs w:val="22"/>
          <w:lang w:bidi="bn-IN"/>
        </w:rPr>
        <w:t>ed</w:t>
      </w:r>
      <w:r w:rsidR="00C729A4" w:rsidRPr="00AC18ED">
        <w:rPr>
          <w:rFonts w:ascii="Times New Roman" w:hAnsi="Times New Roman" w:cs="Times New Roman"/>
          <w:szCs w:val="22"/>
          <w:lang w:bidi="bn-IN"/>
        </w:rPr>
        <w:t xml:space="preserve"> </w:t>
      </w:r>
      <w:r w:rsidR="00D4595B" w:rsidRPr="00AC18ED">
        <w:rPr>
          <w:rFonts w:ascii="Times New Roman" w:hAnsi="Times New Roman" w:cs="Times New Roman"/>
          <w:szCs w:val="22"/>
          <w:lang w:bidi="bn-IN"/>
        </w:rPr>
        <w:t xml:space="preserve">hotels, restaurants, </w:t>
      </w:r>
      <w:r w:rsidR="00D4595B">
        <w:rPr>
          <w:rFonts w:ascii="Times New Roman" w:hAnsi="Times New Roman" w:cs="Times New Roman"/>
          <w:szCs w:val="22"/>
          <w:lang w:bidi="bn-IN"/>
        </w:rPr>
        <w:t xml:space="preserve">and </w:t>
      </w:r>
      <w:r w:rsidR="00D4595B" w:rsidRPr="00AC18ED">
        <w:rPr>
          <w:rFonts w:ascii="Times New Roman" w:hAnsi="Times New Roman" w:cs="Times New Roman"/>
          <w:szCs w:val="22"/>
          <w:lang w:bidi="bn-IN"/>
        </w:rPr>
        <w:t>mobile food vendor</w:t>
      </w:r>
      <w:r w:rsidR="00D4595B">
        <w:rPr>
          <w:rFonts w:ascii="Times New Roman" w:hAnsi="Times New Roman" w:cs="Times New Roman"/>
          <w:szCs w:val="22"/>
          <w:lang w:bidi="bn-IN"/>
        </w:rPr>
        <w:t>s</w:t>
      </w:r>
      <w:r w:rsidR="00C729A4" w:rsidRPr="00AC18ED">
        <w:rPr>
          <w:rFonts w:ascii="Times New Roman" w:hAnsi="Times New Roman" w:cs="Times New Roman"/>
          <w:szCs w:val="22"/>
          <w:lang w:bidi="bn-IN"/>
        </w:rPr>
        <w:t>.</w:t>
      </w:r>
    </w:p>
    <w:p w14:paraId="6F822E5F" w14:textId="3D68EF48" w:rsidR="001C5298" w:rsidRPr="00AC18ED" w:rsidRDefault="00D4595B" w:rsidP="00AC18ED">
      <w:pPr>
        <w:spacing w:after="120" w:line="276" w:lineRule="auto"/>
        <w:jc w:val="both"/>
        <w:rPr>
          <w:rFonts w:ascii="Times New Roman" w:hAnsi="Times New Roman" w:cs="Times New Roman"/>
          <w:szCs w:val="22"/>
          <w:lang w:bidi="bn-IN"/>
        </w:rPr>
      </w:pPr>
      <w:r>
        <w:rPr>
          <w:rFonts w:ascii="Times New Roman" w:hAnsi="Times New Roman" w:cs="Times New Roman"/>
          <w:szCs w:val="22"/>
          <w:lang w:bidi="bn-IN"/>
        </w:rPr>
        <w:t>In 2010, a</w:t>
      </w:r>
      <w:r w:rsidR="001C5298" w:rsidRPr="00AC18ED">
        <w:rPr>
          <w:rFonts w:ascii="Times New Roman" w:hAnsi="Times New Roman" w:cs="Times New Roman"/>
          <w:szCs w:val="22"/>
          <w:lang w:bidi="bn-IN"/>
        </w:rPr>
        <w:t xml:space="preserve"> few bakeries </w:t>
      </w:r>
      <w:r w:rsidR="009C4E2D">
        <w:rPr>
          <w:rFonts w:ascii="Times New Roman" w:hAnsi="Times New Roman" w:cs="Times New Roman"/>
          <w:szCs w:val="22"/>
          <w:lang w:bidi="bn-IN"/>
        </w:rPr>
        <w:t>operating</w:t>
      </w:r>
      <w:r w:rsidR="001C5298" w:rsidRPr="00AC18ED">
        <w:rPr>
          <w:rFonts w:ascii="Times New Roman" w:hAnsi="Times New Roman" w:cs="Times New Roman"/>
          <w:szCs w:val="22"/>
          <w:lang w:bidi="bn-IN"/>
        </w:rPr>
        <w:t xml:space="preserve"> within </w:t>
      </w:r>
      <w:r w:rsidR="009C4E2D">
        <w:rPr>
          <w:rFonts w:ascii="Times New Roman" w:hAnsi="Times New Roman" w:cs="Times New Roman"/>
          <w:szCs w:val="22"/>
          <w:lang w:bidi="bn-IN"/>
        </w:rPr>
        <w:t xml:space="preserve">the </w:t>
      </w:r>
      <w:r w:rsidR="00A7166F">
        <w:rPr>
          <w:rFonts w:ascii="Times New Roman" w:hAnsi="Times New Roman" w:cs="Times New Roman"/>
          <w:szCs w:val="22"/>
          <w:lang w:bidi="bn-IN"/>
        </w:rPr>
        <w:t>KMC</w:t>
      </w:r>
      <w:r w:rsidR="001C5298" w:rsidRPr="00AC18ED">
        <w:rPr>
          <w:rFonts w:ascii="Times New Roman" w:hAnsi="Times New Roman" w:cs="Times New Roman"/>
          <w:szCs w:val="22"/>
          <w:lang w:bidi="bn-IN"/>
        </w:rPr>
        <w:t xml:space="preserve"> areas</w:t>
      </w:r>
      <w:r w:rsidR="00774A64">
        <w:rPr>
          <w:rFonts w:ascii="Times New Roman" w:hAnsi="Times New Roman" w:cs="Times New Roman"/>
          <w:szCs w:val="22"/>
          <w:lang w:bidi="bn-IN"/>
        </w:rPr>
        <w:t xml:space="preserve"> </w:t>
      </w:r>
      <w:r w:rsidR="001C5298" w:rsidRPr="00AC18ED">
        <w:rPr>
          <w:rFonts w:ascii="Times New Roman" w:hAnsi="Times New Roman" w:cs="Times New Roman"/>
          <w:szCs w:val="22"/>
          <w:lang w:bidi="bn-IN"/>
        </w:rPr>
        <w:t xml:space="preserve">were using </w:t>
      </w:r>
      <w:r w:rsidR="001C5298" w:rsidRPr="004A5E30">
        <w:rPr>
          <w:rFonts w:ascii="Times New Roman" w:hAnsi="Times New Roman" w:cs="Times New Roman"/>
          <w:szCs w:val="22"/>
          <w:lang w:bidi="bn-IN"/>
        </w:rPr>
        <w:t>firewood</w:t>
      </w:r>
      <w:r w:rsidRPr="004A5E30">
        <w:rPr>
          <w:rFonts w:ascii="Times New Roman" w:hAnsi="Times New Roman" w:cs="Times New Roman"/>
          <w:szCs w:val="22"/>
          <w:lang w:bidi="bn-IN"/>
        </w:rPr>
        <w:t xml:space="preserve"> (</w:t>
      </w:r>
      <w:r w:rsidR="00733ECB" w:rsidRPr="004A5E30">
        <w:rPr>
          <w:rFonts w:ascii="Times New Roman" w:hAnsi="Times New Roman" w:cs="Times New Roman"/>
          <w:szCs w:val="22"/>
          <w:lang w:bidi="bn-IN"/>
        </w:rPr>
        <w:t>EMIS 2015</w:t>
      </w:r>
      <w:r w:rsidRPr="004A5E30">
        <w:rPr>
          <w:rFonts w:ascii="Times New Roman" w:hAnsi="Times New Roman" w:cs="Times New Roman"/>
          <w:szCs w:val="22"/>
          <w:lang w:bidi="bn-IN"/>
        </w:rPr>
        <w:t>)</w:t>
      </w:r>
      <w:r w:rsidR="001C5298" w:rsidRPr="004A5E30">
        <w:rPr>
          <w:rFonts w:ascii="Times New Roman" w:hAnsi="Times New Roman" w:cs="Times New Roman"/>
          <w:szCs w:val="22"/>
          <w:lang w:bidi="bn-IN"/>
        </w:rPr>
        <w:t xml:space="preserve">. The </w:t>
      </w:r>
      <w:r w:rsidR="009C4E2D" w:rsidRPr="004A5E30">
        <w:rPr>
          <w:rFonts w:ascii="Times New Roman" w:hAnsi="Times New Roman" w:cs="Times New Roman"/>
          <w:szCs w:val="22"/>
          <w:lang w:bidi="bn-IN"/>
        </w:rPr>
        <w:t xml:space="preserve">production </w:t>
      </w:r>
      <w:r w:rsidR="001C5298" w:rsidRPr="004A5E30">
        <w:rPr>
          <w:rFonts w:ascii="Times New Roman" w:hAnsi="Times New Roman" w:cs="Times New Roman"/>
          <w:szCs w:val="22"/>
          <w:lang w:bidi="bn-IN"/>
        </w:rPr>
        <w:t xml:space="preserve">units </w:t>
      </w:r>
      <w:r w:rsidR="00442CD0" w:rsidRPr="004A5E30">
        <w:rPr>
          <w:rFonts w:ascii="Times New Roman" w:hAnsi="Times New Roman" w:cs="Times New Roman"/>
          <w:szCs w:val="22"/>
          <w:lang w:bidi="bn-IN"/>
        </w:rPr>
        <w:t xml:space="preserve">with </w:t>
      </w:r>
      <w:r w:rsidR="009C4E2D" w:rsidRPr="004A5E30">
        <w:rPr>
          <w:rFonts w:ascii="Times New Roman" w:hAnsi="Times New Roman" w:cs="Times New Roman"/>
          <w:szCs w:val="22"/>
          <w:lang w:bidi="bn-IN"/>
        </w:rPr>
        <w:t xml:space="preserve">a </w:t>
      </w:r>
      <w:r w:rsidR="001C5298" w:rsidRPr="004A5E30">
        <w:rPr>
          <w:rFonts w:ascii="Times New Roman" w:hAnsi="Times New Roman" w:cs="Times New Roman"/>
          <w:szCs w:val="22"/>
          <w:lang w:bidi="bn-IN"/>
        </w:rPr>
        <w:t xml:space="preserve">capacity of more than 1 ton per year </w:t>
      </w:r>
      <w:r w:rsidR="009C4E2D" w:rsidRPr="004A5E30">
        <w:rPr>
          <w:rFonts w:ascii="Times New Roman" w:hAnsi="Times New Roman" w:cs="Times New Roman"/>
          <w:szCs w:val="22"/>
          <w:lang w:bidi="bn-IN"/>
        </w:rPr>
        <w:t>were</w:t>
      </w:r>
      <w:r w:rsidR="001C5298" w:rsidRPr="004A5E30">
        <w:rPr>
          <w:rFonts w:ascii="Times New Roman" w:hAnsi="Times New Roman" w:cs="Times New Roman"/>
          <w:szCs w:val="22"/>
          <w:lang w:bidi="bn-IN"/>
        </w:rPr>
        <w:t xml:space="preserve"> considered under industrial sources</w:t>
      </w:r>
      <w:r w:rsidR="001C5298" w:rsidRPr="00AC18ED">
        <w:rPr>
          <w:rFonts w:ascii="Times New Roman" w:hAnsi="Times New Roman" w:cs="Times New Roman"/>
          <w:szCs w:val="22"/>
          <w:lang w:bidi="bn-IN"/>
        </w:rPr>
        <w:t xml:space="preserve">. </w:t>
      </w:r>
      <w:r>
        <w:rPr>
          <w:rFonts w:ascii="Times New Roman" w:hAnsi="Times New Roman" w:cs="Times New Roman"/>
          <w:szCs w:val="22"/>
          <w:lang w:bidi="bn-IN"/>
        </w:rPr>
        <w:t xml:space="preserve">The </w:t>
      </w:r>
      <w:r w:rsidRPr="004A5E30">
        <w:rPr>
          <w:rFonts w:ascii="Times New Roman" w:hAnsi="Times New Roman" w:cs="Times New Roman"/>
          <w:szCs w:val="22"/>
          <w:lang w:bidi="bn-IN"/>
        </w:rPr>
        <w:t>West Bengal Pollution Control Board (</w:t>
      </w:r>
      <w:r w:rsidR="001C5298" w:rsidRPr="004A5E30">
        <w:rPr>
          <w:rFonts w:ascii="Times New Roman" w:hAnsi="Times New Roman" w:cs="Times New Roman"/>
          <w:szCs w:val="22"/>
          <w:lang w:bidi="bn-IN"/>
        </w:rPr>
        <w:t>WBPCB</w:t>
      </w:r>
      <w:r w:rsidRPr="004A5E30">
        <w:rPr>
          <w:rFonts w:ascii="Times New Roman" w:hAnsi="Times New Roman" w:cs="Times New Roman"/>
          <w:szCs w:val="22"/>
          <w:lang w:bidi="bn-IN"/>
        </w:rPr>
        <w:t>)</w:t>
      </w:r>
      <w:r w:rsidR="001C5298" w:rsidRPr="004A5E30">
        <w:rPr>
          <w:rFonts w:ascii="Times New Roman" w:hAnsi="Times New Roman" w:cs="Times New Roman"/>
          <w:szCs w:val="22"/>
          <w:lang w:bidi="bn-IN"/>
        </w:rPr>
        <w:t xml:space="preserve"> </w:t>
      </w:r>
      <w:r w:rsidR="00316989" w:rsidRPr="004A5E30">
        <w:rPr>
          <w:rFonts w:ascii="Times New Roman" w:hAnsi="Times New Roman" w:cs="Times New Roman"/>
          <w:szCs w:val="22"/>
          <w:lang w:bidi="bn-IN"/>
        </w:rPr>
        <w:t>impose</w:t>
      </w:r>
      <w:r w:rsidRPr="004A5E30">
        <w:rPr>
          <w:rFonts w:ascii="Times New Roman" w:hAnsi="Times New Roman" w:cs="Times New Roman"/>
          <w:szCs w:val="22"/>
          <w:lang w:bidi="bn-IN"/>
        </w:rPr>
        <w:t>d</w:t>
      </w:r>
      <w:r w:rsidR="001C5298" w:rsidRPr="004A5E30">
        <w:rPr>
          <w:rFonts w:ascii="Times New Roman" w:hAnsi="Times New Roman" w:cs="Times New Roman"/>
          <w:szCs w:val="22"/>
          <w:lang w:bidi="bn-IN"/>
        </w:rPr>
        <w:t xml:space="preserve"> </w:t>
      </w:r>
      <w:r w:rsidR="00727D42" w:rsidRPr="004A5E30">
        <w:rPr>
          <w:rFonts w:ascii="Times New Roman" w:hAnsi="Times New Roman" w:cs="Times New Roman"/>
          <w:szCs w:val="22"/>
          <w:lang w:bidi="bn-IN"/>
        </w:rPr>
        <w:t xml:space="preserve">control </w:t>
      </w:r>
      <w:r w:rsidR="009C4E2D" w:rsidRPr="004A5E30">
        <w:rPr>
          <w:rFonts w:ascii="Times New Roman" w:hAnsi="Times New Roman" w:cs="Times New Roman"/>
          <w:szCs w:val="22"/>
          <w:lang w:bidi="bn-IN"/>
        </w:rPr>
        <w:t xml:space="preserve">on </w:t>
      </w:r>
      <w:r w:rsidR="00733ECB" w:rsidRPr="004A5E30">
        <w:rPr>
          <w:rFonts w:ascii="Times New Roman" w:hAnsi="Times New Roman" w:cs="Times New Roman"/>
          <w:szCs w:val="22"/>
          <w:lang w:bidi="bn-IN"/>
        </w:rPr>
        <w:t xml:space="preserve">individual </w:t>
      </w:r>
      <w:r w:rsidR="009C4E2D" w:rsidRPr="004A5E30">
        <w:rPr>
          <w:rFonts w:ascii="Times New Roman" w:hAnsi="Times New Roman" w:cs="Times New Roman"/>
          <w:szCs w:val="22"/>
          <w:lang w:bidi="bn-IN"/>
        </w:rPr>
        <w:t xml:space="preserve">bakeries </w:t>
      </w:r>
      <w:r w:rsidR="001C5298" w:rsidRPr="004A5E30">
        <w:rPr>
          <w:rFonts w:ascii="Times New Roman" w:hAnsi="Times New Roman" w:cs="Times New Roman"/>
          <w:szCs w:val="22"/>
          <w:lang w:bidi="bn-IN"/>
        </w:rPr>
        <w:t xml:space="preserve">within </w:t>
      </w:r>
      <w:r w:rsidR="009C4E2D" w:rsidRPr="004A5E30">
        <w:rPr>
          <w:rFonts w:ascii="Times New Roman" w:hAnsi="Times New Roman" w:cs="Times New Roman"/>
          <w:szCs w:val="22"/>
          <w:lang w:bidi="bn-IN"/>
        </w:rPr>
        <w:t xml:space="preserve">the </w:t>
      </w:r>
      <w:r w:rsidR="00A7166F" w:rsidRPr="004A5E30">
        <w:rPr>
          <w:rFonts w:ascii="Times New Roman" w:hAnsi="Times New Roman" w:cs="Times New Roman"/>
          <w:szCs w:val="22"/>
          <w:lang w:bidi="bn-IN"/>
        </w:rPr>
        <w:t>KMC</w:t>
      </w:r>
      <w:r w:rsidR="00E1381B" w:rsidRPr="004A5E30">
        <w:rPr>
          <w:rFonts w:ascii="Times New Roman" w:hAnsi="Times New Roman" w:cs="Times New Roman"/>
          <w:szCs w:val="22"/>
          <w:lang w:bidi="bn-IN"/>
        </w:rPr>
        <w:t xml:space="preserve"> (WBPCB 2019)</w:t>
      </w:r>
      <w:r w:rsidR="001C5298" w:rsidRPr="004A5E30">
        <w:rPr>
          <w:rFonts w:ascii="Times New Roman" w:hAnsi="Times New Roman" w:cs="Times New Roman"/>
          <w:szCs w:val="22"/>
          <w:lang w:bidi="bn-IN"/>
        </w:rPr>
        <w:t>.</w:t>
      </w:r>
      <w:r w:rsidR="00774A64" w:rsidRPr="004A5E30">
        <w:rPr>
          <w:rFonts w:ascii="Times New Roman" w:hAnsi="Times New Roman" w:cs="Times New Roman"/>
          <w:szCs w:val="22"/>
          <w:lang w:bidi="bn-IN"/>
        </w:rPr>
        <w:t xml:space="preserve"> </w:t>
      </w:r>
      <w:r w:rsidR="009C4E2D" w:rsidRPr="004A5E30">
        <w:rPr>
          <w:rFonts w:ascii="Times New Roman" w:hAnsi="Times New Roman" w:cs="Times New Roman"/>
          <w:szCs w:val="22"/>
          <w:lang w:bidi="bn-IN"/>
        </w:rPr>
        <w:t xml:space="preserve">Use </w:t>
      </w:r>
      <w:r w:rsidR="00316989" w:rsidRPr="00AC18ED">
        <w:rPr>
          <w:rFonts w:ascii="Times New Roman" w:hAnsi="Times New Roman" w:cs="Times New Roman"/>
          <w:szCs w:val="22"/>
          <w:lang w:bidi="bn-IN"/>
        </w:rPr>
        <w:t>of firewood in small registered units was</w:t>
      </w:r>
      <w:r w:rsidR="001C5298" w:rsidRPr="00AC18ED">
        <w:rPr>
          <w:rFonts w:ascii="Times New Roman" w:hAnsi="Times New Roman" w:cs="Times New Roman"/>
          <w:szCs w:val="22"/>
          <w:lang w:bidi="bn-IN"/>
        </w:rPr>
        <w:t xml:space="preserve"> considered under </w:t>
      </w:r>
      <w:r w:rsidR="009C4E2D">
        <w:rPr>
          <w:rFonts w:ascii="Times New Roman" w:hAnsi="Times New Roman" w:cs="Times New Roman"/>
          <w:szCs w:val="22"/>
          <w:lang w:bidi="bn-IN"/>
        </w:rPr>
        <w:t xml:space="preserve">the </w:t>
      </w:r>
      <w:r w:rsidR="001C5298" w:rsidRPr="00AC18ED">
        <w:rPr>
          <w:rFonts w:ascii="Times New Roman" w:hAnsi="Times New Roman" w:cs="Times New Roman"/>
          <w:szCs w:val="22"/>
          <w:lang w:bidi="bn-IN"/>
        </w:rPr>
        <w:t>registered hotel category.</w:t>
      </w:r>
    </w:p>
    <w:p w14:paraId="7039E5E6" w14:textId="5F63263D" w:rsidR="004F225B" w:rsidRPr="00AC18ED" w:rsidRDefault="004F225B" w:rsidP="00AC18ED">
      <w:pPr>
        <w:pStyle w:val="Heading2"/>
        <w:numPr>
          <w:ilvl w:val="1"/>
          <w:numId w:val="11"/>
        </w:numPr>
        <w:spacing w:before="0" w:after="120" w:line="276" w:lineRule="auto"/>
        <w:rPr>
          <w:rFonts w:ascii="Times New Roman" w:hAnsi="Times New Roman" w:cs="Times New Roman"/>
          <w:sz w:val="22"/>
          <w:szCs w:val="22"/>
        </w:rPr>
      </w:pPr>
      <w:bookmarkStart w:id="19" w:name="_Toc22630738"/>
      <w:r w:rsidRPr="00AC18ED">
        <w:rPr>
          <w:rFonts w:ascii="Times New Roman" w:hAnsi="Times New Roman" w:cs="Times New Roman"/>
          <w:sz w:val="22"/>
          <w:szCs w:val="22"/>
        </w:rPr>
        <w:t xml:space="preserve">Waste </w:t>
      </w:r>
      <w:r w:rsidR="00682C51" w:rsidRPr="00AC18ED">
        <w:rPr>
          <w:rFonts w:ascii="Times New Roman" w:hAnsi="Times New Roman" w:cs="Times New Roman"/>
          <w:sz w:val="22"/>
          <w:szCs w:val="22"/>
        </w:rPr>
        <w:t>s</w:t>
      </w:r>
      <w:r w:rsidR="00FB3EAD" w:rsidRPr="00AC18ED">
        <w:rPr>
          <w:rFonts w:ascii="Times New Roman" w:hAnsi="Times New Roman" w:cs="Times New Roman"/>
          <w:sz w:val="22"/>
          <w:szCs w:val="22"/>
        </w:rPr>
        <w:t>ector</w:t>
      </w:r>
      <w:bookmarkEnd w:id="19"/>
    </w:p>
    <w:p w14:paraId="78359E44" w14:textId="19ABB2FC" w:rsidR="004F225B" w:rsidRPr="00AC18ED" w:rsidRDefault="004F225B" w:rsidP="00AC18ED">
      <w:pPr>
        <w:numPr>
          <w:ilvl w:val="2"/>
          <w:numId w:val="11"/>
        </w:numPr>
        <w:spacing w:after="120"/>
        <w:jc w:val="both"/>
        <w:rPr>
          <w:rStyle w:val="IntenseEmphasis"/>
          <w:rFonts w:ascii="Times New Roman" w:hAnsi="Times New Roman" w:cs="Times New Roman"/>
        </w:rPr>
      </w:pPr>
      <w:r w:rsidRPr="00AC18ED">
        <w:rPr>
          <w:rStyle w:val="IntenseEmphasis"/>
          <w:rFonts w:ascii="Times New Roman" w:hAnsi="Times New Roman" w:cs="Times New Roman"/>
        </w:rPr>
        <w:t>Municipal solid waste</w:t>
      </w:r>
      <w:r w:rsidR="009C4E2D">
        <w:rPr>
          <w:rStyle w:val="IntenseEmphasis"/>
          <w:rFonts w:ascii="Times New Roman" w:hAnsi="Times New Roman" w:cs="Times New Roman"/>
        </w:rPr>
        <w:t xml:space="preserve"> (MSW)</w:t>
      </w:r>
      <w:r w:rsidR="00774A64">
        <w:rPr>
          <w:rStyle w:val="IntenseEmphasis"/>
          <w:rFonts w:ascii="Times New Roman" w:hAnsi="Times New Roman" w:cs="Times New Roman"/>
        </w:rPr>
        <w:t xml:space="preserve"> </w:t>
      </w:r>
      <w:r w:rsidRPr="00AC18ED">
        <w:rPr>
          <w:rStyle w:val="IntenseEmphasis"/>
          <w:rFonts w:ascii="Times New Roman" w:hAnsi="Times New Roman" w:cs="Times New Roman"/>
        </w:rPr>
        <w:t>disposal</w:t>
      </w:r>
    </w:p>
    <w:p w14:paraId="3C057E54" w14:textId="3521B6FD" w:rsidR="004F225B" w:rsidRPr="002A73C5" w:rsidRDefault="004F225B" w:rsidP="00AC18ED">
      <w:pPr>
        <w:spacing w:after="120" w:line="276" w:lineRule="auto"/>
        <w:jc w:val="both"/>
        <w:rPr>
          <w:rFonts w:ascii="Times New Roman" w:hAnsi="Times New Roman" w:cs="Times New Roman"/>
        </w:rPr>
      </w:pPr>
      <w:r w:rsidRPr="00AC18ED">
        <w:rPr>
          <w:rFonts w:ascii="Times New Roman" w:hAnsi="Times New Roman" w:cs="Times New Roman"/>
        </w:rPr>
        <w:t xml:space="preserve">The </w:t>
      </w:r>
      <w:r w:rsidR="0032695A">
        <w:rPr>
          <w:rFonts w:ascii="Times New Roman" w:hAnsi="Times New Roman" w:cs="Times New Roman"/>
        </w:rPr>
        <w:t xml:space="preserve">major </w:t>
      </w:r>
      <w:r w:rsidRPr="00AC18ED">
        <w:rPr>
          <w:rFonts w:ascii="Times New Roman" w:hAnsi="Times New Roman" w:cs="Times New Roman"/>
        </w:rPr>
        <w:t>source</w:t>
      </w:r>
      <w:r w:rsidR="0032695A">
        <w:rPr>
          <w:rFonts w:ascii="Times New Roman" w:hAnsi="Times New Roman" w:cs="Times New Roman"/>
        </w:rPr>
        <w:t>s</w:t>
      </w:r>
      <w:r w:rsidRPr="00AC18ED">
        <w:rPr>
          <w:rFonts w:ascii="Times New Roman" w:hAnsi="Times New Roman" w:cs="Times New Roman"/>
        </w:rPr>
        <w:t xml:space="preserve"> of MSW in the </w:t>
      </w:r>
      <w:r w:rsidR="00A7166F">
        <w:rPr>
          <w:rFonts w:ascii="Times New Roman" w:hAnsi="Times New Roman" w:cs="Times New Roman"/>
        </w:rPr>
        <w:t>KMC</w:t>
      </w:r>
      <w:r w:rsidRPr="00AC18ED">
        <w:rPr>
          <w:rFonts w:ascii="Times New Roman" w:hAnsi="Times New Roman" w:cs="Times New Roman"/>
        </w:rPr>
        <w:t xml:space="preserve"> area are residential areas, commercial or market </w:t>
      </w:r>
      <w:r w:rsidR="0032695A">
        <w:rPr>
          <w:rFonts w:ascii="Times New Roman" w:hAnsi="Times New Roman" w:cs="Times New Roman"/>
        </w:rPr>
        <w:t>places</w:t>
      </w:r>
      <w:r w:rsidR="009C4E2D">
        <w:rPr>
          <w:rFonts w:ascii="Times New Roman" w:hAnsi="Times New Roman" w:cs="Times New Roman"/>
        </w:rPr>
        <w:t>,</w:t>
      </w:r>
      <w:r w:rsidRPr="00AC18ED">
        <w:rPr>
          <w:rFonts w:ascii="Times New Roman" w:hAnsi="Times New Roman" w:cs="Times New Roman"/>
        </w:rPr>
        <w:t xml:space="preserve"> and some floating </w:t>
      </w:r>
      <w:r w:rsidR="009C4E2D" w:rsidRPr="00AC18ED">
        <w:rPr>
          <w:rFonts w:ascii="Times New Roman" w:hAnsi="Times New Roman" w:cs="Times New Roman"/>
        </w:rPr>
        <w:t>waste</w:t>
      </w:r>
      <w:r w:rsidR="00774A64">
        <w:rPr>
          <w:rFonts w:ascii="Times New Roman" w:hAnsi="Times New Roman" w:cs="Times New Roman"/>
        </w:rPr>
        <w:t xml:space="preserve"> </w:t>
      </w:r>
      <w:r w:rsidRPr="00AC18ED">
        <w:rPr>
          <w:rFonts w:ascii="Times New Roman" w:hAnsi="Times New Roman" w:cs="Times New Roman"/>
        </w:rPr>
        <w:t xml:space="preserve">from </w:t>
      </w:r>
      <w:r w:rsidR="009C4E2D">
        <w:rPr>
          <w:rFonts w:ascii="Times New Roman" w:hAnsi="Times New Roman" w:cs="Times New Roman"/>
        </w:rPr>
        <w:t xml:space="preserve">the </w:t>
      </w:r>
      <w:r w:rsidRPr="00AC18ED">
        <w:rPr>
          <w:rFonts w:ascii="Times New Roman" w:hAnsi="Times New Roman" w:cs="Times New Roman"/>
        </w:rPr>
        <w:t>riverside area</w:t>
      </w:r>
      <w:r w:rsidR="0032695A">
        <w:rPr>
          <w:rFonts w:ascii="Times New Roman" w:hAnsi="Times New Roman" w:cs="Times New Roman"/>
        </w:rPr>
        <w:t>s</w:t>
      </w:r>
      <w:r w:rsidRPr="00AC18ED">
        <w:rPr>
          <w:rFonts w:ascii="Times New Roman" w:hAnsi="Times New Roman" w:cs="Times New Roman"/>
        </w:rPr>
        <w:t xml:space="preserve">. </w:t>
      </w:r>
      <w:r w:rsidR="004302FF" w:rsidRPr="00AC18ED">
        <w:rPr>
          <w:rFonts w:ascii="Times New Roman" w:hAnsi="Times New Roman" w:cs="Times New Roman"/>
        </w:rPr>
        <w:t>The details of waste generated in</w:t>
      </w:r>
      <w:r w:rsidR="009C4E2D">
        <w:rPr>
          <w:rFonts w:ascii="Times New Roman" w:hAnsi="Times New Roman" w:cs="Times New Roman"/>
        </w:rPr>
        <w:t xml:space="preserve"> the</w:t>
      </w:r>
      <w:r w:rsidR="004302FF" w:rsidRPr="00AC18ED">
        <w:rPr>
          <w:rFonts w:ascii="Times New Roman" w:hAnsi="Times New Roman" w:cs="Times New Roman"/>
        </w:rPr>
        <w:t xml:space="preserve"> </w:t>
      </w:r>
      <w:r w:rsidR="00A7166F">
        <w:rPr>
          <w:rFonts w:ascii="Times New Roman" w:hAnsi="Times New Roman" w:cs="Times New Roman"/>
        </w:rPr>
        <w:t>KMC</w:t>
      </w:r>
      <w:r w:rsidR="004302FF" w:rsidRPr="00AC18ED">
        <w:rPr>
          <w:rFonts w:ascii="Times New Roman" w:hAnsi="Times New Roman" w:cs="Times New Roman"/>
        </w:rPr>
        <w:t xml:space="preserve"> area </w:t>
      </w:r>
      <w:r w:rsidR="009C4E2D" w:rsidRPr="00AC18ED">
        <w:rPr>
          <w:rFonts w:ascii="Times New Roman" w:hAnsi="Times New Roman" w:cs="Times New Roman"/>
        </w:rPr>
        <w:t>w</w:t>
      </w:r>
      <w:r w:rsidR="009C4E2D">
        <w:rPr>
          <w:rFonts w:ascii="Times New Roman" w:hAnsi="Times New Roman" w:cs="Times New Roman"/>
        </w:rPr>
        <w:t xml:space="preserve">ere </w:t>
      </w:r>
      <w:r w:rsidR="00F85F2B" w:rsidRPr="00AC18ED">
        <w:rPr>
          <w:rFonts w:ascii="Times New Roman" w:hAnsi="Times New Roman" w:cs="Times New Roman"/>
        </w:rPr>
        <w:t>estimated</w:t>
      </w:r>
      <w:r w:rsidR="004302FF" w:rsidRPr="00AC18ED">
        <w:rPr>
          <w:rFonts w:ascii="Times New Roman" w:hAnsi="Times New Roman" w:cs="Times New Roman"/>
        </w:rPr>
        <w:t xml:space="preserve"> from</w:t>
      </w:r>
      <w:r w:rsidR="009C4E2D">
        <w:rPr>
          <w:rFonts w:ascii="Times New Roman" w:hAnsi="Times New Roman" w:cs="Times New Roman"/>
        </w:rPr>
        <w:t xml:space="preserve"> the 2011</w:t>
      </w:r>
      <w:r w:rsidR="00774A64">
        <w:rPr>
          <w:rFonts w:ascii="Times New Roman" w:hAnsi="Times New Roman" w:cs="Times New Roman"/>
        </w:rPr>
        <w:t xml:space="preserve"> </w:t>
      </w:r>
      <w:r w:rsidR="00774A64" w:rsidRPr="002A73C5">
        <w:rPr>
          <w:rFonts w:ascii="Times New Roman" w:hAnsi="Times New Roman" w:cs="Times New Roman"/>
        </w:rPr>
        <w:t>c</w:t>
      </w:r>
      <w:r w:rsidR="009C4E2D" w:rsidRPr="002A73C5">
        <w:rPr>
          <w:rFonts w:ascii="Times New Roman" w:hAnsi="Times New Roman" w:cs="Times New Roman"/>
        </w:rPr>
        <w:t xml:space="preserve">ensus </w:t>
      </w:r>
      <w:r w:rsidR="0032695A" w:rsidRPr="002A73C5">
        <w:rPr>
          <w:rFonts w:ascii="Times New Roman" w:hAnsi="Times New Roman" w:cs="Times New Roman"/>
        </w:rPr>
        <w:t xml:space="preserve">(GoI, 2011) </w:t>
      </w:r>
      <w:r w:rsidR="00736C41" w:rsidRPr="002A73C5">
        <w:rPr>
          <w:rFonts w:ascii="Times New Roman" w:hAnsi="Times New Roman" w:cs="Times New Roman"/>
        </w:rPr>
        <w:t xml:space="preserve">and </w:t>
      </w:r>
      <w:r w:rsidRPr="002A73C5">
        <w:rPr>
          <w:rFonts w:ascii="Times New Roman" w:hAnsi="Times New Roman" w:cs="Times New Roman"/>
        </w:rPr>
        <w:t>Das et al</w:t>
      </w:r>
      <w:r w:rsidR="009C4E2D" w:rsidRPr="002A73C5">
        <w:rPr>
          <w:rFonts w:ascii="Times New Roman" w:hAnsi="Times New Roman" w:cs="Times New Roman"/>
        </w:rPr>
        <w:t>. (</w:t>
      </w:r>
      <w:r w:rsidR="00FF0AF9" w:rsidRPr="002A73C5">
        <w:rPr>
          <w:rFonts w:ascii="Times New Roman" w:hAnsi="Times New Roman" w:cs="Times New Roman"/>
        </w:rPr>
        <w:t>2011</w:t>
      </w:r>
      <w:r w:rsidR="009C4E2D" w:rsidRPr="002A73C5">
        <w:rPr>
          <w:rFonts w:ascii="Times New Roman" w:hAnsi="Times New Roman" w:cs="Times New Roman"/>
        </w:rPr>
        <w:t>).</w:t>
      </w:r>
    </w:p>
    <w:p w14:paraId="39CC3E73" w14:textId="67F2907C" w:rsidR="00BC6F08" w:rsidRPr="00AC18ED" w:rsidRDefault="004F225B" w:rsidP="00AC18ED">
      <w:pPr>
        <w:spacing w:after="120" w:line="276" w:lineRule="auto"/>
        <w:jc w:val="both"/>
        <w:rPr>
          <w:rFonts w:ascii="Times New Roman" w:hAnsi="Times New Roman" w:cs="Times New Roman"/>
        </w:rPr>
      </w:pPr>
      <w:r w:rsidRPr="00AC18ED">
        <w:rPr>
          <w:rFonts w:ascii="Times New Roman" w:hAnsi="Times New Roman" w:cs="Times New Roman"/>
        </w:rPr>
        <w:t xml:space="preserve">It is assumed that the 1% of total MSW generated within </w:t>
      </w:r>
      <w:r w:rsidR="009C4E2D">
        <w:rPr>
          <w:rFonts w:ascii="Times New Roman" w:hAnsi="Times New Roman" w:cs="Times New Roman"/>
        </w:rPr>
        <w:t xml:space="preserve">the </w:t>
      </w:r>
      <w:r w:rsidR="00A7166F">
        <w:rPr>
          <w:rFonts w:ascii="Times New Roman" w:hAnsi="Times New Roman" w:cs="Times New Roman"/>
        </w:rPr>
        <w:t>KMC</w:t>
      </w:r>
      <w:r w:rsidRPr="00AC18ED">
        <w:rPr>
          <w:rFonts w:ascii="Times New Roman" w:hAnsi="Times New Roman" w:cs="Times New Roman"/>
        </w:rPr>
        <w:t xml:space="preserve"> area </w:t>
      </w:r>
      <w:r w:rsidR="00186B61" w:rsidRPr="00AC18ED">
        <w:rPr>
          <w:rFonts w:ascii="Times New Roman" w:hAnsi="Times New Roman" w:cs="Times New Roman"/>
        </w:rPr>
        <w:t>is</w:t>
      </w:r>
      <w:r w:rsidRPr="00AC18ED">
        <w:rPr>
          <w:rFonts w:ascii="Times New Roman" w:hAnsi="Times New Roman" w:cs="Times New Roman"/>
        </w:rPr>
        <w:t xml:space="preserve"> subjected to open burning. Although open burning </w:t>
      </w:r>
      <w:r w:rsidR="00186B61" w:rsidRPr="00AC18ED">
        <w:rPr>
          <w:rFonts w:ascii="Times New Roman" w:hAnsi="Times New Roman" w:cs="Times New Roman"/>
        </w:rPr>
        <w:t xml:space="preserve">within </w:t>
      </w:r>
      <w:r w:rsidR="009C4E2D">
        <w:rPr>
          <w:rFonts w:ascii="Times New Roman" w:hAnsi="Times New Roman" w:cs="Times New Roman"/>
        </w:rPr>
        <w:t xml:space="preserve">the </w:t>
      </w:r>
      <w:r w:rsidR="00186B61" w:rsidRPr="00AC18ED">
        <w:rPr>
          <w:rFonts w:ascii="Times New Roman" w:hAnsi="Times New Roman" w:cs="Times New Roman"/>
        </w:rPr>
        <w:t xml:space="preserve">Kolkata city area </w:t>
      </w:r>
      <w:r w:rsidRPr="00AC18ED">
        <w:rPr>
          <w:rFonts w:ascii="Times New Roman" w:hAnsi="Times New Roman" w:cs="Times New Roman"/>
        </w:rPr>
        <w:t>is banned by</w:t>
      </w:r>
      <w:r w:rsidR="009C4E2D">
        <w:rPr>
          <w:rFonts w:ascii="Times New Roman" w:hAnsi="Times New Roman" w:cs="Times New Roman"/>
        </w:rPr>
        <w:t xml:space="preserve"> the</w:t>
      </w:r>
      <w:r w:rsidRPr="00AC18ED">
        <w:rPr>
          <w:rFonts w:ascii="Times New Roman" w:hAnsi="Times New Roman" w:cs="Times New Roman"/>
        </w:rPr>
        <w:t xml:space="preserve"> WBPCB</w:t>
      </w:r>
      <w:r w:rsidR="0092564A">
        <w:rPr>
          <w:rFonts w:ascii="Times New Roman" w:hAnsi="Times New Roman" w:cs="Times New Roman"/>
        </w:rPr>
        <w:t>,</w:t>
      </w:r>
      <w:r w:rsidR="00774A64">
        <w:rPr>
          <w:rFonts w:ascii="Times New Roman" w:hAnsi="Times New Roman" w:cs="Times New Roman"/>
        </w:rPr>
        <w:t xml:space="preserve"> </w:t>
      </w:r>
      <w:r w:rsidR="0092564A">
        <w:rPr>
          <w:rFonts w:ascii="Times New Roman" w:hAnsi="Times New Roman" w:cs="Times New Roman"/>
        </w:rPr>
        <w:t>the ban has</w:t>
      </w:r>
      <w:r w:rsidR="00774A64">
        <w:rPr>
          <w:rFonts w:ascii="Times New Roman" w:hAnsi="Times New Roman" w:cs="Times New Roman"/>
        </w:rPr>
        <w:t xml:space="preserve"> </w:t>
      </w:r>
      <w:r w:rsidRPr="00AC18ED">
        <w:rPr>
          <w:rFonts w:ascii="Times New Roman" w:hAnsi="Times New Roman" w:cs="Times New Roman"/>
        </w:rPr>
        <w:t xml:space="preserve">not </w:t>
      </w:r>
      <w:r w:rsidR="009C4E2D">
        <w:rPr>
          <w:rFonts w:ascii="Times New Roman" w:hAnsi="Times New Roman" w:cs="Times New Roman"/>
        </w:rPr>
        <w:t xml:space="preserve">yet </w:t>
      </w:r>
      <w:r w:rsidR="00442CD0">
        <w:rPr>
          <w:rFonts w:ascii="Times New Roman" w:hAnsi="Times New Roman" w:cs="Times New Roman"/>
        </w:rPr>
        <w:t xml:space="preserve">been </w:t>
      </w:r>
      <w:r w:rsidRPr="00AC18ED">
        <w:rPr>
          <w:rFonts w:ascii="Times New Roman" w:hAnsi="Times New Roman" w:cs="Times New Roman"/>
        </w:rPr>
        <w:t xml:space="preserve">strictly </w:t>
      </w:r>
      <w:r w:rsidR="00F85F2B" w:rsidRPr="00AC18ED">
        <w:rPr>
          <w:rFonts w:ascii="Times New Roman" w:hAnsi="Times New Roman" w:cs="Times New Roman"/>
        </w:rPr>
        <w:t>implemented</w:t>
      </w:r>
      <w:r w:rsidR="00774A64">
        <w:rPr>
          <w:rFonts w:ascii="Times New Roman" w:hAnsi="Times New Roman" w:cs="Times New Roman"/>
        </w:rPr>
        <w:t xml:space="preserve"> </w:t>
      </w:r>
      <w:r w:rsidRPr="00AC18ED">
        <w:rPr>
          <w:rFonts w:ascii="Times New Roman" w:hAnsi="Times New Roman" w:cs="Times New Roman"/>
        </w:rPr>
        <w:t xml:space="preserve">and </w:t>
      </w:r>
      <w:r w:rsidR="009C4E2D" w:rsidRPr="00AC18ED">
        <w:rPr>
          <w:rFonts w:ascii="Times New Roman" w:hAnsi="Times New Roman" w:cs="Times New Roman"/>
        </w:rPr>
        <w:t>open</w:t>
      </w:r>
      <w:r w:rsidR="009C4E2D">
        <w:rPr>
          <w:rFonts w:ascii="Times New Roman" w:hAnsi="Times New Roman" w:cs="Times New Roman"/>
        </w:rPr>
        <w:t xml:space="preserve"> </w:t>
      </w:r>
      <w:r w:rsidRPr="00AC18ED">
        <w:rPr>
          <w:rFonts w:ascii="Times New Roman" w:hAnsi="Times New Roman" w:cs="Times New Roman"/>
        </w:rPr>
        <w:t>burning</w:t>
      </w:r>
      <w:r w:rsidR="009C4E2D">
        <w:rPr>
          <w:rFonts w:ascii="Times New Roman" w:hAnsi="Times New Roman" w:cs="Times New Roman"/>
        </w:rPr>
        <w:t>,</w:t>
      </w:r>
      <w:r w:rsidRPr="00AC18ED">
        <w:rPr>
          <w:rFonts w:ascii="Times New Roman" w:hAnsi="Times New Roman" w:cs="Times New Roman"/>
        </w:rPr>
        <w:t xml:space="preserve"> especially during </w:t>
      </w:r>
      <w:r w:rsidR="009C4E2D">
        <w:rPr>
          <w:rFonts w:ascii="Times New Roman" w:hAnsi="Times New Roman" w:cs="Times New Roman"/>
        </w:rPr>
        <w:t xml:space="preserve">the </w:t>
      </w:r>
      <w:r w:rsidRPr="00AC18ED">
        <w:rPr>
          <w:rFonts w:ascii="Times New Roman" w:hAnsi="Times New Roman" w:cs="Times New Roman"/>
        </w:rPr>
        <w:t>winter</w:t>
      </w:r>
      <w:r w:rsidR="009C4E2D">
        <w:rPr>
          <w:rFonts w:ascii="Times New Roman" w:hAnsi="Times New Roman" w:cs="Times New Roman"/>
        </w:rPr>
        <w:t>,</w:t>
      </w:r>
      <w:r w:rsidRPr="00AC18ED">
        <w:rPr>
          <w:rFonts w:ascii="Times New Roman" w:hAnsi="Times New Roman" w:cs="Times New Roman"/>
        </w:rPr>
        <w:t xml:space="preserve"> is a common sight.</w:t>
      </w:r>
      <w:r w:rsidR="002E1D6B" w:rsidRPr="00AC18ED">
        <w:rPr>
          <w:rFonts w:ascii="Times New Roman" w:hAnsi="Times New Roman" w:cs="Times New Roman"/>
        </w:rPr>
        <w:t xml:space="preserve"> </w:t>
      </w:r>
    </w:p>
    <w:p w14:paraId="6B8484C3" w14:textId="70402072" w:rsidR="004F225B" w:rsidRPr="00AC18ED" w:rsidRDefault="004F225B" w:rsidP="00AC18ED">
      <w:pPr>
        <w:numPr>
          <w:ilvl w:val="2"/>
          <w:numId w:val="11"/>
        </w:numPr>
        <w:spacing w:after="120"/>
        <w:jc w:val="both"/>
        <w:rPr>
          <w:rStyle w:val="IntenseEmphasis"/>
          <w:rFonts w:ascii="Times New Roman" w:hAnsi="Times New Roman" w:cs="Times New Roman"/>
        </w:rPr>
      </w:pPr>
      <w:r w:rsidRPr="00AC18ED">
        <w:rPr>
          <w:rStyle w:val="IntenseEmphasis"/>
          <w:rFonts w:ascii="Times New Roman" w:hAnsi="Times New Roman" w:cs="Times New Roman"/>
        </w:rPr>
        <w:t xml:space="preserve">Hazardous waste management and </w:t>
      </w:r>
      <w:r w:rsidR="0092564A">
        <w:rPr>
          <w:rStyle w:val="IntenseEmphasis"/>
          <w:rFonts w:ascii="Times New Roman" w:hAnsi="Times New Roman" w:cs="Times New Roman"/>
        </w:rPr>
        <w:t>w</w:t>
      </w:r>
      <w:r w:rsidR="0092564A" w:rsidRPr="00AC18ED">
        <w:rPr>
          <w:rStyle w:val="IntenseEmphasis"/>
          <w:rFonts w:ascii="Times New Roman" w:hAnsi="Times New Roman" w:cs="Times New Roman"/>
        </w:rPr>
        <w:t xml:space="preserve">aste </w:t>
      </w:r>
      <w:r w:rsidRPr="00AC18ED">
        <w:rPr>
          <w:rStyle w:val="IntenseEmphasis"/>
          <w:rFonts w:ascii="Times New Roman" w:hAnsi="Times New Roman" w:cs="Times New Roman"/>
        </w:rPr>
        <w:t>incinerators</w:t>
      </w:r>
    </w:p>
    <w:p w14:paraId="55E61583" w14:textId="210F4D61" w:rsidR="004F225B" w:rsidRPr="00631256" w:rsidRDefault="004F225B" w:rsidP="00AC18ED">
      <w:pPr>
        <w:spacing w:after="120" w:line="276" w:lineRule="auto"/>
        <w:jc w:val="both"/>
        <w:rPr>
          <w:rFonts w:ascii="Times New Roman" w:hAnsi="Times New Roman" w:cs="Times New Roman"/>
        </w:rPr>
      </w:pPr>
      <w:r w:rsidRPr="00AC18ED">
        <w:rPr>
          <w:rFonts w:ascii="Times New Roman" w:hAnsi="Times New Roman" w:cs="Times New Roman"/>
        </w:rPr>
        <w:t xml:space="preserve">The state </w:t>
      </w:r>
      <w:r w:rsidR="00BC6F08" w:rsidRPr="00AC18ED">
        <w:rPr>
          <w:rFonts w:ascii="Times New Roman" w:hAnsi="Times New Roman" w:cs="Times New Roman"/>
        </w:rPr>
        <w:t xml:space="preserve">of West Bengal </w:t>
      </w:r>
      <w:r w:rsidRPr="00AC18ED">
        <w:rPr>
          <w:rFonts w:ascii="Times New Roman" w:hAnsi="Times New Roman" w:cs="Times New Roman"/>
        </w:rPr>
        <w:t>has one Common Hazardous Waste Treatment, Storage and Disposal Facility</w:t>
      </w:r>
      <w:r w:rsidR="0032695A">
        <w:rPr>
          <w:rFonts w:ascii="Times New Roman" w:hAnsi="Times New Roman" w:cs="Times New Roman"/>
        </w:rPr>
        <w:t xml:space="preserve"> (</w:t>
      </w:r>
      <w:r w:rsidR="0032695A" w:rsidRPr="00AC18ED">
        <w:rPr>
          <w:rFonts w:ascii="Times New Roman" w:hAnsi="Times New Roman" w:cs="Times New Roman"/>
        </w:rPr>
        <w:t>CHWTSDF</w:t>
      </w:r>
      <w:r w:rsidRPr="00AC18ED">
        <w:rPr>
          <w:rFonts w:ascii="Times New Roman" w:hAnsi="Times New Roman" w:cs="Times New Roman"/>
        </w:rPr>
        <w:t>) at Haldia (</w:t>
      </w:r>
      <w:r w:rsidRPr="00C35D33">
        <w:rPr>
          <w:rFonts w:ascii="Times New Roman" w:hAnsi="Times New Roman" w:cs="Times New Roman"/>
        </w:rPr>
        <w:t xml:space="preserve">outside </w:t>
      </w:r>
      <w:r w:rsidR="00A7166F">
        <w:rPr>
          <w:rFonts w:ascii="Times New Roman" w:hAnsi="Times New Roman" w:cs="Times New Roman"/>
        </w:rPr>
        <w:t>KMC</w:t>
      </w:r>
      <w:r w:rsidRPr="00AC18ED">
        <w:rPr>
          <w:rFonts w:ascii="Times New Roman" w:hAnsi="Times New Roman" w:cs="Times New Roman"/>
        </w:rPr>
        <w:t xml:space="preserve">) developed by </w:t>
      </w:r>
      <w:r w:rsidR="009C4E2D">
        <w:rPr>
          <w:rFonts w:ascii="Times New Roman" w:hAnsi="Times New Roman" w:cs="Times New Roman"/>
        </w:rPr>
        <w:t xml:space="preserve">the </w:t>
      </w:r>
      <w:r w:rsidRPr="00AC18ED">
        <w:rPr>
          <w:rFonts w:ascii="Times New Roman" w:hAnsi="Times New Roman" w:cs="Times New Roman"/>
        </w:rPr>
        <w:t xml:space="preserve">West Bengal Waste Management Ltd (WBWML). </w:t>
      </w:r>
      <w:r w:rsidR="00486FAB" w:rsidRPr="00AC18ED">
        <w:rPr>
          <w:rFonts w:ascii="Times New Roman" w:hAnsi="Times New Roman" w:cs="Times New Roman"/>
        </w:rPr>
        <w:t xml:space="preserve">This activity is not considered in this study. </w:t>
      </w:r>
      <w:r w:rsidRPr="00AC18ED">
        <w:rPr>
          <w:rFonts w:ascii="Times New Roman" w:hAnsi="Times New Roman" w:cs="Times New Roman"/>
        </w:rPr>
        <w:t>The facility</w:t>
      </w:r>
      <w:r w:rsidR="00774A64">
        <w:rPr>
          <w:rFonts w:ascii="Times New Roman" w:hAnsi="Times New Roman" w:cs="Times New Roman"/>
        </w:rPr>
        <w:t xml:space="preserve"> </w:t>
      </w:r>
      <w:r w:rsidR="009C4E2D">
        <w:rPr>
          <w:rFonts w:ascii="Times New Roman" w:hAnsi="Times New Roman" w:cs="Times New Roman"/>
        </w:rPr>
        <w:t>has been catering</w:t>
      </w:r>
      <w:r w:rsidR="009C4E2D" w:rsidRPr="00AC18ED">
        <w:rPr>
          <w:rFonts w:ascii="Times New Roman" w:hAnsi="Times New Roman" w:cs="Times New Roman"/>
        </w:rPr>
        <w:t xml:space="preserve"> </w:t>
      </w:r>
      <w:r w:rsidRPr="00AC18ED">
        <w:rPr>
          <w:rFonts w:ascii="Times New Roman" w:hAnsi="Times New Roman" w:cs="Times New Roman"/>
        </w:rPr>
        <w:t xml:space="preserve">to </w:t>
      </w:r>
      <w:r w:rsidR="009C4E2D">
        <w:rPr>
          <w:rFonts w:ascii="Times New Roman" w:hAnsi="Times New Roman" w:cs="Times New Roman"/>
        </w:rPr>
        <w:t xml:space="preserve">the </w:t>
      </w:r>
      <w:r w:rsidRPr="00AC18ED">
        <w:rPr>
          <w:rFonts w:ascii="Times New Roman" w:hAnsi="Times New Roman" w:cs="Times New Roman"/>
        </w:rPr>
        <w:t>hazardous waste</w:t>
      </w:r>
      <w:r w:rsidR="009C4E2D">
        <w:rPr>
          <w:rFonts w:ascii="Times New Roman" w:hAnsi="Times New Roman" w:cs="Times New Roman"/>
        </w:rPr>
        <w:t>–</w:t>
      </w:r>
      <w:r w:rsidRPr="00AC18ED">
        <w:rPr>
          <w:rFonts w:ascii="Times New Roman" w:hAnsi="Times New Roman" w:cs="Times New Roman"/>
        </w:rPr>
        <w:t>generating units of the entire state</w:t>
      </w:r>
      <w:r w:rsidR="009C4E2D">
        <w:rPr>
          <w:rFonts w:ascii="Times New Roman" w:hAnsi="Times New Roman" w:cs="Times New Roman"/>
        </w:rPr>
        <w:t>,</w:t>
      </w:r>
      <w:r w:rsidR="00774A64">
        <w:rPr>
          <w:rFonts w:ascii="Times New Roman" w:hAnsi="Times New Roman" w:cs="Times New Roman"/>
        </w:rPr>
        <w:t xml:space="preserve"> </w:t>
      </w:r>
      <w:r w:rsidR="00BC6F08" w:rsidRPr="00AC18ED">
        <w:rPr>
          <w:rFonts w:ascii="Times New Roman" w:hAnsi="Times New Roman" w:cs="Times New Roman"/>
        </w:rPr>
        <w:t xml:space="preserve">including </w:t>
      </w:r>
      <w:r w:rsidR="009C4E2D">
        <w:rPr>
          <w:rFonts w:ascii="Times New Roman" w:hAnsi="Times New Roman" w:cs="Times New Roman"/>
        </w:rPr>
        <w:t>those</w:t>
      </w:r>
      <w:r w:rsidR="00BC6F08" w:rsidRPr="00AC18ED">
        <w:rPr>
          <w:rFonts w:ascii="Times New Roman" w:hAnsi="Times New Roman" w:cs="Times New Roman"/>
        </w:rPr>
        <w:t xml:space="preserve"> from </w:t>
      </w:r>
      <w:r w:rsidR="009C4E2D">
        <w:rPr>
          <w:rFonts w:ascii="Times New Roman" w:hAnsi="Times New Roman" w:cs="Times New Roman"/>
        </w:rPr>
        <w:t xml:space="preserve">the </w:t>
      </w:r>
      <w:r w:rsidR="00A7166F">
        <w:rPr>
          <w:rFonts w:ascii="Times New Roman" w:hAnsi="Times New Roman" w:cs="Times New Roman"/>
        </w:rPr>
        <w:t>KMC</w:t>
      </w:r>
      <w:r w:rsidR="009C4E2D">
        <w:rPr>
          <w:rFonts w:ascii="Times New Roman" w:hAnsi="Times New Roman" w:cs="Times New Roman"/>
        </w:rPr>
        <w:t>,</w:t>
      </w:r>
      <w:r w:rsidR="00774A64">
        <w:rPr>
          <w:rFonts w:ascii="Times New Roman" w:hAnsi="Times New Roman" w:cs="Times New Roman"/>
        </w:rPr>
        <w:t xml:space="preserve"> </w:t>
      </w:r>
      <w:r w:rsidRPr="00AC18ED">
        <w:rPr>
          <w:rFonts w:ascii="Times New Roman" w:hAnsi="Times New Roman" w:cs="Times New Roman"/>
        </w:rPr>
        <w:t xml:space="preserve">for almost </w:t>
      </w:r>
      <w:r w:rsidR="00BC6F08" w:rsidRPr="00AC18ED">
        <w:rPr>
          <w:rFonts w:ascii="Times New Roman" w:hAnsi="Times New Roman" w:cs="Times New Roman"/>
        </w:rPr>
        <w:t>12 years</w:t>
      </w:r>
      <w:r w:rsidRPr="00AC18ED">
        <w:rPr>
          <w:rFonts w:ascii="Times New Roman" w:hAnsi="Times New Roman" w:cs="Times New Roman"/>
        </w:rPr>
        <w:t>. The facility deals with</w:t>
      </w:r>
      <w:r w:rsidR="00774A64">
        <w:rPr>
          <w:rFonts w:ascii="Times New Roman" w:hAnsi="Times New Roman" w:cs="Times New Roman"/>
        </w:rPr>
        <w:t xml:space="preserve"> </w:t>
      </w:r>
      <w:r w:rsidRPr="00AC18ED">
        <w:rPr>
          <w:rFonts w:ascii="Times New Roman" w:hAnsi="Times New Roman" w:cs="Times New Roman"/>
        </w:rPr>
        <w:t xml:space="preserve">biomedical waste as well as municipal solid wastes for adjacent municipal areas and other </w:t>
      </w:r>
      <w:r w:rsidR="0092564A">
        <w:rPr>
          <w:rFonts w:ascii="Times New Roman" w:hAnsi="Times New Roman" w:cs="Times New Roman"/>
        </w:rPr>
        <w:t xml:space="preserve">Indian </w:t>
      </w:r>
      <w:r w:rsidRPr="00AC18ED">
        <w:rPr>
          <w:rFonts w:ascii="Times New Roman" w:hAnsi="Times New Roman" w:cs="Times New Roman"/>
        </w:rPr>
        <w:t xml:space="preserve">states. </w:t>
      </w:r>
      <w:r w:rsidR="0092564A">
        <w:rPr>
          <w:rFonts w:ascii="Times New Roman" w:hAnsi="Times New Roman" w:cs="Times New Roman"/>
        </w:rPr>
        <w:t>In</w:t>
      </w:r>
      <w:r w:rsidR="0092564A" w:rsidRPr="00AC18ED">
        <w:rPr>
          <w:rFonts w:ascii="Times New Roman" w:hAnsi="Times New Roman" w:cs="Times New Roman"/>
        </w:rPr>
        <w:t xml:space="preserve"> 2010</w:t>
      </w:r>
      <w:r w:rsidR="0092564A">
        <w:rPr>
          <w:rFonts w:ascii="Times New Roman" w:hAnsi="Times New Roman" w:cs="Times New Roman"/>
        </w:rPr>
        <w:t>–20</w:t>
      </w:r>
      <w:r w:rsidR="0092564A" w:rsidRPr="00AC18ED">
        <w:rPr>
          <w:rFonts w:ascii="Times New Roman" w:hAnsi="Times New Roman" w:cs="Times New Roman"/>
        </w:rPr>
        <w:t>11</w:t>
      </w:r>
      <w:r w:rsidR="0092564A">
        <w:rPr>
          <w:rFonts w:ascii="Times New Roman" w:hAnsi="Times New Roman" w:cs="Times New Roman"/>
        </w:rPr>
        <w:t xml:space="preserve">, a total of </w:t>
      </w:r>
      <w:r w:rsidR="0092564A" w:rsidRPr="00AC18ED">
        <w:rPr>
          <w:rFonts w:ascii="Times New Roman" w:hAnsi="Times New Roman" w:cs="Times New Roman"/>
        </w:rPr>
        <w:t>26,40</w:t>
      </w:r>
      <w:r w:rsidR="00F063CB">
        <w:rPr>
          <w:rFonts w:ascii="Times New Roman" w:hAnsi="Times New Roman" w:cs="Times New Roman"/>
        </w:rPr>
        <w:t>9</w:t>
      </w:r>
      <w:r w:rsidR="0092564A" w:rsidRPr="00AC18ED">
        <w:rPr>
          <w:rFonts w:ascii="Times New Roman" w:hAnsi="Times New Roman" w:cs="Times New Roman"/>
        </w:rPr>
        <w:t xml:space="preserve"> M</w:t>
      </w:r>
      <w:r w:rsidR="00C8541C">
        <w:rPr>
          <w:rFonts w:ascii="Times New Roman" w:hAnsi="Times New Roman" w:cs="Times New Roman"/>
        </w:rPr>
        <w:t xml:space="preserve">illion </w:t>
      </w:r>
      <w:r w:rsidR="0092564A" w:rsidRPr="00AC18ED">
        <w:rPr>
          <w:rFonts w:ascii="Times New Roman" w:hAnsi="Times New Roman" w:cs="Times New Roman"/>
        </w:rPr>
        <w:t>T</w:t>
      </w:r>
      <w:r w:rsidR="00C8541C">
        <w:rPr>
          <w:rFonts w:ascii="Times New Roman" w:hAnsi="Times New Roman" w:cs="Times New Roman"/>
        </w:rPr>
        <w:t>on</w:t>
      </w:r>
      <w:r w:rsidR="0092564A" w:rsidRPr="00AC18ED">
        <w:rPr>
          <w:rFonts w:ascii="Times New Roman" w:hAnsi="Times New Roman" w:cs="Times New Roman"/>
        </w:rPr>
        <w:t xml:space="preserve"> </w:t>
      </w:r>
      <w:r w:rsidR="0092564A">
        <w:rPr>
          <w:rFonts w:ascii="Times New Roman" w:hAnsi="Times New Roman" w:cs="Times New Roman"/>
        </w:rPr>
        <w:t>of</w:t>
      </w:r>
      <w:r w:rsidRPr="00AC18ED">
        <w:rPr>
          <w:rFonts w:ascii="Times New Roman" w:hAnsi="Times New Roman" w:cs="Times New Roman"/>
        </w:rPr>
        <w:t xml:space="preserve"> waste </w:t>
      </w:r>
      <w:r w:rsidR="0092564A">
        <w:rPr>
          <w:rFonts w:ascii="Times New Roman" w:hAnsi="Times New Roman" w:cs="Times New Roman"/>
        </w:rPr>
        <w:t xml:space="preserve">were </w:t>
      </w:r>
      <w:r w:rsidRPr="00AC18ED">
        <w:rPr>
          <w:rFonts w:ascii="Times New Roman" w:hAnsi="Times New Roman" w:cs="Times New Roman"/>
        </w:rPr>
        <w:t xml:space="preserve">sent directly to landfill and 3060 MT </w:t>
      </w:r>
      <w:r w:rsidR="0092564A">
        <w:rPr>
          <w:rFonts w:ascii="Times New Roman" w:hAnsi="Times New Roman" w:cs="Times New Roman"/>
        </w:rPr>
        <w:t xml:space="preserve">were </w:t>
      </w:r>
      <w:r w:rsidR="009C4E2D" w:rsidRPr="00631256">
        <w:rPr>
          <w:rFonts w:ascii="Times New Roman" w:hAnsi="Times New Roman" w:cs="Times New Roman"/>
        </w:rPr>
        <w:t xml:space="preserve">incinerated </w:t>
      </w:r>
      <w:r w:rsidRPr="00631256">
        <w:rPr>
          <w:rFonts w:ascii="Times New Roman" w:hAnsi="Times New Roman" w:cs="Times New Roman"/>
        </w:rPr>
        <w:t>(WBPCB</w:t>
      </w:r>
      <w:r w:rsidR="0048471A" w:rsidRPr="00631256">
        <w:rPr>
          <w:rFonts w:ascii="Times New Roman" w:hAnsi="Times New Roman" w:cs="Times New Roman"/>
        </w:rPr>
        <w:t>, 2011</w:t>
      </w:r>
      <w:r w:rsidRPr="00631256">
        <w:rPr>
          <w:rFonts w:ascii="Times New Roman" w:hAnsi="Times New Roman" w:cs="Times New Roman"/>
        </w:rPr>
        <w:t>).</w:t>
      </w:r>
    </w:p>
    <w:p w14:paraId="76D43959" w14:textId="77777777" w:rsidR="001C5298" w:rsidRPr="00AC18ED" w:rsidRDefault="001C5298" w:rsidP="00AC18ED">
      <w:pPr>
        <w:numPr>
          <w:ilvl w:val="2"/>
          <w:numId w:val="11"/>
        </w:numPr>
        <w:spacing w:after="120"/>
        <w:jc w:val="both"/>
        <w:rPr>
          <w:rStyle w:val="IntenseEmphasis"/>
          <w:rFonts w:ascii="Times New Roman" w:hAnsi="Times New Roman" w:cs="Times New Roman"/>
        </w:rPr>
      </w:pPr>
      <w:r w:rsidRPr="00AC18ED">
        <w:rPr>
          <w:rStyle w:val="IntenseEmphasis"/>
          <w:rFonts w:ascii="Times New Roman" w:hAnsi="Times New Roman" w:cs="Times New Roman"/>
        </w:rPr>
        <w:t>Crematoria</w:t>
      </w:r>
    </w:p>
    <w:p w14:paraId="46A907B7" w14:textId="33EB327B" w:rsidR="001C5298" w:rsidRPr="00AC18ED" w:rsidRDefault="001C5298" w:rsidP="00AC18ED">
      <w:pPr>
        <w:adjustRightInd w:val="0"/>
        <w:spacing w:after="120" w:line="276" w:lineRule="auto"/>
        <w:jc w:val="both"/>
        <w:rPr>
          <w:rFonts w:ascii="Times New Roman" w:hAnsi="Times New Roman" w:cs="Times New Roman"/>
          <w:szCs w:val="22"/>
        </w:rPr>
      </w:pPr>
      <w:r w:rsidRPr="00AC18ED">
        <w:rPr>
          <w:rFonts w:ascii="Times New Roman" w:hAnsi="Times New Roman" w:cs="Times New Roman"/>
          <w:szCs w:val="22"/>
        </w:rPr>
        <w:t xml:space="preserve">There are </w:t>
      </w:r>
      <w:r w:rsidR="009C4E2D">
        <w:rPr>
          <w:rFonts w:ascii="Times New Roman" w:hAnsi="Times New Roman" w:cs="Times New Roman"/>
          <w:szCs w:val="22"/>
        </w:rPr>
        <w:t>seven</w:t>
      </w:r>
      <w:r w:rsidR="009C4E2D" w:rsidRPr="00AC18ED">
        <w:rPr>
          <w:rFonts w:ascii="Times New Roman" w:hAnsi="Times New Roman" w:cs="Times New Roman"/>
          <w:szCs w:val="22"/>
        </w:rPr>
        <w:t xml:space="preserve"> crematori</w:t>
      </w:r>
      <w:r w:rsidR="009C4E2D">
        <w:rPr>
          <w:rFonts w:ascii="Times New Roman" w:hAnsi="Times New Roman" w:cs="Times New Roman"/>
          <w:szCs w:val="22"/>
        </w:rPr>
        <w:t>a</w:t>
      </w:r>
      <w:r w:rsidR="009C4E2D" w:rsidRPr="00AC18ED">
        <w:rPr>
          <w:rFonts w:ascii="Times New Roman" w:hAnsi="Times New Roman" w:cs="Times New Roman"/>
          <w:szCs w:val="22"/>
        </w:rPr>
        <w:t xml:space="preserve"> </w:t>
      </w:r>
      <w:r w:rsidRPr="00AC18ED">
        <w:rPr>
          <w:rFonts w:ascii="Times New Roman" w:hAnsi="Times New Roman" w:cs="Times New Roman"/>
          <w:szCs w:val="22"/>
        </w:rPr>
        <w:t>operating inside Kolkata City</w:t>
      </w:r>
      <w:r w:rsidR="009C4E2D">
        <w:rPr>
          <w:rFonts w:ascii="Times New Roman" w:hAnsi="Times New Roman" w:cs="Times New Roman"/>
          <w:szCs w:val="22"/>
        </w:rPr>
        <w:t>,</w:t>
      </w:r>
      <w:r w:rsidRPr="00AC18ED">
        <w:rPr>
          <w:rFonts w:ascii="Times New Roman" w:hAnsi="Times New Roman" w:cs="Times New Roman"/>
          <w:szCs w:val="22"/>
        </w:rPr>
        <w:t xml:space="preserve"> namely</w:t>
      </w:r>
      <w:r w:rsidR="009C4E2D">
        <w:rPr>
          <w:rFonts w:ascii="Times New Roman" w:hAnsi="Times New Roman" w:cs="Times New Roman"/>
          <w:szCs w:val="22"/>
        </w:rPr>
        <w:t>,</w:t>
      </w:r>
      <w:r w:rsidRPr="00AC18ED">
        <w:rPr>
          <w:rFonts w:ascii="Times New Roman" w:hAnsi="Times New Roman" w:cs="Times New Roman"/>
          <w:szCs w:val="22"/>
        </w:rPr>
        <w:t xml:space="preserve"> Keoratala, Nimtala, Birjunala, Kashi Mitra Lane, Siriti, Garia. </w:t>
      </w:r>
      <w:r w:rsidR="0092564A">
        <w:rPr>
          <w:rFonts w:ascii="Times New Roman" w:hAnsi="Times New Roman" w:cs="Times New Roman"/>
          <w:szCs w:val="22"/>
        </w:rPr>
        <w:t>There</w:t>
      </w:r>
      <w:r w:rsidRPr="00AC18ED">
        <w:rPr>
          <w:rFonts w:ascii="Times New Roman" w:hAnsi="Times New Roman" w:cs="Times New Roman"/>
          <w:szCs w:val="22"/>
        </w:rPr>
        <w:t xml:space="preserve"> </w:t>
      </w:r>
      <w:r w:rsidR="009C4E2D">
        <w:rPr>
          <w:rFonts w:ascii="Times New Roman" w:hAnsi="Times New Roman" w:cs="Times New Roman"/>
          <w:szCs w:val="22"/>
        </w:rPr>
        <w:t>are another seven</w:t>
      </w:r>
      <w:r w:rsidR="00774A64">
        <w:rPr>
          <w:rFonts w:ascii="Times New Roman" w:hAnsi="Times New Roman" w:cs="Times New Roman"/>
          <w:szCs w:val="22"/>
        </w:rPr>
        <w:t xml:space="preserve"> </w:t>
      </w:r>
      <w:r w:rsidR="009C4E2D">
        <w:rPr>
          <w:rFonts w:ascii="Times New Roman" w:hAnsi="Times New Roman" w:cs="Times New Roman"/>
          <w:szCs w:val="22"/>
        </w:rPr>
        <w:t>operating</w:t>
      </w:r>
      <w:r w:rsidRPr="00AC18ED">
        <w:rPr>
          <w:rFonts w:ascii="Times New Roman" w:hAnsi="Times New Roman" w:cs="Times New Roman"/>
          <w:szCs w:val="22"/>
        </w:rPr>
        <w:t xml:space="preserve"> in </w:t>
      </w:r>
      <w:r w:rsidR="0092564A">
        <w:rPr>
          <w:rFonts w:ascii="Times New Roman" w:hAnsi="Times New Roman" w:cs="Times New Roman"/>
          <w:szCs w:val="22"/>
        </w:rPr>
        <w:t xml:space="preserve">the </w:t>
      </w:r>
      <w:r w:rsidR="00A7166F">
        <w:rPr>
          <w:rFonts w:ascii="Times New Roman" w:hAnsi="Times New Roman" w:cs="Times New Roman"/>
          <w:szCs w:val="22"/>
        </w:rPr>
        <w:t>KMC</w:t>
      </w:r>
      <w:r w:rsidR="009C4E2D">
        <w:rPr>
          <w:rFonts w:ascii="Times New Roman" w:hAnsi="Times New Roman" w:cs="Times New Roman"/>
          <w:szCs w:val="22"/>
        </w:rPr>
        <w:t>,</w:t>
      </w:r>
      <w:r w:rsidRPr="00AC18ED">
        <w:rPr>
          <w:rFonts w:ascii="Times New Roman" w:hAnsi="Times New Roman" w:cs="Times New Roman"/>
          <w:szCs w:val="22"/>
        </w:rPr>
        <w:t xml:space="preserve"> as reported in </w:t>
      </w:r>
      <w:r w:rsidR="009C4E2D">
        <w:rPr>
          <w:rFonts w:ascii="Times New Roman" w:hAnsi="Times New Roman" w:cs="Times New Roman"/>
          <w:szCs w:val="22"/>
        </w:rPr>
        <w:t xml:space="preserve">the </w:t>
      </w:r>
      <w:r w:rsidRPr="00AC18ED">
        <w:rPr>
          <w:rFonts w:ascii="Times New Roman" w:hAnsi="Times New Roman" w:cs="Times New Roman"/>
          <w:szCs w:val="22"/>
        </w:rPr>
        <w:t xml:space="preserve">Kolkata Metropolitan Development Authority </w:t>
      </w:r>
      <w:r w:rsidRPr="00631256">
        <w:rPr>
          <w:rFonts w:ascii="Times New Roman" w:hAnsi="Times New Roman" w:cs="Times New Roman"/>
          <w:szCs w:val="22"/>
        </w:rPr>
        <w:t>report (</w:t>
      </w:r>
      <w:r w:rsidR="00BC6F08" w:rsidRPr="00631256">
        <w:rPr>
          <w:rFonts w:ascii="Times New Roman" w:hAnsi="Times New Roman" w:cs="Times New Roman"/>
          <w:szCs w:val="22"/>
        </w:rPr>
        <w:t>KMDA</w:t>
      </w:r>
      <w:r w:rsidR="00E51485" w:rsidRPr="00631256">
        <w:rPr>
          <w:rFonts w:ascii="Times New Roman" w:hAnsi="Times New Roman" w:cs="Times New Roman"/>
          <w:szCs w:val="22"/>
        </w:rPr>
        <w:t>,</w:t>
      </w:r>
      <w:r w:rsidR="00BC6F08" w:rsidRPr="00631256">
        <w:rPr>
          <w:rFonts w:ascii="Times New Roman" w:hAnsi="Times New Roman" w:cs="Times New Roman"/>
          <w:szCs w:val="22"/>
        </w:rPr>
        <w:t xml:space="preserve"> 2005). </w:t>
      </w:r>
      <w:r w:rsidR="009C4E2D" w:rsidRPr="00631256">
        <w:rPr>
          <w:rFonts w:ascii="Times New Roman" w:hAnsi="Times New Roman" w:cs="Times New Roman"/>
          <w:szCs w:val="22"/>
        </w:rPr>
        <w:t xml:space="preserve">Crematoria </w:t>
      </w:r>
      <w:r w:rsidRPr="00AC18ED">
        <w:rPr>
          <w:rFonts w:ascii="Times New Roman" w:hAnsi="Times New Roman" w:cs="Times New Roman"/>
          <w:szCs w:val="22"/>
        </w:rPr>
        <w:t xml:space="preserve">were </w:t>
      </w:r>
      <w:r w:rsidR="009C4E2D" w:rsidRPr="00AC18ED">
        <w:rPr>
          <w:rFonts w:ascii="Times New Roman" w:hAnsi="Times New Roman" w:cs="Times New Roman"/>
          <w:szCs w:val="22"/>
        </w:rPr>
        <w:t xml:space="preserve">mainly </w:t>
      </w:r>
      <w:r w:rsidRPr="00AC18ED">
        <w:rPr>
          <w:rFonts w:ascii="Times New Roman" w:hAnsi="Times New Roman" w:cs="Times New Roman"/>
          <w:szCs w:val="22"/>
        </w:rPr>
        <w:t xml:space="preserve">operated </w:t>
      </w:r>
      <w:r w:rsidR="009C4E2D">
        <w:rPr>
          <w:rFonts w:ascii="Times New Roman" w:hAnsi="Times New Roman" w:cs="Times New Roman"/>
          <w:szCs w:val="22"/>
        </w:rPr>
        <w:t xml:space="preserve">using an </w:t>
      </w:r>
      <w:r w:rsidRPr="00AC18ED">
        <w:rPr>
          <w:rFonts w:ascii="Times New Roman" w:hAnsi="Times New Roman" w:cs="Times New Roman"/>
          <w:szCs w:val="22"/>
        </w:rPr>
        <w:t xml:space="preserve">electric cremation system but </w:t>
      </w:r>
      <w:r w:rsidR="009C4E2D">
        <w:rPr>
          <w:rFonts w:ascii="Times New Roman" w:hAnsi="Times New Roman" w:cs="Times New Roman"/>
          <w:szCs w:val="22"/>
        </w:rPr>
        <w:t>the option of a</w:t>
      </w:r>
      <w:r w:rsidRPr="00AC18ED">
        <w:rPr>
          <w:rFonts w:ascii="Times New Roman" w:hAnsi="Times New Roman" w:cs="Times New Roman"/>
          <w:szCs w:val="22"/>
        </w:rPr>
        <w:t xml:space="preserve"> wood cremation </w:t>
      </w:r>
      <w:r w:rsidR="0092564A">
        <w:rPr>
          <w:rFonts w:ascii="Times New Roman" w:hAnsi="Times New Roman" w:cs="Times New Roman"/>
          <w:szCs w:val="22"/>
        </w:rPr>
        <w:t xml:space="preserve">has </w:t>
      </w:r>
      <w:r w:rsidR="009C4E2D">
        <w:rPr>
          <w:rFonts w:ascii="Times New Roman" w:hAnsi="Times New Roman" w:cs="Times New Roman"/>
          <w:szCs w:val="22"/>
        </w:rPr>
        <w:t>remained.</w:t>
      </w:r>
      <w:r w:rsidRPr="00AC18ED">
        <w:rPr>
          <w:rFonts w:ascii="Times New Roman" w:hAnsi="Times New Roman" w:cs="Times New Roman"/>
          <w:szCs w:val="22"/>
        </w:rPr>
        <w:t xml:space="preserve"> During </w:t>
      </w:r>
      <w:r w:rsidR="009C4E2D">
        <w:rPr>
          <w:rFonts w:ascii="Times New Roman" w:hAnsi="Times New Roman" w:cs="Times New Roman"/>
          <w:szCs w:val="22"/>
        </w:rPr>
        <w:t xml:space="preserve">the </w:t>
      </w:r>
      <w:r w:rsidRPr="00AC18ED">
        <w:rPr>
          <w:rFonts w:ascii="Times New Roman" w:hAnsi="Times New Roman" w:cs="Times New Roman"/>
          <w:szCs w:val="22"/>
        </w:rPr>
        <w:t xml:space="preserve">primary survey </w:t>
      </w:r>
      <w:r w:rsidR="00C8541C">
        <w:rPr>
          <w:rFonts w:ascii="Times New Roman" w:hAnsi="Times New Roman" w:cs="Times New Roman"/>
          <w:szCs w:val="22"/>
        </w:rPr>
        <w:t xml:space="preserve">conducted as part of this study </w:t>
      </w:r>
      <w:r w:rsidRPr="00AC18ED">
        <w:rPr>
          <w:rFonts w:ascii="Times New Roman" w:hAnsi="Times New Roman" w:cs="Times New Roman"/>
          <w:szCs w:val="22"/>
        </w:rPr>
        <w:t>at local crematori</w:t>
      </w:r>
      <w:r w:rsidR="009C4E2D">
        <w:rPr>
          <w:rFonts w:ascii="Times New Roman" w:hAnsi="Times New Roman" w:cs="Times New Roman"/>
          <w:szCs w:val="22"/>
        </w:rPr>
        <w:t xml:space="preserve">a, </w:t>
      </w:r>
      <w:r w:rsidRPr="00AC18ED">
        <w:rPr>
          <w:rFonts w:ascii="Times New Roman" w:hAnsi="Times New Roman" w:cs="Times New Roman"/>
          <w:szCs w:val="22"/>
        </w:rPr>
        <w:t xml:space="preserve">it was reported that an average of 350 kg wood </w:t>
      </w:r>
      <w:r w:rsidR="009C4E2D">
        <w:rPr>
          <w:rFonts w:ascii="Times New Roman" w:hAnsi="Times New Roman" w:cs="Times New Roman"/>
          <w:szCs w:val="22"/>
        </w:rPr>
        <w:t xml:space="preserve">is </w:t>
      </w:r>
      <w:r w:rsidRPr="00AC18ED">
        <w:rPr>
          <w:rFonts w:ascii="Times New Roman" w:hAnsi="Times New Roman" w:cs="Times New Roman"/>
          <w:szCs w:val="22"/>
        </w:rPr>
        <w:t>used for a single cremation</w:t>
      </w:r>
      <w:r w:rsidR="007153DE">
        <w:rPr>
          <w:rFonts w:ascii="Times New Roman" w:hAnsi="Times New Roman" w:cs="Times New Roman"/>
          <w:szCs w:val="22"/>
        </w:rPr>
        <w:t xml:space="preserve"> </w:t>
      </w:r>
      <w:r w:rsidRPr="00AC18ED">
        <w:rPr>
          <w:rFonts w:ascii="Times New Roman" w:hAnsi="Times New Roman" w:cs="Times New Roman"/>
          <w:szCs w:val="22"/>
        </w:rPr>
        <w:t xml:space="preserve">. </w:t>
      </w:r>
      <w:r w:rsidR="009C4E2D">
        <w:rPr>
          <w:rFonts w:ascii="Times New Roman" w:hAnsi="Times New Roman" w:cs="Times New Roman"/>
          <w:szCs w:val="22"/>
        </w:rPr>
        <w:t>Wood</w:t>
      </w:r>
      <w:r w:rsidRPr="00AC18ED">
        <w:rPr>
          <w:rFonts w:ascii="Times New Roman" w:hAnsi="Times New Roman" w:cs="Times New Roman"/>
          <w:szCs w:val="22"/>
        </w:rPr>
        <w:t xml:space="preserve"> burning in crematoria is incorporated in</w:t>
      </w:r>
      <w:r w:rsidR="009C4E2D">
        <w:rPr>
          <w:rFonts w:ascii="Times New Roman" w:hAnsi="Times New Roman" w:cs="Times New Roman"/>
          <w:szCs w:val="22"/>
        </w:rPr>
        <w:t>to the</w:t>
      </w:r>
      <w:r w:rsidRPr="00AC18ED">
        <w:rPr>
          <w:rFonts w:ascii="Times New Roman" w:hAnsi="Times New Roman" w:cs="Times New Roman"/>
          <w:szCs w:val="22"/>
        </w:rPr>
        <w:t xml:space="preserve"> domestic commercial sector.</w:t>
      </w:r>
    </w:p>
    <w:p w14:paraId="5D99BF09" w14:textId="5290C69A" w:rsidR="001C5298" w:rsidRPr="00AC18ED" w:rsidRDefault="001C5298" w:rsidP="00AC18ED">
      <w:pPr>
        <w:pStyle w:val="Heading2"/>
        <w:numPr>
          <w:ilvl w:val="1"/>
          <w:numId w:val="11"/>
        </w:numPr>
        <w:spacing w:before="0" w:after="120" w:line="276" w:lineRule="auto"/>
        <w:rPr>
          <w:rFonts w:ascii="Times New Roman" w:hAnsi="Times New Roman" w:cs="Times New Roman"/>
          <w:sz w:val="22"/>
          <w:szCs w:val="22"/>
        </w:rPr>
      </w:pPr>
      <w:bookmarkStart w:id="20" w:name="_Toc22630739"/>
      <w:r w:rsidRPr="00AC18ED">
        <w:rPr>
          <w:rFonts w:ascii="Times New Roman" w:hAnsi="Times New Roman" w:cs="Times New Roman"/>
          <w:sz w:val="22"/>
          <w:szCs w:val="22"/>
        </w:rPr>
        <w:t xml:space="preserve">Construction </w:t>
      </w:r>
      <w:r w:rsidR="00C56590">
        <w:rPr>
          <w:rFonts w:ascii="Times New Roman" w:hAnsi="Times New Roman" w:cs="Times New Roman"/>
          <w:sz w:val="22"/>
          <w:szCs w:val="22"/>
        </w:rPr>
        <w:t>s</w:t>
      </w:r>
      <w:r w:rsidR="00C56590" w:rsidRPr="00AC18ED">
        <w:rPr>
          <w:rFonts w:ascii="Times New Roman" w:hAnsi="Times New Roman" w:cs="Times New Roman"/>
          <w:sz w:val="22"/>
          <w:szCs w:val="22"/>
        </w:rPr>
        <w:t>ector</w:t>
      </w:r>
      <w:bookmarkEnd w:id="20"/>
    </w:p>
    <w:p w14:paraId="6E42A804" w14:textId="08A73C44" w:rsidR="0045440A" w:rsidRPr="00AC18ED" w:rsidRDefault="001C5298" w:rsidP="00AC18ED">
      <w:pPr>
        <w:spacing w:after="120" w:line="276" w:lineRule="auto"/>
        <w:jc w:val="both"/>
        <w:rPr>
          <w:rFonts w:ascii="Times New Roman" w:hAnsi="Times New Roman" w:cs="Times New Roman"/>
          <w:szCs w:val="22"/>
        </w:rPr>
      </w:pPr>
      <w:r w:rsidRPr="00AC18ED">
        <w:rPr>
          <w:rFonts w:ascii="Times New Roman" w:hAnsi="Times New Roman" w:cs="Times New Roman"/>
          <w:szCs w:val="22"/>
        </w:rPr>
        <w:t xml:space="preserve">Construction activity data for West Bengal </w:t>
      </w:r>
      <w:r w:rsidR="00971797" w:rsidRPr="00AC18ED">
        <w:rPr>
          <w:rFonts w:ascii="Times New Roman" w:hAnsi="Times New Roman" w:cs="Times New Roman"/>
          <w:szCs w:val="22"/>
        </w:rPr>
        <w:t>w</w:t>
      </w:r>
      <w:r w:rsidR="00971797">
        <w:rPr>
          <w:rFonts w:ascii="Times New Roman" w:hAnsi="Times New Roman" w:cs="Times New Roman"/>
          <w:szCs w:val="22"/>
        </w:rPr>
        <w:t xml:space="preserve">ere </w:t>
      </w:r>
      <w:r w:rsidRPr="00AC18ED">
        <w:rPr>
          <w:rFonts w:ascii="Times New Roman" w:hAnsi="Times New Roman" w:cs="Times New Roman"/>
          <w:szCs w:val="22"/>
        </w:rPr>
        <w:t xml:space="preserve">gathered </w:t>
      </w:r>
      <w:r w:rsidRPr="00631256">
        <w:rPr>
          <w:rFonts w:ascii="Times New Roman" w:hAnsi="Times New Roman" w:cs="Times New Roman"/>
          <w:szCs w:val="22"/>
        </w:rPr>
        <w:t xml:space="preserve">from </w:t>
      </w:r>
      <w:r w:rsidR="00632B75" w:rsidRPr="00631256">
        <w:rPr>
          <w:rFonts w:ascii="Times New Roman" w:hAnsi="Times New Roman" w:cs="Times New Roman"/>
          <w:szCs w:val="22"/>
        </w:rPr>
        <w:t xml:space="preserve">DoEA </w:t>
      </w:r>
      <w:r w:rsidR="009C4E2D" w:rsidRPr="00631256">
        <w:rPr>
          <w:rFonts w:ascii="Times New Roman" w:hAnsi="Times New Roman" w:cs="Times New Roman"/>
          <w:szCs w:val="22"/>
        </w:rPr>
        <w:t>(</w:t>
      </w:r>
      <w:r w:rsidR="00632B75" w:rsidRPr="00631256">
        <w:rPr>
          <w:rFonts w:ascii="Times New Roman" w:hAnsi="Times New Roman" w:cs="Times New Roman"/>
          <w:szCs w:val="22"/>
        </w:rPr>
        <w:t>2015</w:t>
      </w:r>
      <w:r w:rsidR="009C4E2D" w:rsidRPr="00631256">
        <w:rPr>
          <w:rFonts w:ascii="Times New Roman" w:hAnsi="Times New Roman" w:cs="Times New Roman"/>
          <w:szCs w:val="22"/>
        </w:rPr>
        <w:t>)</w:t>
      </w:r>
      <w:r w:rsidR="00632B75" w:rsidRPr="00631256">
        <w:rPr>
          <w:rFonts w:ascii="Times New Roman" w:hAnsi="Times New Roman" w:cs="Times New Roman"/>
          <w:szCs w:val="22"/>
        </w:rPr>
        <w:t>.</w:t>
      </w:r>
      <w:r w:rsidR="00774A64" w:rsidRPr="00631256">
        <w:rPr>
          <w:rFonts w:ascii="Times New Roman" w:hAnsi="Times New Roman" w:cs="Times New Roman"/>
          <w:szCs w:val="22"/>
        </w:rPr>
        <w:t xml:space="preserve"> </w:t>
      </w:r>
      <w:r w:rsidR="009C4E2D" w:rsidRPr="00631256">
        <w:rPr>
          <w:rFonts w:ascii="Times New Roman" w:hAnsi="Times New Roman" w:cs="Times New Roman"/>
          <w:szCs w:val="22"/>
        </w:rPr>
        <w:t xml:space="preserve">The type </w:t>
      </w:r>
      <w:r w:rsidR="009C4E2D">
        <w:rPr>
          <w:rFonts w:ascii="Times New Roman" w:hAnsi="Times New Roman" w:cs="Times New Roman"/>
          <w:szCs w:val="22"/>
        </w:rPr>
        <w:t xml:space="preserve">of </w:t>
      </w:r>
      <w:r w:rsidRPr="00AC18ED">
        <w:rPr>
          <w:rFonts w:ascii="Times New Roman" w:hAnsi="Times New Roman" w:cs="Times New Roman"/>
          <w:szCs w:val="22"/>
        </w:rPr>
        <w:t>construction</w:t>
      </w:r>
      <w:r w:rsidR="00CB06A5">
        <w:rPr>
          <w:rFonts w:ascii="Times New Roman" w:hAnsi="Times New Roman" w:cs="Times New Roman"/>
          <w:szCs w:val="22"/>
        </w:rPr>
        <w:t>s</w:t>
      </w:r>
      <w:r w:rsidRPr="00AC18ED">
        <w:rPr>
          <w:rFonts w:ascii="Times New Roman" w:hAnsi="Times New Roman" w:cs="Times New Roman"/>
          <w:szCs w:val="22"/>
        </w:rPr>
        <w:t xml:space="preserve"> in the transport sector was mainly roads and bridges. In </w:t>
      </w:r>
      <w:r w:rsidR="009C4E2D">
        <w:rPr>
          <w:rFonts w:ascii="Times New Roman" w:hAnsi="Times New Roman" w:cs="Times New Roman"/>
          <w:szCs w:val="22"/>
        </w:rPr>
        <w:t xml:space="preserve">the </w:t>
      </w:r>
      <w:r w:rsidR="00A7166F">
        <w:rPr>
          <w:rFonts w:ascii="Times New Roman" w:hAnsi="Times New Roman" w:cs="Times New Roman"/>
          <w:szCs w:val="22"/>
        </w:rPr>
        <w:t>KMC</w:t>
      </w:r>
      <w:r w:rsidRPr="00AC18ED">
        <w:rPr>
          <w:rFonts w:ascii="Times New Roman" w:hAnsi="Times New Roman" w:cs="Times New Roman"/>
          <w:szCs w:val="22"/>
        </w:rPr>
        <w:t xml:space="preserve"> region</w:t>
      </w:r>
      <w:r w:rsidR="009C4E2D">
        <w:rPr>
          <w:rFonts w:ascii="Times New Roman" w:hAnsi="Times New Roman" w:cs="Times New Roman"/>
          <w:szCs w:val="22"/>
        </w:rPr>
        <w:t>, there was a</w:t>
      </w:r>
      <w:r w:rsidRPr="00AC18ED">
        <w:rPr>
          <w:rFonts w:ascii="Times New Roman" w:hAnsi="Times New Roman" w:cs="Times New Roman"/>
          <w:szCs w:val="22"/>
        </w:rPr>
        <w:t xml:space="preserve"> total of 70 </w:t>
      </w:r>
      <w:r w:rsidR="0045440A" w:rsidRPr="00AC18ED">
        <w:rPr>
          <w:rFonts w:ascii="Times New Roman" w:hAnsi="Times New Roman" w:cs="Times New Roman"/>
          <w:szCs w:val="22"/>
        </w:rPr>
        <w:t>construction activities</w:t>
      </w:r>
      <w:r w:rsidRPr="00AC18ED">
        <w:rPr>
          <w:rFonts w:ascii="Times New Roman" w:hAnsi="Times New Roman" w:cs="Times New Roman"/>
          <w:szCs w:val="22"/>
        </w:rPr>
        <w:t xml:space="preserve"> in </w:t>
      </w:r>
      <w:r w:rsidR="009C4E2D">
        <w:rPr>
          <w:rFonts w:ascii="Times New Roman" w:hAnsi="Times New Roman" w:cs="Times New Roman"/>
          <w:szCs w:val="22"/>
        </w:rPr>
        <w:t xml:space="preserve">the </w:t>
      </w:r>
      <w:r w:rsidRPr="00AC18ED">
        <w:rPr>
          <w:rFonts w:ascii="Times New Roman" w:hAnsi="Times New Roman" w:cs="Times New Roman"/>
          <w:szCs w:val="22"/>
        </w:rPr>
        <w:t>energy, transport, water</w:t>
      </w:r>
      <w:r w:rsidR="00442CD0">
        <w:rPr>
          <w:rFonts w:ascii="Times New Roman" w:hAnsi="Times New Roman" w:cs="Times New Roman"/>
          <w:szCs w:val="22"/>
        </w:rPr>
        <w:t>,</w:t>
      </w:r>
      <w:r w:rsidRPr="00AC18ED">
        <w:rPr>
          <w:rFonts w:ascii="Times New Roman" w:hAnsi="Times New Roman" w:cs="Times New Roman"/>
          <w:szCs w:val="22"/>
        </w:rPr>
        <w:t xml:space="preserve"> sanitation, social</w:t>
      </w:r>
      <w:r w:rsidR="009C4E2D">
        <w:rPr>
          <w:rFonts w:ascii="Times New Roman" w:hAnsi="Times New Roman" w:cs="Times New Roman"/>
          <w:szCs w:val="22"/>
        </w:rPr>
        <w:t>,</w:t>
      </w:r>
      <w:r w:rsidRPr="00AC18ED">
        <w:rPr>
          <w:rFonts w:ascii="Times New Roman" w:hAnsi="Times New Roman" w:cs="Times New Roman"/>
          <w:szCs w:val="22"/>
        </w:rPr>
        <w:t xml:space="preserve"> and commercial infrastructure sector</w:t>
      </w:r>
      <w:r w:rsidR="009C4E2D">
        <w:rPr>
          <w:rFonts w:ascii="Times New Roman" w:hAnsi="Times New Roman" w:cs="Times New Roman"/>
          <w:szCs w:val="22"/>
        </w:rPr>
        <w:t>s</w:t>
      </w:r>
      <w:r w:rsidRPr="00AC18ED">
        <w:rPr>
          <w:rFonts w:ascii="Times New Roman" w:hAnsi="Times New Roman" w:cs="Times New Roman"/>
          <w:szCs w:val="22"/>
        </w:rPr>
        <w:t>,</w:t>
      </w:r>
      <w:r w:rsidR="00774A64">
        <w:rPr>
          <w:rFonts w:ascii="Times New Roman" w:hAnsi="Times New Roman" w:cs="Times New Roman"/>
          <w:szCs w:val="22"/>
        </w:rPr>
        <w:t xml:space="preserve"> </w:t>
      </w:r>
      <w:r w:rsidRPr="00AC18ED">
        <w:rPr>
          <w:rFonts w:ascii="Times New Roman" w:hAnsi="Times New Roman" w:cs="Times New Roman"/>
          <w:szCs w:val="22"/>
        </w:rPr>
        <w:t xml:space="preserve">of </w:t>
      </w:r>
      <w:r w:rsidR="009C4E2D">
        <w:rPr>
          <w:rFonts w:ascii="Times New Roman" w:hAnsi="Times New Roman" w:cs="Times New Roman"/>
          <w:szCs w:val="22"/>
        </w:rPr>
        <w:t>which</w:t>
      </w:r>
      <w:r w:rsidR="009C4E2D" w:rsidRPr="00AC18ED">
        <w:rPr>
          <w:rFonts w:ascii="Times New Roman" w:hAnsi="Times New Roman" w:cs="Times New Roman"/>
          <w:szCs w:val="22"/>
        </w:rPr>
        <w:t xml:space="preserve"> </w:t>
      </w:r>
      <w:r w:rsidRPr="00AC18ED">
        <w:rPr>
          <w:rFonts w:ascii="Times New Roman" w:hAnsi="Times New Roman" w:cs="Times New Roman"/>
          <w:szCs w:val="22"/>
        </w:rPr>
        <w:t xml:space="preserve">37 </w:t>
      </w:r>
      <w:r w:rsidR="009C4E2D">
        <w:rPr>
          <w:rFonts w:ascii="Times New Roman" w:hAnsi="Times New Roman" w:cs="Times New Roman"/>
          <w:szCs w:val="22"/>
        </w:rPr>
        <w:t xml:space="preserve">came </w:t>
      </w:r>
      <w:r w:rsidRPr="00AC18ED">
        <w:rPr>
          <w:rFonts w:ascii="Times New Roman" w:hAnsi="Times New Roman" w:cs="Times New Roman"/>
          <w:szCs w:val="22"/>
        </w:rPr>
        <w:t xml:space="preserve">under </w:t>
      </w:r>
      <w:r w:rsidR="009C4E2D">
        <w:rPr>
          <w:rFonts w:ascii="Times New Roman" w:hAnsi="Times New Roman" w:cs="Times New Roman"/>
          <w:szCs w:val="22"/>
        </w:rPr>
        <w:t xml:space="preserve">the </w:t>
      </w:r>
      <w:r w:rsidRPr="00AC18ED">
        <w:rPr>
          <w:rFonts w:ascii="Times New Roman" w:hAnsi="Times New Roman" w:cs="Times New Roman"/>
          <w:szCs w:val="22"/>
        </w:rPr>
        <w:t xml:space="preserve">transport sector. Other than transport, there were 26 ongoing construction projects on </w:t>
      </w:r>
      <w:r w:rsidR="0045440A" w:rsidRPr="00AC18ED">
        <w:rPr>
          <w:rFonts w:ascii="Times New Roman" w:hAnsi="Times New Roman" w:cs="Times New Roman"/>
          <w:szCs w:val="22"/>
        </w:rPr>
        <w:t>water sanitation</w:t>
      </w:r>
      <w:r w:rsidR="00971797">
        <w:rPr>
          <w:rFonts w:ascii="Times New Roman" w:hAnsi="Times New Roman" w:cs="Times New Roman"/>
          <w:szCs w:val="22"/>
        </w:rPr>
        <w:t xml:space="preserve"> and </w:t>
      </w:r>
      <w:r w:rsidRPr="00AC18ED">
        <w:rPr>
          <w:rFonts w:ascii="Times New Roman" w:hAnsi="Times New Roman" w:cs="Times New Roman"/>
          <w:szCs w:val="22"/>
        </w:rPr>
        <w:t xml:space="preserve">sewage treatment in various parts of </w:t>
      </w:r>
      <w:r w:rsidR="009C4E2D">
        <w:rPr>
          <w:rFonts w:ascii="Times New Roman" w:hAnsi="Times New Roman" w:cs="Times New Roman"/>
          <w:szCs w:val="22"/>
        </w:rPr>
        <w:t xml:space="preserve">the </w:t>
      </w:r>
      <w:r w:rsidR="00A7166F">
        <w:rPr>
          <w:rFonts w:ascii="Times New Roman" w:hAnsi="Times New Roman" w:cs="Times New Roman"/>
          <w:szCs w:val="22"/>
        </w:rPr>
        <w:t>KMC</w:t>
      </w:r>
      <w:r w:rsidRPr="00AC18ED">
        <w:rPr>
          <w:rFonts w:ascii="Times New Roman" w:hAnsi="Times New Roman" w:cs="Times New Roman"/>
          <w:szCs w:val="22"/>
        </w:rPr>
        <w:t xml:space="preserve">. </w:t>
      </w:r>
      <w:r w:rsidR="00971797">
        <w:rPr>
          <w:rFonts w:ascii="Times New Roman" w:hAnsi="Times New Roman" w:cs="Times New Roman"/>
          <w:szCs w:val="22"/>
        </w:rPr>
        <w:t>Details</w:t>
      </w:r>
      <w:r w:rsidRPr="00AC18ED">
        <w:rPr>
          <w:rFonts w:ascii="Times New Roman" w:hAnsi="Times New Roman" w:cs="Times New Roman"/>
          <w:szCs w:val="22"/>
        </w:rPr>
        <w:t xml:space="preserve"> of sanction</w:t>
      </w:r>
      <w:r w:rsidR="00971797">
        <w:rPr>
          <w:rFonts w:ascii="Times New Roman" w:hAnsi="Times New Roman" w:cs="Times New Roman"/>
          <w:szCs w:val="22"/>
        </w:rPr>
        <w:t>ed</w:t>
      </w:r>
      <w:r w:rsidRPr="00AC18ED">
        <w:rPr>
          <w:rFonts w:ascii="Times New Roman" w:hAnsi="Times New Roman" w:cs="Times New Roman"/>
          <w:szCs w:val="22"/>
        </w:rPr>
        <w:t xml:space="preserve"> residential project</w:t>
      </w:r>
      <w:r w:rsidR="00971797">
        <w:rPr>
          <w:rFonts w:ascii="Times New Roman" w:hAnsi="Times New Roman" w:cs="Times New Roman"/>
          <w:szCs w:val="22"/>
        </w:rPr>
        <w:t>s</w:t>
      </w:r>
      <w:r w:rsidRPr="00AC18ED">
        <w:rPr>
          <w:rFonts w:ascii="Times New Roman" w:hAnsi="Times New Roman" w:cs="Times New Roman"/>
          <w:szCs w:val="22"/>
        </w:rPr>
        <w:t xml:space="preserve"> were obtained from </w:t>
      </w:r>
      <w:r w:rsidR="009C4E2D">
        <w:rPr>
          <w:rFonts w:ascii="Times New Roman" w:hAnsi="Times New Roman" w:cs="Times New Roman"/>
          <w:szCs w:val="22"/>
        </w:rPr>
        <w:t xml:space="preserve">the </w:t>
      </w:r>
      <w:r w:rsidR="00104EBD">
        <w:rPr>
          <w:rFonts w:ascii="Times New Roman" w:hAnsi="Times New Roman" w:cs="Times New Roman"/>
          <w:szCs w:val="22"/>
        </w:rPr>
        <w:t>Kolkata Municipal Corporation</w:t>
      </w:r>
      <w:r w:rsidR="00104EBD" w:rsidRPr="00AC18ED">
        <w:rPr>
          <w:rFonts w:ascii="Times New Roman" w:hAnsi="Times New Roman" w:cs="Times New Roman"/>
          <w:szCs w:val="22"/>
        </w:rPr>
        <w:t xml:space="preserve"> </w:t>
      </w:r>
      <w:r w:rsidRPr="00AC18ED">
        <w:rPr>
          <w:rFonts w:ascii="Times New Roman" w:hAnsi="Times New Roman" w:cs="Times New Roman"/>
          <w:szCs w:val="22"/>
        </w:rPr>
        <w:t xml:space="preserve"> authority</w:t>
      </w:r>
      <w:r w:rsidR="0008348A" w:rsidRPr="00AC18ED">
        <w:rPr>
          <w:rFonts w:ascii="Times New Roman" w:hAnsi="Times New Roman" w:cs="Times New Roman"/>
          <w:szCs w:val="22"/>
        </w:rPr>
        <w:t xml:space="preserve"> through </w:t>
      </w:r>
      <w:r w:rsidR="00E51485">
        <w:rPr>
          <w:rFonts w:ascii="Times New Roman" w:hAnsi="Times New Roman" w:cs="Times New Roman"/>
          <w:szCs w:val="22"/>
        </w:rPr>
        <w:t xml:space="preserve">personal </w:t>
      </w:r>
      <w:r w:rsidR="0008348A" w:rsidRPr="00AC18ED">
        <w:rPr>
          <w:rFonts w:ascii="Times New Roman" w:hAnsi="Times New Roman" w:cs="Times New Roman"/>
          <w:szCs w:val="22"/>
        </w:rPr>
        <w:t>communication</w:t>
      </w:r>
      <w:r w:rsidR="009C4E2D">
        <w:rPr>
          <w:rFonts w:ascii="Times New Roman" w:hAnsi="Times New Roman" w:cs="Times New Roman"/>
          <w:szCs w:val="22"/>
        </w:rPr>
        <w:t>s</w:t>
      </w:r>
      <w:r w:rsidR="00971797">
        <w:rPr>
          <w:rFonts w:ascii="Times New Roman" w:hAnsi="Times New Roman" w:cs="Times New Roman"/>
          <w:szCs w:val="22"/>
        </w:rPr>
        <w:t>,</w:t>
      </w:r>
      <w:r w:rsidRPr="00AC18ED">
        <w:rPr>
          <w:rFonts w:ascii="Times New Roman" w:hAnsi="Times New Roman" w:cs="Times New Roman"/>
          <w:szCs w:val="22"/>
        </w:rPr>
        <w:t xml:space="preserve"> and </w:t>
      </w:r>
      <w:r w:rsidR="009C4E2D">
        <w:rPr>
          <w:rFonts w:ascii="Times New Roman" w:hAnsi="Times New Roman" w:cs="Times New Roman"/>
          <w:szCs w:val="22"/>
        </w:rPr>
        <w:t>these</w:t>
      </w:r>
      <w:r w:rsidRPr="00AC18ED">
        <w:rPr>
          <w:rFonts w:ascii="Times New Roman" w:hAnsi="Times New Roman" w:cs="Times New Roman"/>
          <w:szCs w:val="22"/>
        </w:rPr>
        <w:t xml:space="preserve"> were projected for </w:t>
      </w:r>
      <w:r w:rsidR="009C4E2D">
        <w:rPr>
          <w:rFonts w:ascii="Times New Roman" w:hAnsi="Times New Roman" w:cs="Times New Roman"/>
          <w:szCs w:val="22"/>
        </w:rPr>
        <w:t xml:space="preserve">the </w:t>
      </w:r>
      <w:r w:rsidR="00A7166F">
        <w:rPr>
          <w:rFonts w:ascii="Times New Roman" w:hAnsi="Times New Roman" w:cs="Times New Roman"/>
          <w:szCs w:val="22"/>
        </w:rPr>
        <w:t>KMC</w:t>
      </w:r>
      <w:r w:rsidRPr="00AC18ED">
        <w:rPr>
          <w:rFonts w:ascii="Times New Roman" w:hAnsi="Times New Roman" w:cs="Times New Roman"/>
          <w:szCs w:val="22"/>
        </w:rPr>
        <w:t xml:space="preserve"> considering 50% residential construction in </w:t>
      </w:r>
      <w:r w:rsidR="00A7166F">
        <w:rPr>
          <w:rFonts w:ascii="Times New Roman" w:hAnsi="Times New Roman" w:cs="Times New Roman"/>
          <w:szCs w:val="22"/>
        </w:rPr>
        <w:t>KMC</w:t>
      </w:r>
      <w:r w:rsidRPr="00AC18ED">
        <w:rPr>
          <w:rFonts w:ascii="Times New Roman" w:hAnsi="Times New Roman" w:cs="Times New Roman"/>
          <w:szCs w:val="22"/>
        </w:rPr>
        <w:t xml:space="preserve"> regions outside </w:t>
      </w:r>
      <w:r w:rsidR="009C4E2D">
        <w:rPr>
          <w:rFonts w:ascii="Times New Roman" w:hAnsi="Times New Roman" w:cs="Times New Roman"/>
          <w:szCs w:val="22"/>
        </w:rPr>
        <w:t xml:space="preserve">the </w:t>
      </w:r>
      <w:r w:rsidR="00104EBD">
        <w:rPr>
          <w:rFonts w:ascii="Times New Roman" w:hAnsi="Times New Roman" w:cs="Times New Roman"/>
          <w:szCs w:val="22"/>
        </w:rPr>
        <w:t>Kolkata Municipal Corporation</w:t>
      </w:r>
      <w:r w:rsidR="00104EBD" w:rsidRPr="00AC18ED">
        <w:rPr>
          <w:rFonts w:ascii="Times New Roman" w:hAnsi="Times New Roman" w:cs="Times New Roman"/>
          <w:szCs w:val="22"/>
        </w:rPr>
        <w:t xml:space="preserve"> </w:t>
      </w:r>
      <w:r w:rsidR="00CB06A5">
        <w:rPr>
          <w:rFonts w:ascii="Times New Roman" w:hAnsi="Times New Roman" w:cs="Times New Roman"/>
          <w:szCs w:val="22"/>
        </w:rPr>
        <w:t xml:space="preserve">(old city boundary) </w:t>
      </w:r>
      <w:r w:rsidRPr="00AC18ED">
        <w:rPr>
          <w:rFonts w:ascii="Times New Roman" w:hAnsi="Times New Roman" w:cs="Times New Roman"/>
          <w:szCs w:val="22"/>
        </w:rPr>
        <w:t>in 2010.</w:t>
      </w:r>
    </w:p>
    <w:p w14:paraId="0E3482F0" w14:textId="12BFB042" w:rsidR="006D4049" w:rsidRDefault="001C5298" w:rsidP="00AC18ED">
      <w:pPr>
        <w:spacing w:after="120" w:line="276" w:lineRule="auto"/>
        <w:jc w:val="both"/>
        <w:rPr>
          <w:rFonts w:ascii="Times New Roman" w:hAnsi="Times New Roman" w:cs="Times New Roman"/>
          <w:szCs w:val="22"/>
        </w:rPr>
      </w:pPr>
      <w:r w:rsidRPr="00AC18ED">
        <w:rPr>
          <w:rFonts w:ascii="Times New Roman" w:hAnsi="Times New Roman" w:cs="Times New Roman"/>
          <w:szCs w:val="22"/>
        </w:rPr>
        <w:t>K</w:t>
      </w:r>
      <w:r w:rsidR="009A172F">
        <w:rPr>
          <w:rFonts w:ascii="Times New Roman" w:hAnsi="Times New Roman" w:cs="Times New Roman"/>
          <w:szCs w:val="22"/>
        </w:rPr>
        <w:t xml:space="preserve">olkata </w:t>
      </w:r>
      <w:r w:rsidRPr="00AC18ED">
        <w:rPr>
          <w:rFonts w:ascii="Times New Roman" w:hAnsi="Times New Roman" w:cs="Times New Roman"/>
          <w:szCs w:val="22"/>
        </w:rPr>
        <w:t>M</w:t>
      </w:r>
      <w:r w:rsidR="009A172F">
        <w:rPr>
          <w:rFonts w:ascii="Times New Roman" w:hAnsi="Times New Roman" w:cs="Times New Roman"/>
          <w:szCs w:val="22"/>
        </w:rPr>
        <w:t xml:space="preserve">unicipal </w:t>
      </w:r>
      <w:r w:rsidRPr="00AC18ED">
        <w:rPr>
          <w:rFonts w:ascii="Times New Roman" w:hAnsi="Times New Roman" w:cs="Times New Roman"/>
          <w:szCs w:val="22"/>
        </w:rPr>
        <w:t>C</w:t>
      </w:r>
      <w:r w:rsidR="009B1000">
        <w:rPr>
          <w:rFonts w:ascii="Times New Roman" w:hAnsi="Times New Roman" w:cs="Times New Roman"/>
          <w:szCs w:val="22"/>
        </w:rPr>
        <w:t>or</w:t>
      </w:r>
      <w:r w:rsidR="009A172F">
        <w:rPr>
          <w:rFonts w:ascii="Times New Roman" w:hAnsi="Times New Roman" w:cs="Times New Roman"/>
          <w:szCs w:val="22"/>
        </w:rPr>
        <w:t>poration</w:t>
      </w:r>
      <w:r w:rsidRPr="00AC18ED">
        <w:rPr>
          <w:rFonts w:ascii="Times New Roman" w:hAnsi="Times New Roman" w:cs="Times New Roman"/>
          <w:szCs w:val="22"/>
        </w:rPr>
        <w:t xml:space="preserve"> data indicate a yearly 3.3% decrease in residential construction from 2010 to </w:t>
      </w:r>
      <w:r w:rsidRPr="00631256">
        <w:rPr>
          <w:rFonts w:ascii="Times New Roman" w:hAnsi="Times New Roman" w:cs="Times New Roman"/>
          <w:szCs w:val="22"/>
        </w:rPr>
        <w:t>2015</w:t>
      </w:r>
      <w:r w:rsidR="00E51485" w:rsidRPr="00631256">
        <w:rPr>
          <w:rFonts w:ascii="Times New Roman" w:hAnsi="Times New Roman" w:cs="Times New Roman"/>
          <w:szCs w:val="22"/>
        </w:rPr>
        <w:t xml:space="preserve"> (</w:t>
      </w:r>
      <w:r w:rsidR="009A172F" w:rsidRPr="00631256">
        <w:rPr>
          <w:rFonts w:ascii="Times New Roman" w:hAnsi="Times New Roman" w:cs="Times New Roman"/>
          <w:szCs w:val="22"/>
        </w:rPr>
        <w:t>KMC 201</w:t>
      </w:r>
      <w:r w:rsidR="009B1000" w:rsidRPr="00631256">
        <w:rPr>
          <w:rFonts w:ascii="Times New Roman" w:hAnsi="Times New Roman" w:cs="Times New Roman"/>
          <w:szCs w:val="22"/>
        </w:rPr>
        <w:t>8</w:t>
      </w:r>
      <w:r w:rsidR="00E51485" w:rsidRPr="00631256">
        <w:rPr>
          <w:rFonts w:ascii="Times New Roman" w:hAnsi="Times New Roman" w:cs="Times New Roman"/>
          <w:szCs w:val="22"/>
        </w:rPr>
        <w:t>)</w:t>
      </w:r>
      <w:r w:rsidRPr="00631256">
        <w:rPr>
          <w:rFonts w:ascii="Times New Roman" w:hAnsi="Times New Roman" w:cs="Times New Roman"/>
          <w:szCs w:val="22"/>
        </w:rPr>
        <w:t xml:space="preserve">. </w:t>
      </w:r>
      <w:r w:rsidR="009C4DF6" w:rsidRPr="00631256">
        <w:rPr>
          <w:rFonts w:ascii="Times New Roman" w:hAnsi="Times New Roman" w:cs="Times New Roman"/>
          <w:szCs w:val="22"/>
        </w:rPr>
        <w:t>This figure</w:t>
      </w:r>
      <w:r w:rsidRPr="00631256">
        <w:rPr>
          <w:rFonts w:ascii="Times New Roman" w:hAnsi="Times New Roman" w:cs="Times New Roman"/>
          <w:szCs w:val="22"/>
        </w:rPr>
        <w:t xml:space="preserve"> </w:t>
      </w:r>
      <w:r w:rsidRPr="00AC18ED">
        <w:rPr>
          <w:rFonts w:ascii="Times New Roman" w:hAnsi="Times New Roman" w:cs="Times New Roman"/>
          <w:szCs w:val="22"/>
        </w:rPr>
        <w:t xml:space="preserve">was adopted for projecting construction activity till 2030 within </w:t>
      </w:r>
      <w:r w:rsidR="009C4DF6">
        <w:rPr>
          <w:rFonts w:ascii="Times New Roman" w:hAnsi="Times New Roman" w:cs="Times New Roman"/>
          <w:szCs w:val="22"/>
        </w:rPr>
        <w:lastRenderedPageBreak/>
        <w:t xml:space="preserve">the </w:t>
      </w:r>
      <w:r w:rsidR="009A172F">
        <w:rPr>
          <w:rFonts w:ascii="Times New Roman" w:hAnsi="Times New Roman" w:cs="Times New Roman"/>
          <w:szCs w:val="22"/>
        </w:rPr>
        <w:t xml:space="preserve">original city under </w:t>
      </w:r>
      <w:r w:rsidR="008B5654" w:rsidRPr="009A172F">
        <w:rPr>
          <w:rFonts w:ascii="Times New Roman" w:hAnsi="Times New Roman"/>
        </w:rPr>
        <w:t xml:space="preserve">Kolkata Municipal Corporation </w:t>
      </w:r>
      <w:r w:rsidRPr="009A172F">
        <w:rPr>
          <w:rFonts w:ascii="Times New Roman" w:hAnsi="Times New Roman"/>
        </w:rPr>
        <w:t>area</w:t>
      </w:r>
      <w:r w:rsidRPr="002C593A">
        <w:rPr>
          <w:rFonts w:ascii="Times New Roman" w:hAnsi="Times New Roman"/>
        </w:rPr>
        <w:t>.</w:t>
      </w:r>
      <w:r w:rsidRPr="00AC18ED">
        <w:rPr>
          <w:rFonts w:ascii="Times New Roman" w:hAnsi="Times New Roman" w:cs="Times New Roman"/>
          <w:szCs w:val="22"/>
        </w:rPr>
        <w:t xml:space="preserve"> It was assumed that</w:t>
      </w:r>
      <w:r w:rsidR="00774A64">
        <w:rPr>
          <w:rFonts w:ascii="Times New Roman" w:hAnsi="Times New Roman" w:cs="Times New Roman"/>
          <w:szCs w:val="22"/>
        </w:rPr>
        <w:t xml:space="preserve"> </w:t>
      </w:r>
      <w:r w:rsidRPr="00AC18ED">
        <w:rPr>
          <w:rFonts w:ascii="Times New Roman" w:hAnsi="Times New Roman" w:cs="Times New Roman"/>
          <w:szCs w:val="22"/>
        </w:rPr>
        <w:t>housing need</w:t>
      </w:r>
      <w:r w:rsidR="005C4DA7">
        <w:rPr>
          <w:rFonts w:ascii="Times New Roman" w:hAnsi="Times New Roman" w:cs="Times New Roman"/>
          <w:szCs w:val="22"/>
        </w:rPr>
        <w:t>s</w:t>
      </w:r>
      <w:r w:rsidR="00774A64">
        <w:rPr>
          <w:rFonts w:ascii="Times New Roman" w:hAnsi="Times New Roman" w:cs="Times New Roman"/>
          <w:szCs w:val="22"/>
        </w:rPr>
        <w:t xml:space="preserve"> </w:t>
      </w:r>
      <w:r w:rsidRPr="00AC18ED">
        <w:rPr>
          <w:rFonts w:ascii="Times New Roman" w:hAnsi="Times New Roman" w:cs="Times New Roman"/>
          <w:szCs w:val="22"/>
        </w:rPr>
        <w:t>will be met by residential construction outside</w:t>
      </w:r>
      <w:r w:rsidR="009C4DF6">
        <w:rPr>
          <w:rFonts w:ascii="Times New Roman" w:hAnsi="Times New Roman" w:cs="Times New Roman"/>
          <w:szCs w:val="22"/>
        </w:rPr>
        <w:t xml:space="preserve"> the</w:t>
      </w:r>
      <w:r w:rsidR="00774A64">
        <w:rPr>
          <w:rFonts w:ascii="Times New Roman" w:hAnsi="Times New Roman" w:cs="Times New Roman"/>
          <w:szCs w:val="22"/>
        </w:rPr>
        <w:t xml:space="preserve"> </w:t>
      </w:r>
      <w:r w:rsidR="008B5654">
        <w:rPr>
          <w:rFonts w:ascii="Times New Roman" w:hAnsi="Times New Roman" w:cs="Times New Roman"/>
          <w:szCs w:val="22"/>
        </w:rPr>
        <w:t>Kolkata Municipal Corporation</w:t>
      </w:r>
      <w:r w:rsidR="008B5654" w:rsidRPr="00AC18ED">
        <w:rPr>
          <w:rFonts w:ascii="Times New Roman" w:hAnsi="Times New Roman" w:cs="Times New Roman"/>
          <w:szCs w:val="22"/>
        </w:rPr>
        <w:t xml:space="preserve"> </w:t>
      </w:r>
      <w:r w:rsidRPr="00AC18ED">
        <w:rPr>
          <w:rFonts w:ascii="Times New Roman" w:hAnsi="Times New Roman" w:cs="Times New Roman"/>
          <w:szCs w:val="22"/>
        </w:rPr>
        <w:t xml:space="preserve">area </w:t>
      </w:r>
      <w:r w:rsidR="009161FE">
        <w:rPr>
          <w:rFonts w:ascii="Times New Roman" w:hAnsi="Times New Roman" w:cs="Times New Roman"/>
          <w:szCs w:val="22"/>
        </w:rPr>
        <w:t xml:space="preserve">but </w:t>
      </w:r>
      <w:r w:rsidRPr="00AC18ED">
        <w:rPr>
          <w:rFonts w:ascii="Times New Roman" w:hAnsi="Times New Roman" w:cs="Times New Roman"/>
          <w:szCs w:val="22"/>
        </w:rPr>
        <w:t xml:space="preserve">within </w:t>
      </w:r>
      <w:r w:rsidR="00442CD0">
        <w:rPr>
          <w:rFonts w:ascii="Times New Roman" w:hAnsi="Times New Roman" w:cs="Times New Roman"/>
          <w:szCs w:val="22"/>
        </w:rPr>
        <w:t xml:space="preserve">the </w:t>
      </w:r>
      <w:r w:rsidR="00A7166F">
        <w:rPr>
          <w:rFonts w:ascii="Times New Roman" w:hAnsi="Times New Roman" w:cs="Times New Roman"/>
          <w:szCs w:val="22"/>
        </w:rPr>
        <w:t>KMC</w:t>
      </w:r>
      <w:r w:rsidRPr="00AC18ED">
        <w:rPr>
          <w:rFonts w:ascii="Times New Roman" w:hAnsi="Times New Roman" w:cs="Times New Roman"/>
          <w:szCs w:val="22"/>
        </w:rPr>
        <w:t xml:space="preserve"> region</w:t>
      </w:r>
      <w:r w:rsidR="009C4DF6">
        <w:rPr>
          <w:rFonts w:ascii="Times New Roman" w:hAnsi="Times New Roman" w:cs="Times New Roman"/>
          <w:szCs w:val="22"/>
        </w:rPr>
        <w:t>:</w:t>
      </w:r>
      <w:r w:rsidRPr="00AC18ED">
        <w:rPr>
          <w:rFonts w:ascii="Times New Roman" w:hAnsi="Times New Roman" w:cs="Times New Roman"/>
          <w:szCs w:val="22"/>
        </w:rPr>
        <w:t xml:space="preserve"> hence</w:t>
      </w:r>
      <w:r w:rsidR="009C4DF6">
        <w:rPr>
          <w:rFonts w:ascii="Times New Roman" w:hAnsi="Times New Roman" w:cs="Times New Roman"/>
          <w:szCs w:val="22"/>
        </w:rPr>
        <w:t>,</w:t>
      </w:r>
      <w:r w:rsidR="00774A64">
        <w:rPr>
          <w:rFonts w:ascii="Times New Roman" w:hAnsi="Times New Roman" w:cs="Times New Roman"/>
          <w:szCs w:val="22"/>
        </w:rPr>
        <w:t xml:space="preserve"> </w:t>
      </w:r>
      <w:r w:rsidR="009C4DF6">
        <w:rPr>
          <w:rFonts w:ascii="Times New Roman" w:hAnsi="Times New Roman" w:cs="Times New Roman"/>
          <w:szCs w:val="22"/>
        </w:rPr>
        <w:t>given the</w:t>
      </w:r>
      <w:r w:rsidR="009C4DF6" w:rsidRPr="00AC18ED">
        <w:rPr>
          <w:rFonts w:ascii="Times New Roman" w:hAnsi="Times New Roman" w:cs="Times New Roman"/>
          <w:szCs w:val="22"/>
        </w:rPr>
        <w:t xml:space="preserve"> </w:t>
      </w:r>
      <w:r w:rsidRPr="00AC18ED">
        <w:rPr>
          <w:rFonts w:ascii="Times New Roman" w:hAnsi="Times New Roman" w:cs="Times New Roman"/>
          <w:szCs w:val="22"/>
        </w:rPr>
        <w:t>increasing population</w:t>
      </w:r>
      <w:r w:rsidR="009C4DF6">
        <w:rPr>
          <w:rFonts w:ascii="Times New Roman" w:hAnsi="Times New Roman" w:cs="Times New Roman"/>
          <w:szCs w:val="22"/>
        </w:rPr>
        <w:t>,</w:t>
      </w:r>
      <w:r w:rsidRPr="00AC18ED">
        <w:rPr>
          <w:rFonts w:ascii="Times New Roman" w:hAnsi="Times New Roman" w:cs="Times New Roman"/>
          <w:szCs w:val="22"/>
        </w:rPr>
        <w:t xml:space="preserve"> it was assumed that the rate of construction</w:t>
      </w:r>
      <w:r w:rsidR="00774A64">
        <w:rPr>
          <w:rFonts w:ascii="Times New Roman" w:hAnsi="Times New Roman" w:cs="Times New Roman"/>
          <w:szCs w:val="22"/>
        </w:rPr>
        <w:t xml:space="preserve"> </w:t>
      </w:r>
      <w:r w:rsidRPr="00AC18ED">
        <w:rPr>
          <w:rFonts w:ascii="Times New Roman" w:hAnsi="Times New Roman" w:cs="Times New Roman"/>
          <w:szCs w:val="22"/>
        </w:rPr>
        <w:t xml:space="preserve">(per square </w:t>
      </w:r>
      <w:r w:rsidR="009C4DF6">
        <w:rPr>
          <w:rFonts w:ascii="Times New Roman" w:hAnsi="Times New Roman" w:cs="Times New Roman"/>
          <w:szCs w:val="22"/>
        </w:rPr>
        <w:t>k</w:t>
      </w:r>
      <w:r w:rsidR="009C4DF6" w:rsidRPr="00AC18ED">
        <w:rPr>
          <w:rFonts w:ascii="Times New Roman" w:hAnsi="Times New Roman" w:cs="Times New Roman"/>
          <w:szCs w:val="22"/>
        </w:rPr>
        <w:t>m</w:t>
      </w:r>
      <w:r w:rsidRPr="00AC18ED">
        <w:rPr>
          <w:rFonts w:ascii="Times New Roman" w:hAnsi="Times New Roman" w:cs="Times New Roman"/>
          <w:szCs w:val="22"/>
        </w:rPr>
        <w:t xml:space="preserve">) in </w:t>
      </w:r>
      <w:r w:rsidR="009C4DF6">
        <w:rPr>
          <w:rFonts w:ascii="Times New Roman" w:hAnsi="Times New Roman" w:cs="Times New Roman"/>
          <w:szCs w:val="22"/>
        </w:rPr>
        <w:t xml:space="preserve">the </w:t>
      </w:r>
      <w:r w:rsidR="00A7166F">
        <w:rPr>
          <w:rFonts w:ascii="Times New Roman" w:hAnsi="Times New Roman" w:cs="Times New Roman"/>
          <w:szCs w:val="22"/>
        </w:rPr>
        <w:t>KMC</w:t>
      </w:r>
      <w:r w:rsidRPr="00AC18ED">
        <w:rPr>
          <w:rFonts w:ascii="Times New Roman" w:hAnsi="Times New Roman" w:cs="Times New Roman"/>
          <w:szCs w:val="22"/>
        </w:rPr>
        <w:t xml:space="preserve"> outside</w:t>
      </w:r>
      <w:r w:rsidR="009C4DF6">
        <w:rPr>
          <w:rFonts w:ascii="Times New Roman" w:hAnsi="Times New Roman" w:cs="Times New Roman"/>
          <w:szCs w:val="22"/>
        </w:rPr>
        <w:t xml:space="preserve"> the</w:t>
      </w:r>
      <w:r w:rsidR="00774A64">
        <w:rPr>
          <w:rFonts w:ascii="Times New Roman" w:hAnsi="Times New Roman" w:cs="Times New Roman"/>
          <w:szCs w:val="22"/>
        </w:rPr>
        <w:t xml:space="preserve"> </w:t>
      </w:r>
      <w:r w:rsidR="00F3689A">
        <w:rPr>
          <w:rFonts w:ascii="Times New Roman" w:hAnsi="Times New Roman" w:cs="Times New Roman"/>
          <w:szCs w:val="22"/>
        </w:rPr>
        <w:t>Kolkata Municipal Corporation</w:t>
      </w:r>
      <w:r w:rsidR="00F3689A" w:rsidRPr="00AC18ED">
        <w:rPr>
          <w:rFonts w:ascii="Times New Roman" w:hAnsi="Times New Roman" w:cs="Times New Roman"/>
          <w:szCs w:val="22"/>
        </w:rPr>
        <w:t xml:space="preserve"> </w:t>
      </w:r>
      <w:r w:rsidR="00F3689A">
        <w:rPr>
          <w:rFonts w:ascii="Times New Roman" w:hAnsi="Times New Roman" w:cs="Times New Roman"/>
          <w:szCs w:val="22"/>
        </w:rPr>
        <w:t>area</w:t>
      </w:r>
      <w:r w:rsidRPr="00AC18ED">
        <w:rPr>
          <w:rFonts w:ascii="Times New Roman" w:hAnsi="Times New Roman" w:cs="Times New Roman"/>
          <w:szCs w:val="22"/>
        </w:rPr>
        <w:t xml:space="preserve"> will increase </w:t>
      </w:r>
      <w:r w:rsidR="009C4DF6">
        <w:rPr>
          <w:rFonts w:ascii="Times New Roman" w:hAnsi="Times New Roman" w:cs="Times New Roman"/>
          <w:szCs w:val="22"/>
        </w:rPr>
        <w:t xml:space="preserve">by </w:t>
      </w:r>
      <w:r w:rsidRPr="00AC18ED">
        <w:rPr>
          <w:rFonts w:ascii="Times New Roman" w:hAnsi="Times New Roman" w:cs="Times New Roman"/>
          <w:szCs w:val="22"/>
        </w:rPr>
        <w:t>5% yearly</w:t>
      </w:r>
      <w:r w:rsidR="00B74D7F">
        <w:rPr>
          <w:rFonts w:ascii="Times New Roman" w:hAnsi="Times New Roman" w:cs="Times New Roman"/>
          <w:szCs w:val="22"/>
        </w:rPr>
        <w:t>;</w:t>
      </w:r>
      <w:r w:rsidR="009161FE">
        <w:rPr>
          <w:rFonts w:ascii="Times New Roman" w:hAnsi="Times New Roman" w:cs="Times New Roman"/>
          <w:szCs w:val="22"/>
        </w:rPr>
        <w:t xml:space="preserve"> </w:t>
      </w:r>
      <w:r w:rsidR="00971797">
        <w:rPr>
          <w:rFonts w:ascii="Times New Roman" w:hAnsi="Times New Roman" w:cs="Times New Roman"/>
          <w:szCs w:val="22"/>
        </w:rPr>
        <w:t>a</w:t>
      </w:r>
      <w:r w:rsidRPr="00AC18ED">
        <w:rPr>
          <w:rFonts w:ascii="Times New Roman" w:hAnsi="Times New Roman" w:cs="Times New Roman"/>
          <w:szCs w:val="22"/>
        </w:rPr>
        <w:t xml:space="preserve"> projection for construction outside </w:t>
      </w:r>
      <w:r w:rsidR="009C4DF6">
        <w:rPr>
          <w:rFonts w:ascii="Times New Roman" w:hAnsi="Times New Roman" w:cs="Times New Roman"/>
          <w:szCs w:val="22"/>
        </w:rPr>
        <w:t xml:space="preserve">the </w:t>
      </w:r>
      <w:r w:rsidR="00B74D7F" w:rsidRPr="00B74D7F">
        <w:rPr>
          <w:rFonts w:ascii="Times New Roman" w:hAnsi="Times New Roman" w:cs="Times New Roman"/>
          <w:szCs w:val="22"/>
        </w:rPr>
        <w:t xml:space="preserve"> </w:t>
      </w:r>
      <w:r w:rsidR="00B74D7F">
        <w:rPr>
          <w:rFonts w:ascii="Times New Roman" w:hAnsi="Times New Roman" w:cs="Times New Roman"/>
          <w:szCs w:val="22"/>
        </w:rPr>
        <w:t>Kolkata Municipal Corporation</w:t>
      </w:r>
      <w:r w:rsidRPr="00AC18ED">
        <w:rPr>
          <w:rFonts w:ascii="Times New Roman" w:hAnsi="Times New Roman" w:cs="Times New Roman"/>
          <w:szCs w:val="22"/>
        </w:rPr>
        <w:t xml:space="preserve"> was made</w:t>
      </w:r>
      <w:r w:rsidR="00971797">
        <w:rPr>
          <w:rFonts w:ascii="Times New Roman" w:hAnsi="Times New Roman" w:cs="Times New Roman"/>
          <w:szCs w:val="22"/>
        </w:rPr>
        <w:t xml:space="preserve">, based on this, up </w:t>
      </w:r>
      <w:r w:rsidR="009161FE">
        <w:rPr>
          <w:rFonts w:ascii="Times New Roman" w:hAnsi="Times New Roman" w:cs="Times New Roman"/>
          <w:szCs w:val="22"/>
        </w:rPr>
        <w:t>to</w:t>
      </w:r>
      <w:r w:rsidR="00971797">
        <w:rPr>
          <w:rFonts w:ascii="Times New Roman" w:hAnsi="Times New Roman" w:cs="Times New Roman"/>
          <w:szCs w:val="22"/>
        </w:rPr>
        <w:t xml:space="preserve"> </w:t>
      </w:r>
      <w:r w:rsidRPr="00AC18ED">
        <w:rPr>
          <w:rFonts w:ascii="Times New Roman" w:hAnsi="Times New Roman" w:cs="Times New Roman"/>
          <w:szCs w:val="22"/>
        </w:rPr>
        <w:t>2030. T</w:t>
      </w:r>
      <w:r w:rsidR="009C4DF6">
        <w:rPr>
          <w:rFonts w:ascii="Times New Roman" w:hAnsi="Times New Roman" w:cs="Times New Roman"/>
          <w:szCs w:val="22"/>
        </w:rPr>
        <w:t>he t</w:t>
      </w:r>
      <w:r w:rsidRPr="00AC18ED">
        <w:rPr>
          <w:rFonts w:ascii="Times New Roman" w:hAnsi="Times New Roman" w:cs="Times New Roman"/>
          <w:szCs w:val="22"/>
        </w:rPr>
        <w:t>otal residential construction</w:t>
      </w:r>
      <w:r w:rsidR="006D4049" w:rsidRPr="00AC18ED">
        <w:rPr>
          <w:rFonts w:ascii="Times New Roman" w:hAnsi="Times New Roman" w:cs="Times New Roman"/>
          <w:szCs w:val="22"/>
        </w:rPr>
        <w:t xml:space="preserve"> of </w:t>
      </w:r>
      <w:r w:rsidR="009C4DF6">
        <w:rPr>
          <w:rFonts w:ascii="Times New Roman" w:hAnsi="Times New Roman" w:cs="Times New Roman"/>
          <w:szCs w:val="22"/>
        </w:rPr>
        <w:t xml:space="preserve">the </w:t>
      </w:r>
      <w:r w:rsidR="00A7166F">
        <w:rPr>
          <w:rFonts w:ascii="Times New Roman" w:hAnsi="Times New Roman" w:cs="Times New Roman"/>
          <w:szCs w:val="22"/>
        </w:rPr>
        <w:t>KMC</w:t>
      </w:r>
      <w:r w:rsidR="006D4049" w:rsidRPr="00AC18ED">
        <w:rPr>
          <w:rFonts w:ascii="Times New Roman" w:hAnsi="Times New Roman" w:cs="Times New Roman"/>
          <w:szCs w:val="22"/>
        </w:rPr>
        <w:t xml:space="preserve"> region</w:t>
      </w:r>
      <w:r w:rsidRPr="00AC18ED">
        <w:rPr>
          <w:rFonts w:ascii="Times New Roman" w:hAnsi="Times New Roman" w:cs="Times New Roman"/>
          <w:szCs w:val="22"/>
        </w:rPr>
        <w:t xml:space="preserve"> is thus estimated and projected as </w:t>
      </w:r>
      <w:r w:rsidR="009C4DF6">
        <w:rPr>
          <w:rFonts w:ascii="Times New Roman" w:hAnsi="Times New Roman" w:cs="Times New Roman"/>
          <w:szCs w:val="22"/>
        </w:rPr>
        <w:t>the</w:t>
      </w:r>
      <w:r w:rsidR="00774A64">
        <w:rPr>
          <w:rFonts w:ascii="Times New Roman" w:hAnsi="Times New Roman" w:cs="Times New Roman"/>
          <w:szCs w:val="22"/>
        </w:rPr>
        <w:t xml:space="preserve"> </w:t>
      </w:r>
      <w:r w:rsidRPr="00AC18ED">
        <w:rPr>
          <w:rFonts w:ascii="Times New Roman" w:hAnsi="Times New Roman" w:cs="Times New Roman"/>
          <w:szCs w:val="22"/>
        </w:rPr>
        <w:t>sum of</w:t>
      </w:r>
      <w:r w:rsidR="00774A64">
        <w:rPr>
          <w:rFonts w:ascii="Times New Roman" w:hAnsi="Times New Roman" w:cs="Times New Roman"/>
          <w:szCs w:val="22"/>
        </w:rPr>
        <w:t xml:space="preserve"> </w:t>
      </w:r>
      <w:r w:rsidRPr="00AC18ED">
        <w:rPr>
          <w:rFonts w:ascii="Times New Roman" w:hAnsi="Times New Roman" w:cs="Times New Roman"/>
          <w:szCs w:val="22"/>
        </w:rPr>
        <w:t xml:space="preserve">construction activity inside and outside </w:t>
      </w:r>
      <w:r w:rsidR="009C4DF6">
        <w:rPr>
          <w:rFonts w:ascii="Times New Roman" w:hAnsi="Times New Roman" w:cs="Times New Roman"/>
          <w:szCs w:val="22"/>
        </w:rPr>
        <w:t xml:space="preserve">the </w:t>
      </w:r>
      <w:r w:rsidRPr="00AC18ED">
        <w:rPr>
          <w:rFonts w:ascii="Times New Roman" w:hAnsi="Times New Roman" w:cs="Times New Roman"/>
          <w:szCs w:val="22"/>
        </w:rPr>
        <w:t>KMC area.</w:t>
      </w:r>
      <w:r w:rsidR="006D4049" w:rsidRPr="00AC18ED">
        <w:rPr>
          <w:rFonts w:ascii="Times New Roman" w:hAnsi="Times New Roman" w:cs="Times New Roman"/>
          <w:szCs w:val="22"/>
        </w:rPr>
        <w:t xml:space="preserve"> For infrastructural project</w:t>
      </w:r>
      <w:r w:rsidR="009C4DF6">
        <w:rPr>
          <w:rFonts w:ascii="Times New Roman" w:hAnsi="Times New Roman" w:cs="Times New Roman"/>
          <w:szCs w:val="22"/>
        </w:rPr>
        <w:t>s,</w:t>
      </w:r>
      <w:r w:rsidR="006D4049" w:rsidRPr="00AC18ED">
        <w:rPr>
          <w:rFonts w:ascii="Times New Roman" w:hAnsi="Times New Roman" w:cs="Times New Roman"/>
          <w:szCs w:val="22"/>
        </w:rPr>
        <w:t xml:space="preserve"> an overall 5% yearly increase was assumed for </w:t>
      </w:r>
      <w:r w:rsidR="009C4DF6">
        <w:rPr>
          <w:rFonts w:ascii="Times New Roman" w:hAnsi="Times New Roman" w:cs="Times New Roman"/>
          <w:szCs w:val="22"/>
        </w:rPr>
        <w:t xml:space="preserve">the </w:t>
      </w:r>
      <w:r w:rsidR="00A7166F">
        <w:rPr>
          <w:rFonts w:ascii="Times New Roman" w:hAnsi="Times New Roman" w:cs="Times New Roman"/>
          <w:szCs w:val="22"/>
        </w:rPr>
        <w:t>KMC</w:t>
      </w:r>
      <w:r w:rsidR="006D4049" w:rsidRPr="00AC18ED">
        <w:rPr>
          <w:rFonts w:ascii="Times New Roman" w:hAnsi="Times New Roman" w:cs="Times New Roman"/>
          <w:szCs w:val="22"/>
        </w:rPr>
        <w:t xml:space="preserve"> area.</w:t>
      </w:r>
    </w:p>
    <w:p w14:paraId="67F1EEBB" w14:textId="4CA7B71B" w:rsidR="00B164C2" w:rsidRDefault="00B164C2" w:rsidP="002A73C5">
      <w:pPr>
        <w:pStyle w:val="Heading2"/>
        <w:numPr>
          <w:ilvl w:val="1"/>
          <w:numId w:val="11"/>
        </w:numPr>
        <w:spacing w:before="0" w:after="120" w:line="276" w:lineRule="auto"/>
        <w:rPr>
          <w:rFonts w:ascii="Times New Roman" w:hAnsi="Times New Roman" w:cs="Times New Roman"/>
          <w:szCs w:val="22"/>
        </w:rPr>
      </w:pPr>
      <w:bookmarkStart w:id="21" w:name="_Toc22630740"/>
      <w:r w:rsidRPr="002A73C5">
        <w:rPr>
          <w:rFonts w:ascii="Times New Roman" w:hAnsi="Times New Roman" w:cs="Times New Roman"/>
          <w:sz w:val="22"/>
          <w:szCs w:val="22"/>
        </w:rPr>
        <w:t>Agricult</w:t>
      </w:r>
      <w:r>
        <w:rPr>
          <w:rFonts w:ascii="Times New Roman" w:hAnsi="Times New Roman" w:cs="Times New Roman"/>
          <w:sz w:val="22"/>
          <w:szCs w:val="22"/>
        </w:rPr>
        <w:t>ure sector</w:t>
      </w:r>
      <w:bookmarkEnd w:id="21"/>
    </w:p>
    <w:p w14:paraId="794AFBB8" w14:textId="0E62768A" w:rsidR="00B164C2" w:rsidRDefault="00BA4FDF">
      <w:pPr>
        <w:spacing w:after="120" w:line="276" w:lineRule="auto"/>
        <w:jc w:val="both"/>
        <w:rPr>
          <w:rFonts w:ascii="Times New Roman" w:hAnsi="Times New Roman" w:cs="Times New Roman"/>
          <w:szCs w:val="22"/>
        </w:rPr>
      </w:pPr>
      <w:r>
        <w:rPr>
          <w:rFonts w:ascii="Times New Roman" w:hAnsi="Times New Roman" w:cs="Times New Roman"/>
          <w:szCs w:val="22"/>
        </w:rPr>
        <w:t>C</w:t>
      </w:r>
      <w:r w:rsidR="00B164C2" w:rsidRPr="002A73C5">
        <w:rPr>
          <w:rFonts w:ascii="Times New Roman" w:hAnsi="Times New Roman" w:cs="Times New Roman"/>
          <w:szCs w:val="22"/>
        </w:rPr>
        <w:t>rop cultivation</w:t>
      </w:r>
      <w:r>
        <w:rPr>
          <w:rFonts w:ascii="Times New Roman" w:hAnsi="Times New Roman" w:cs="Times New Roman"/>
          <w:szCs w:val="22"/>
        </w:rPr>
        <w:t xml:space="preserve">, furtilizer use, </w:t>
      </w:r>
      <w:r w:rsidR="002C0DA0">
        <w:rPr>
          <w:rFonts w:ascii="Times New Roman" w:hAnsi="Times New Roman" w:cs="Times New Roman"/>
          <w:szCs w:val="22"/>
        </w:rPr>
        <w:t>land use</w:t>
      </w:r>
      <w:r w:rsidR="00B164C2" w:rsidRPr="002A73C5">
        <w:rPr>
          <w:rFonts w:ascii="Times New Roman" w:hAnsi="Times New Roman" w:cs="Times New Roman"/>
          <w:szCs w:val="22"/>
        </w:rPr>
        <w:t xml:space="preserve"> </w:t>
      </w:r>
      <w:r w:rsidR="00B164C2">
        <w:rPr>
          <w:rFonts w:ascii="Times New Roman" w:hAnsi="Times New Roman" w:cs="Times New Roman"/>
          <w:szCs w:val="22"/>
        </w:rPr>
        <w:t xml:space="preserve">and animal husbendary/dairy activities have been considered under </w:t>
      </w:r>
      <w:r>
        <w:rPr>
          <w:rFonts w:ascii="Times New Roman" w:hAnsi="Times New Roman" w:cs="Times New Roman"/>
          <w:szCs w:val="22"/>
        </w:rPr>
        <w:t>Agriculture</w:t>
      </w:r>
      <w:r w:rsidR="00B164C2">
        <w:rPr>
          <w:rFonts w:ascii="Times New Roman" w:hAnsi="Times New Roman" w:cs="Times New Roman"/>
          <w:szCs w:val="22"/>
        </w:rPr>
        <w:t xml:space="preserve"> </w:t>
      </w:r>
      <w:r w:rsidR="00B164C2" w:rsidRPr="00E7768C">
        <w:rPr>
          <w:rFonts w:ascii="Times New Roman" w:hAnsi="Times New Roman" w:cs="Times New Roman"/>
          <w:szCs w:val="22"/>
        </w:rPr>
        <w:t>sector</w:t>
      </w:r>
      <w:r w:rsidR="002C0DA0" w:rsidRPr="00E7768C">
        <w:rPr>
          <w:rFonts w:ascii="Times New Roman" w:hAnsi="Times New Roman" w:cs="Times New Roman"/>
          <w:szCs w:val="22"/>
        </w:rPr>
        <w:t xml:space="preserve"> (SAWB 2015, DLLR</w:t>
      </w:r>
      <w:r w:rsidR="006C50FC" w:rsidRPr="00E7768C">
        <w:rPr>
          <w:rFonts w:ascii="Times New Roman" w:hAnsi="Times New Roman" w:cs="Times New Roman"/>
          <w:szCs w:val="22"/>
        </w:rPr>
        <w:t xml:space="preserve"> 2005)</w:t>
      </w:r>
      <w:r w:rsidR="00B164C2" w:rsidRPr="00E7768C">
        <w:rPr>
          <w:rFonts w:ascii="Times New Roman" w:hAnsi="Times New Roman" w:cs="Times New Roman"/>
          <w:szCs w:val="22"/>
        </w:rPr>
        <w:t xml:space="preserve">. Rice </w:t>
      </w:r>
      <w:r w:rsidR="00B164C2">
        <w:rPr>
          <w:rFonts w:ascii="Times New Roman" w:hAnsi="Times New Roman" w:cs="Times New Roman"/>
          <w:szCs w:val="22"/>
        </w:rPr>
        <w:t xml:space="preserve">is a major crop </w:t>
      </w:r>
      <w:r w:rsidR="00404CA3">
        <w:rPr>
          <w:rFonts w:ascii="Times New Roman" w:hAnsi="Times New Roman" w:cs="Times New Roman"/>
          <w:szCs w:val="22"/>
        </w:rPr>
        <w:t xml:space="preserve">in west Bengal as well as in periurban areas of </w:t>
      </w:r>
      <w:r w:rsidR="007312BC">
        <w:rPr>
          <w:rFonts w:ascii="Times New Roman" w:hAnsi="Times New Roman" w:cs="Times New Roman"/>
          <w:szCs w:val="22"/>
        </w:rPr>
        <w:t>KM</w:t>
      </w:r>
      <w:r w:rsidR="006C50FC">
        <w:rPr>
          <w:rFonts w:ascii="Times New Roman" w:hAnsi="Times New Roman" w:cs="Times New Roman"/>
          <w:szCs w:val="22"/>
        </w:rPr>
        <w:t>C</w:t>
      </w:r>
      <w:r w:rsidR="007312BC">
        <w:rPr>
          <w:rFonts w:ascii="Times New Roman" w:hAnsi="Times New Roman" w:cs="Times New Roman"/>
          <w:szCs w:val="22"/>
        </w:rPr>
        <w:t>. District</w:t>
      </w:r>
      <w:r>
        <w:rPr>
          <w:rFonts w:ascii="Times New Roman" w:hAnsi="Times New Roman" w:cs="Times New Roman"/>
          <w:szCs w:val="22"/>
        </w:rPr>
        <w:t xml:space="preserve"> </w:t>
      </w:r>
      <w:r w:rsidR="007312BC">
        <w:rPr>
          <w:rFonts w:ascii="Times New Roman" w:hAnsi="Times New Roman" w:cs="Times New Roman"/>
          <w:szCs w:val="22"/>
        </w:rPr>
        <w:t>wise rice cultivation</w:t>
      </w:r>
      <w:r w:rsidR="006B68E6">
        <w:rPr>
          <w:rFonts w:ascii="Times New Roman" w:hAnsi="Times New Roman" w:cs="Times New Roman"/>
          <w:szCs w:val="22"/>
        </w:rPr>
        <w:t xml:space="preserve"> area</w:t>
      </w:r>
      <w:r w:rsidR="007312BC">
        <w:rPr>
          <w:rFonts w:ascii="Times New Roman" w:hAnsi="Times New Roman" w:cs="Times New Roman"/>
          <w:szCs w:val="22"/>
        </w:rPr>
        <w:t xml:space="preserve"> is adopted </w:t>
      </w:r>
      <w:r w:rsidR="007312BC" w:rsidRPr="00E7768C">
        <w:rPr>
          <w:rFonts w:ascii="Times New Roman" w:hAnsi="Times New Roman" w:cs="Times New Roman"/>
          <w:szCs w:val="22"/>
        </w:rPr>
        <w:t>from SAWB</w:t>
      </w:r>
      <w:r w:rsidR="00574737" w:rsidRPr="00E7768C">
        <w:rPr>
          <w:rFonts w:ascii="Times New Roman" w:hAnsi="Times New Roman" w:cs="Times New Roman"/>
          <w:szCs w:val="22"/>
        </w:rPr>
        <w:t xml:space="preserve"> </w:t>
      </w:r>
      <w:r w:rsidR="006C50FC" w:rsidRPr="002A73C5">
        <w:rPr>
          <w:rFonts w:ascii="Times New Roman" w:hAnsi="Times New Roman" w:cs="Times New Roman"/>
          <w:szCs w:val="22"/>
        </w:rPr>
        <w:t>(</w:t>
      </w:r>
      <w:r w:rsidR="00574737" w:rsidRPr="00E7768C">
        <w:rPr>
          <w:rFonts w:ascii="Times New Roman" w:hAnsi="Times New Roman" w:cs="Times New Roman"/>
          <w:szCs w:val="22"/>
        </w:rPr>
        <w:t>2015</w:t>
      </w:r>
      <w:r w:rsidR="006C50FC" w:rsidRPr="002A73C5">
        <w:rPr>
          <w:rFonts w:ascii="Times New Roman" w:hAnsi="Times New Roman" w:cs="Times New Roman"/>
          <w:szCs w:val="22"/>
        </w:rPr>
        <w:t>)</w:t>
      </w:r>
      <w:r w:rsidR="00574737" w:rsidRPr="00E7768C">
        <w:rPr>
          <w:rFonts w:ascii="Times New Roman" w:hAnsi="Times New Roman" w:cs="Times New Roman"/>
          <w:szCs w:val="22"/>
        </w:rPr>
        <w:t xml:space="preserve"> and projected </w:t>
      </w:r>
      <w:r w:rsidR="00574737">
        <w:rPr>
          <w:rFonts w:ascii="Times New Roman" w:hAnsi="Times New Roman" w:cs="Times New Roman"/>
          <w:szCs w:val="22"/>
        </w:rPr>
        <w:t>for KM</w:t>
      </w:r>
      <w:r w:rsidR="006C50FC">
        <w:rPr>
          <w:rFonts w:ascii="Times New Roman" w:hAnsi="Times New Roman" w:cs="Times New Roman"/>
          <w:szCs w:val="22"/>
        </w:rPr>
        <w:t>C</w:t>
      </w:r>
      <w:r w:rsidR="006B68E6" w:rsidRPr="00E7768C">
        <w:rPr>
          <w:rFonts w:ascii="Times New Roman" w:hAnsi="Times New Roman" w:cs="Times New Roman"/>
          <w:szCs w:val="22"/>
        </w:rPr>
        <w:t>. Ghosh et al</w:t>
      </w:r>
      <w:r w:rsidR="00574737" w:rsidRPr="00E7768C">
        <w:rPr>
          <w:rFonts w:ascii="Times New Roman" w:hAnsi="Times New Roman" w:cs="Times New Roman"/>
          <w:szCs w:val="22"/>
        </w:rPr>
        <w:t>. (2017)</w:t>
      </w:r>
      <w:r w:rsidR="006B68E6" w:rsidRPr="00E7768C">
        <w:rPr>
          <w:rFonts w:ascii="Times New Roman" w:hAnsi="Times New Roman" w:cs="Times New Roman"/>
          <w:szCs w:val="22"/>
        </w:rPr>
        <w:t xml:space="preserve"> reported  </w:t>
      </w:r>
      <w:r w:rsidR="006B68E6">
        <w:rPr>
          <w:rFonts w:ascii="Times New Roman" w:hAnsi="Times New Roman" w:cs="Times New Roman"/>
          <w:szCs w:val="22"/>
        </w:rPr>
        <w:t>~2%  annual decrease of cultivable land within old Kolkata city during past forty years (1987-2017). We assumed slower annual decrease rate (@1%</w:t>
      </w:r>
      <w:r w:rsidR="00645F89">
        <w:rPr>
          <w:rFonts w:ascii="Times New Roman" w:hAnsi="Times New Roman" w:cs="Times New Roman"/>
          <w:szCs w:val="22"/>
        </w:rPr>
        <w:t xml:space="preserve"> per year</w:t>
      </w:r>
      <w:r w:rsidR="006B68E6">
        <w:rPr>
          <w:rFonts w:ascii="Times New Roman" w:hAnsi="Times New Roman" w:cs="Times New Roman"/>
          <w:szCs w:val="22"/>
        </w:rPr>
        <w:t>) for rice cultivable land in KM</w:t>
      </w:r>
      <w:r w:rsidR="006C50FC">
        <w:rPr>
          <w:rFonts w:ascii="Times New Roman" w:hAnsi="Times New Roman" w:cs="Times New Roman"/>
          <w:szCs w:val="22"/>
        </w:rPr>
        <w:t>C</w:t>
      </w:r>
      <w:r w:rsidR="006B68E6">
        <w:rPr>
          <w:rFonts w:ascii="Times New Roman" w:hAnsi="Times New Roman" w:cs="Times New Roman"/>
          <w:szCs w:val="22"/>
        </w:rPr>
        <w:t xml:space="preserve"> area till 2030.</w:t>
      </w:r>
      <w:r>
        <w:rPr>
          <w:rFonts w:ascii="Times New Roman" w:hAnsi="Times New Roman" w:cs="Times New Roman"/>
          <w:szCs w:val="22"/>
        </w:rPr>
        <w:t xml:space="preserve"> District wise livestock statistics were adopted from </w:t>
      </w:r>
      <w:r w:rsidRPr="00E7768C">
        <w:rPr>
          <w:rFonts w:ascii="Times New Roman" w:hAnsi="Times New Roman" w:cs="Times New Roman"/>
          <w:szCs w:val="22"/>
        </w:rPr>
        <w:t>DSH</w:t>
      </w:r>
      <w:r w:rsidR="006C50FC" w:rsidRPr="002A73C5">
        <w:rPr>
          <w:rFonts w:ascii="Times New Roman" w:hAnsi="Times New Roman" w:cs="Times New Roman"/>
          <w:szCs w:val="22"/>
        </w:rPr>
        <w:t xml:space="preserve"> (</w:t>
      </w:r>
      <w:r w:rsidRPr="00E7768C">
        <w:rPr>
          <w:rFonts w:ascii="Times New Roman" w:hAnsi="Times New Roman" w:cs="Times New Roman"/>
          <w:szCs w:val="22"/>
        </w:rPr>
        <w:t>2011</w:t>
      </w:r>
      <w:r w:rsidR="006C50FC" w:rsidRPr="002A73C5">
        <w:rPr>
          <w:rFonts w:ascii="Times New Roman" w:hAnsi="Times New Roman" w:cs="Times New Roman"/>
          <w:szCs w:val="22"/>
        </w:rPr>
        <w:t>)</w:t>
      </w:r>
      <w:r w:rsidRPr="00E7768C">
        <w:rPr>
          <w:rFonts w:ascii="Times New Roman" w:hAnsi="Times New Roman" w:cs="Times New Roman"/>
          <w:szCs w:val="22"/>
        </w:rPr>
        <w:t xml:space="preserve"> </w:t>
      </w:r>
      <w:r>
        <w:rPr>
          <w:rFonts w:ascii="Times New Roman" w:hAnsi="Times New Roman" w:cs="Times New Roman"/>
          <w:szCs w:val="22"/>
        </w:rPr>
        <w:t>and projected for KM</w:t>
      </w:r>
      <w:r w:rsidR="006C50FC">
        <w:rPr>
          <w:rFonts w:ascii="Times New Roman" w:hAnsi="Times New Roman" w:cs="Times New Roman"/>
          <w:szCs w:val="22"/>
        </w:rPr>
        <w:t>C</w:t>
      </w:r>
      <w:r>
        <w:rPr>
          <w:rFonts w:ascii="Times New Roman" w:hAnsi="Times New Roman" w:cs="Times New Roman"/>
          <w:szCs w:val="22"/>
        </w:rPr>
        <w:t xml:space="preserve"> based on population. Livestock in future year is projected based on KM</w:t>
      </w:r>
      <w:r w:rsidR="006C50FC">
        <w:rPr>
          <w:rFonts w:ascii="Times New Roman" w:hAnsi="Times New Roman" w:cs="Times New Roman"/>
          <w:szCs w:val="22"/>
        </w:rPr>
        <w:t>C</w:t>
      </w:r>
      <w:r>
        <w:rPr>
          <w:rFonts w:ascii="Times New Roman" w:hAnsi="Times New Roman" w:cs="Times New Roman"/>
          <w:szCs w:val="22"/>
        </w:rPr>
        <w:t xml:space="preserve"> population. </w:t>
      </w:r>
      <w:r w:rsidR="002970A7">
        <w:rPr>
          <w:rFonts w:ascii="Times New Roman" w:hAnsi="Times New Roman" w:cs="Times New Roman"/>
          <w:szCs w:val="22"/>
        </w:rPr>
        <w:t xml:space="preserve">The fartilizer use data was downscaled from state level </w:t>
      </w:r>
      <w:r w:rsidR="002970A7" w:rsidRPr="00E7768C">
        <w:rPr>
          <w:rFonts w:ascii="Times New Roman" w:hAnsi="Times New Roman" w:cs="Times New Roman"/>
          <w:szCs w:val="22"/>
        </w:rPr>
        <w:t xml:space="preserve">data (DoF 2013) based </w:t>
      </w:r>
      <w:r w:rsidR="002970A7">
        <w:rPr>
          <w:rFonts w:ascii="Times New Roman" w:hAnsi="Times New Roman" w:cs="Times New Roman"/>
          <w:szCs w:val="22"/>
        </w:rPr>
        <w:t>on KM</w:t>
      </w:r>
      <w:r w:rsidR="006C50FC">
        <w:rPr>
          <w:rFonts w:ascii="Times New Roman" w:hAnsi="Times New Roman" w:cs="Times New Roman"/>
          <w:szCs w:val="22"/>
        </w:rPr>
        <w:t>C</w:t>
      </w:r>
      <w:r w:rsidR="002970A7">
        <w:rPr>
          <w:rFonts w:ascii="Times New Roman" w:hAnsi="Times New Roman" w:cs="Times New Roman"/>
          <w:szCs w:val="22"/>
        </w:rPr>
        <w:t xml:space="preserve"> area and the consumption is normalised for urban area. A limited survey was undertaken</w:t>
      </w:r>
      <w:r w:rsidR="004C205C">
        <w:rPr>
          <w:rFonts w:ascii="Times New Roman" w:hAnsi="Times New Roman" w:cs="Times New Roman"/>
          <w:szCs w:val="22"/>
        </w:rPr>
        <w:t xml:space="preserve"> in the fartiliser shops in peri urban area of KM</w:t>
      </w:r>
      <w:r w:rsidR="004D0EF3">
        <w:rPr>
          <w:rFonts w:ascii="Times New Roman" w:hAnsi="Times New Roman" w:cs="Times New Roman"/>
          <w:szCs w:val="22"/>
        </w:rPr>
        <w:t>C</w:t>
      </w:r>
      <w:r w:rsidR="004C205C">
        <w:rPr>
          <w:rFonts w:ascii="Times New Roman" w:hAnsi="Times New Roman" w:cs="Times New Roman"/>
          <w:szCs w:val="22"/>
        </w:rPr>
        <w:t xml:space="preserve"> in 2014</w:t>
      </w:r>
      <w:r w:rsidR="002970A7">
        <w:rPr>
          <w:rFonts w:ascii="Times New Roman" w:hAnsi="Times New Roman" w:cs="Times New Roman"/>
          <w:szCs w:val="22"/>
        </w:rPr>
        <w:t xml:space="preserve"> as part of this study to understand the trend in </w:t>
      </w:r>
      <w:r w:rsidR="004C205C">
        <w:rPr>
          <w:rFonts w:ascii="Times New Roman" w:hAnsi="Times New Roman" w:cs="Times New Roman"/>
          <w:szCs w:val="22"/>
        </w:rPr>
        <w:t>sale</w:t>
      </w:r>
      <w:r w:rsidR="002970A7">
        <w:rPr>
          <w:rFonts w:ascii="Times New Roman" w:hAnsi="Times New Roman" w:cs="Times New Roman"/>
          <w:szCs w:val="22"/>
        </w:rPr>
        <w:t xml:space="preserve"> of fartilizer </w:t>
      </w:r>
      <w:r w:rsidR="004C205C">
        <w:rPr>
          <w:rFonts w:ascii="Times New Roman" w:hAnsi="Times New Roman" w:cs="Times New Roman"/>
          <w:szCs w:val="22"/>
        </w:rPr>
        <w:t>type. An annual 1.4% decrease</w:t>
      </w:r>
      <w:r w:rsidR="0095105E">
        <w:rPr>
          <w:rFonts w:ascii="Times New Roman" w:hAnsi="Times New Roman" w:cs="Times New Roman"/>
          <w:szCs w:val="22"/>
        </w:rPr>
        <w:t xml:space="preserve"> in fartiliser use</w:t>
      </w:r>
      <w:r w:rsidR="004C205C">
        <w:rPr>
          <w:rFonts w:ascii="Times New Roman" w:hAnsi="Times New Roman" w:cs="Times New Roman"/>
          <w:szCs w:val="22"/>
        </w:rPr>
        <w:t xml:space="preserve"> is assumed</w:t>
      </w:r>
      <w:r w:rsidR="004D0EF3">
        <w:rPr>
          <w:rFonts w:ascii="Times New Roman" w:hAnsi="Times New Roman" w:cs="Times New Roman"/>
          <w:szCs w:val="22"/>
        </w:rPr>
        <w:t xml:space="preserve"> till 2030</w:t>
      </w:r>
      <w:r w:rsidR="0095105E">
        <w:rPr>
          <w:rFonts w:ascii="Times New Roman" w:hAnsi="Times New Roman" w:cs="Times New Roman"/>
          <w:szCs w:val="22"/>
        </w:rPr>
        <w:t xml:space="preserve">. </w:t>
      </w:r>
    </w:p>
    <w:p w14:paraId="0F8FF0CE" w14:textId="28C0A622" w:rsidR="001C5298" w:rsidRPr="00AC18ED" w:rsidRDefault="001C5298" w:rsidP="00AC18ED">
      <w:pPr>
        <w:pStyle w:val="Heading2"/>
        <w:numPr>
          <w:ilvl w:val="1"/>
          <w:numId w:val="11"/>
        </w:numPr>
        <w:spacing w:before="0" w:after="120" w:line="276" w:lineRule="auto"/>
        <w:rPr>
          <w:rFonts w:ascii="Times New Roman" w:hAnsi="Times New Roman" w:cs="Times New Roman"/>
          <w:sz w:val="22"/>
          <w:szCs w:val="22"/>
        </w:rPr>
      </w:pPr>
      <w:bookmarkStart w:id="22" w:name="_Toc22630741"/>
      <w:bookmarkStart w:id="23" w:name="_Toc22630742"/>
      <w:bookmarkEnd w:id="22"/>
      <w:r w:rsidRPr="00AC18ED">
        <w:rPr>
          <w:rFonts w:ascii="Times New Roman" w:hAnsi="Times New Roman" w:cs="Times New Roman"/>
          <w:sz w:val="22"/>
          <w:szCs w:val="22"/>
        </w:rPr>
        <w:t>Non-road mobile</w:t>
      </w:r>
      <w:r w:rsidR="00826836" w:rsidRPr="00AC18ED">
        <w:rPr>
          <w:rFonts w:ascii="Times New Roman" w:hAnsi="Times New Roman" w:cs="Times New Roman"/>
          <w:sz w:val="22"/>
          <w:szCs w:val="22"/>
        </w:rPr>
        <w:t xml:space="preserve"> </w:t>
      </w:r>
      <w:r w:rsidR="009C4DF6">
        <w:rPr>
          <w:rFonts w:ascii="Times New Roman" w:hAnsi="Times New Roman" w:cs="Times New Roman"/>
          <w:sz w:val="22"/>
          <w:szCs w:val="22"/>
        </w:rPr>
        <w:t>s</w:t>
      </w:r>
      <w:r w:rsidR="009C4DF6" w:rsidRPr="00AC18ED">
        <w:rPr>
          <w:rFonts w:ascii="Times New Roman" w:hAnsi="Times New Roman" w:cs="Times New Roman"/>
          <w:sz w:val="22"/>
          <w:szCs w:val="22"/>
        </w:rPr>
        <w:t>ector</w:t>
      </w:r>
      <w:bookmarkEnd w:id="23"/>
    </w:p>
    <w:p w14:paraId="2015CA7B" w14:textId="6D4BF593" w:rsidR="001C5298" w:rsidRPr="00AC18ED" w:rsidRDefault="001C5298" w:rsidP="00AC18ED">
      <w:pPr>
        <w:numPr>
          <w:ilvl w:val="2"/>
          <w:numId w:val="11"/>
        </w:numPr>
        <w:spacing w:after="120"/>
        <w:jc w:val="both"/>
        <w:rPr>
          <w:rStyle w:val="IntenseEmphasis"/>
          <w:rFonts w:ascii="Times New Roman" w:hAnsi="Times New Roman" w:cs="Times New Roman"/>
        </w:rPr>
      </w:pPr>
      <w:r w:rsidRPr="00AC18ED">
        <w:rPr>
          <w:rStyle w:val="IntenseEmphasis"/>
          <w:rFonts w:ascii="Times New Roman" w:hAnsi="Times New Roman" w:cs="Times New Roman"/>
        </w:rPr>
        <w:t xml:space="preserve">Railway locomotives </w:t>
      </w:r>
      <w:r w:rsidR="009C4DF6">
        <w:rPr>
          <w:rStyle w:val="IntenseEmphasis"/>
          <w:rFonts w:ascii="Times New Roman" w:hAnsi="Times New Roman" w:cs="Times New Roman"/>
        </w:rPr>
        <w:t>and m</w:t>
      </w:r>
      <w:r w:rsidR="00170F7D" w:rsidRPr="00AC18ED">
        <w:rPr>
          <w:rStyle w:val="IntenseEmphasis"/>
          <w:rFonts w:ascii="Times New Roman" w:hAnsi="Times New Roman" w:cs="Times New Roman"/>
        </w:rPr>
        <w:t>aritime</w:t>
      </w:r>
    </w:p>
    <w:p w14:paraId="7F059AA2" w14:textId="5E4D2F78" w:rsidR="001C5298" w:rsidRPr="00E7768C" w:rsidRDefault="001C5298" w:rsidP="00AC18ED">
      <w:pPr>
        <w:spacing w:after="120" w:line="276" w:lineRule="auto"/>
        <w:jc w:val="both"/>
        <w:rPr>
          <w:rFonts w:ascii="Times New Roman" w:hAnsi="Times New Roman" w:cs="Times New Roman"/>
          <w:szCs w:val="22"/>
          <w:lang w:val="en-US" w:bidi="ar-SA"/>
        </w:rPr>
      </w:pPr>
      <w:r w:rsidRPr="00AC18ED">
        <w:rPr>
          <w:rFonts w:ascii="Times New Roman" w:hAnsi="Times New Roman" w:cs="Times New Roman"/>
          <w:szCs w:val="22"/>
          <w:lang w:val="en-US" w:bidi="ar-SA"/>
        </w:rPr>
        <w:t xml:space="preserve">The eastern and </w:t>
      </w:r>
      <w:r w:rsidR="009C4DF6" w:rsidRPr="00AC18ED">
        <w:rPr>
          <w:rFonts w:ascii="Times New Roman" w:hAnsi="Times New Roman" w:cs="Times New Roman"/>
          <w:szCs w:val="22"/>
          <w:lang w:val="en-US" w:bidi="ar-SA"/>
        </w:rPr>
        <w:t>south</w:t>
      </w:r>
      <w:r w:rsidRPr="00AC18ED">
        <w:rPr>
          <w:rFonts w:ascii="Times New Roman" w:hAnsi="Times New Roman" w:cs="Times New Roman"/>
          <w:szCs w:val="22"/>
          <w:lang w:val="en-US" w:bidi="ar-SA"/>
        </w:rPr>
        <w:t>eastern railway operates diesel locomotive</w:t>
      </w:r>
      <w:r w:rsidR="009161FE">
        <w:rPr>
          <w:rFonts w:ascii="Times New Roman" w:hAnsi="Times New Roman" w:cs="Times New Roman"/>
          <w:szCs w:val="22"/>
          <w:lang w:val="en-US" w:bidi="ar-SA"/>
        </w:rPr>
        <w:t>s</w:t>
      </w:r>
      <w:r w:rsidRPr="00AC18ED">
        <w:rPr>
          <w:rFonts w:ascii="Times New Roman" w:hAnsi="Times New Roman" w:cs="Times New Roman"/>
          <w:szCs w:val="22"/>
          <w:lang w:val="en-US" w:bidi="ar-SA"/>
        </w:rPr>
        <w:t xml:space="preserve"> with</w:t>
      </w:r>
      <w:r w:rsidR="009C4DF6">
        <w:rPr>
          <w:rFonts w:ascii="Times New Roman" w:hAnsi="Times New Roman" w:cs="Times New Roman"/>
          <w:szCs w:val="22"/>
          <w:lang w:val="en-US" w:bidi="ar-SA"/>
        </w:rPr>
        <w:t>in the</w:t>
      </w:r>
      <w:r w:rsidRPr="00AC18ED">
        <w:rPr>
          <w:rFonts w:ascii="Times New Roman" w:hAnsi="Times New Roman" w:cs="Times New Roman"/>
          <w:szCs w:val="22"/>
          <w:lang w:val="en-US" w:bidi="ar-SA"/>
        </w:rPr>
        <w:t xml:space="preserve"> </w:t>
      </w:r>
      <w:r w:rsidR="00A7166F">
        <w:rPr>
          <w:rFonts w:ascii="Times New Roman" w:hAnsi="Times New Roman" w:cs="Times New Roman"/>
          <w:szCs w:val="22"/>
          <w:lang w:val="en-US" w:bidi="ar-SA"/>
        </w:rPr>
        <w:t>KMC</w:t>
      </w:r>
      <w:r w:rsidRPr="00AC18ED">
        <w:rPr>
          <w:rFonts w:ascii="Times New Roman" w:hAnsi="Times New Roman" w:cs="Times New Roman"/>
          <w:szCs w:val="22"/>
          <w:lang w:val="en-US" w:bidi="ar-SA"/>
        </w:rPr>
        <w:t xml:space="preserve"> area. Inland waterways are also in operation </w:t>
      </w:r>
      <w:r w:rsidR="009161FE">
        <w:rPr>
          <w:rFonts w:ascii="Times New Roman" w:hAnsi="Times New Roman" w:cs="Times New Roman"/>
          <w:szCs w:val="22"/>
          <w:lang w:val="en-US" w:bidi="ar-SA"/>
        </w:rPr>
        <w:t xml:space="preserve">with </w:t>
      </w:r>
      <w:r w:rsidRPr="00AC18ED">
        <w:rPr>
          <w:rFonts w:ascii="Times New Roman" w:hAnsi="Times New Roman" w:cs="Times New Roman"/>
          <w:szCs w:val="22"/>
          <w:lang w:val="en-US" w:bidi="ar-SA"/>
        </w:rPr>
        <w:t xml:space="preserve">small </w:t>
      </w:r>
      <w:r w:rsidRPr="00E7768C">
        <w:rPr>
          <w:rFonts w:ascii="Times New Roman" w:hAnsi="Times New Roman" w:cs="Times New Roman"/>
          <w:szCs w:val="22"/>
          <w:lang w:val="en-US" w:bidi="ar-SA"/>
        </w:rPr>
        <w:t>vessels run</w:t>
      </w:r>
      <w:r w:rsidR="009161FE" w:rsidRPr="00E7768C">
        <w:rPr>
          <w:rFonts w:ascii="Times New Roman" w:hAnsi="Times New Roman" w:cs="Times New Roman"/>
          <w:szCs w:val="22"/>
          <w:lang w:val="en-US" w:bidi="ar-SA"/>
        </w:rPr>
        <w:t>ning</w:t>
      </w:r>
      <w:r w:rsidRPr="00E7768C">
        <w:rPr>
          <w:rFonts w:ascii="Times New Roman" w:hAnsi="Times New Roman" w:cs="Times New Roman"/>
          <w:szCs w:val="22"/>
          <w:lang w:val="en-US" w:bidi="ar-SA"/>
        </w:rPr>
        <w:t xml:space="preserve"> </w:t>
      </w:r>
      <w:r w:rsidR="009161FE" w:rsidRPr="00E7768C">
        <w:rPr>
          <w:rFonts w:ascii="Times New Roman" w:hAnsi="Times New Roman" w:cs="Times New Roman"/>
          <w:szCs w:val="22"/>
          <w:lang w:val="en-US" w:bidi="ar-SA"/>
        </w:rPr>
        <w:t xml:space="preserve">up and down the </w:t>
      </w:r>
      <w:r w:rsidRPr="00E7768C">
        <w:rPr>
          <w:rFonts w:ascii="Times New Roman" w:hAnsi="Times New Roman" w:cs="Times New Roman"/>
          <w:szCs w:val="22"/>
          <w:lang w:val="en-US" w:bidi="ar-SA"/>
        </w:rPr>
        <w:t xml:space="preserve">River Ganga. The total </w:t>
      </w:r>
      <w:r w:rsidR="00C949DD" w:rsidRPr="00E7768C">
        <w:rPr>
          <w:rFonts w:ascii="Times New Roman" w:hAnsi="Times New Roman" w:cs="Times New Roman"/>
          <w:szCs w:val="22"/>
          <w:lang w:val="en-US" w:bidi="ar-SA"/>
        </w:rPr>
        <w:t>fuel</w:t>
      </w:r>
      <w:r w:rsidRPr="00E7768C">
        <w:rPr>
          <w:rFonts w:ascii="Times New Roman" w:hAnsi="Times New Roman" w:cs="Times New Roman"/>
          <w:szCs w:val="22"/>
          <w:lang w:val="en-US" w:bidi="ar-SA"/>
        </w:rPr>
        <w:t xml:space="preserve"> consumption in these sectors was obtained from </w:t>
      </w:r>
      <w:r w:rsidR="00EE36FD" w:rsidRPr="00E7768C">
        <w:rPr>
          <w:rFonts w:ascii="Times New Roman" w:hAnsi="Times New Roman" w:cs="Times New Roman"/>
          <w:szCs w:val="22"/>
          <w:lang w:val="en-US" w:bidi="ar-SA"/>
        </w:rPr>
        <w:t>IOCL</w:t>
      </w:r>
      <w:r w:rsidR="009C4DF6" w:rsidRPr="00E7768C">
        <w:rPr>
          <w:rFonts w:ascii="Times New Roman" w:hAnsi="Times New Roman" w:cs="Times New Roman"/>
          <w:szCs w:val="22"/>
          <w:lang w:val="en-US" w:bidi="ar-SA"/>
        </w:rPr>
        <w:t xml:space="preserve"> (</w:t>
      </w:r>
      <w:r w:rsidR="00EE36FD" w:rsidRPr="00E7768C">
        <w:rPr>
          <w:rFonts w:ascii="Times New Roman" w:hAnsi="Times New Roman" w:cs="Times New Roman"/>
          <w:szCs w:val="22"/>
          <w:lang w:val="en-US" w:bidi="ar-SA"/>
        </w:rPr>
        <w:t>2015</w:t>
      </w:r>
      <w:r w:rsidR="009C4DF6" w:rsidRPr="00E7768C">
        <w:rPr>
          <w:rFonts w:ascii="Times New Roman" w:hAnsi="Times New Roman" w:cs="Times New Roman"/>
          <w:szCs w:val="22"/>
          <w:lang w:val="en-US" w:bidi="ar-SA"/>
        </w:rPr>
        <w:t>)</w:t>
      </w:r>
      <w:r w:rsidR="00170F7D" w:rsidRPr="00E7768C">
        <w:rPr>
          <w:rFonts w:ascii="Times New Roman" w:hAnsi="Times New Roman" w:cs="Times New Roman"/>
          <w:szCs w:val="22"/>
          <w:lang w:val="en-US" w:bidi="ar-SA"/>
        </w:rPr>
        <w:t>.</w:t>
      </w:r>
      <w:r w:rsidRPr="00E7768C">
        <w:rPr>
          <w:rFonts w:ascii="Times New Roman" w:hAnsi="Times New Roman" w:cs="Times New Roman"/>
          <w:szCs w:val="22"/>
          <w:lang w:val="en-US" w:bidi="ar-SA"/>
        </w:rPr>
        <w:t xml:space="preserve"> </w:t>
      </w:r>
    </w:p>
    <w:p w14:paraId="150A43C6" w14:textId="77777777" w:rsidR="001C5298" w:rsidRPr="00AC18ED" w:rsidRDefault="001C5298" w:rsidP="00AC18ED">
      <w:pPr>
        <w:numPr>
          <w:ilvl w:val="2"/>
          <w:numId w:val="11"/>
        </w:numPr>
        <w:spacing w:after="120"/>
        <w:jc w:val="both"/>
        <w:rPr>
          <w:rStyle w:val="IntenseEmphasis"/>
          <w:rFonts w:ascii="Times New Roman" w:hAnsi="Times New Roman" w:cs="Times New Roman"/>
        </w:rPr>
      </w:pPr>
      <w:r w:rsidRPr="00AC18ED">
        <w:rPr>
          <w:rStyle w:val="IntenseEmphasis"/>
          <w:rFonts w:ascii="Times New Roman" w:hAnsi="Times New Roman" w:cs="Times New Roman"/>
        </w:rPr>
        <w:t>Aviation sector</w:t>
      </w:r>
    </w:p>
    <w:p w14:paraId="45D6AD6A" w14:textId="53D0B2BC" w:rsidR="001C5298" w:rsidRPr="00E7768C" w:rsidRDefault="001C5298" w:rsidP="00AC18ED">
      <w:pPr>
        <w:spacing w:after="120" w:line="276" w:lineRule="auto"/>
        <w:jc w:val="both"/>
        <w:rPr>
          <w:rFonts w:ascii="Times New Roman" w:hAnsi="Times New Roman" w:cs="Times New Roman"/>
          <w:szCs w:val="22"/>
          <w:lang w:val="en-US" w:bidi="ar-SA"/>
        </w:rPr>
      </w:pPr>
      <w:r w:rsidRPr="00AC18ED">
        <w:rPr>
          <w:rFonts w:ascii="Times New Roman" w:hAnsi="Times New Roman" w:cs="Times New Roman"/>
          <w:szCs w:val="22"/>
          <w:lang w:val="en-US" w:bidi="ar-SA"/>
        </w:rPr>
        <w:t>There is only one airport</w:t>
      </w:r>
      <w:r w:rsidR="005A74FB" w:rsidRPr="00AC18ED">
        <w:rPr>
          <w:rFonts w:ascii="Times New Roman" w:hAnsi="Times New Roman" w:cs="Times New Roman"/>
          <w:szCs w:val="22"/>
          <w:lang w:val="en-US" w:bidi="ar-SA"/>
        </w:rPr>
        <w:t xml:space="preserve"> with</w:t>
      </w:r>
      <w:r w:rsidRPr="00AC18ED">
        <w:rPr>
          <w:rFonts w:ascii="Times New Roman" w:hAnsi="Times New Roman" w:cs="Times New Roman"/>
          <w:szCs w:val="22"/>
          <w:lang w:val="en-US" w:bidi="ar-SA"/>
        </w:rPr>
        <w:t xml:space="preserve">in </w:t>
      </w:r>
      <w:r w:rsidR="009C4DF6">
        <w:rPr>
          <w:rFonts w:ascii="Times New Roman" w:hAnsi="Times New Roman" w:cs="Times New Roman"/>
          <w:szCs w:val="22"/>
          <w:lang w:val="en-US" w:bidi="ar-SA"/>
        </w:rPr>
        <w:t xml:space="preserve">the </w:t>
      </w:r>
      <w:r w:rsidR="00A7166F">
        <w:rPr>
          <w:rFonts w:ascii="Times New Roman" w:hAnsi="Times New Roman" w:cs="Times New Roman"/>
          <w:szCs w:val="22"/>
          <w:lang w:val="en-US" w:bidi="ar-SA"/>
        </w:rPr>
        <w:t>KMC</w:t>
      </w:r>
      <w:r w:rsidRPr="00AC18ED">
        <w:rPr>
          <w:rFonts w:ascii="Times New Roman" w:hAnsi="Times New Roman" w:cs="Times New Roman"/>
          <w:szCs w:val="22"/>
          <w:lang w:val="en-US" w:bidi="ar-SA"/>
        </w:rPr>
        <w:t xml:space="preserve"> area</w:t>
      </w:r>
      <w:r w:rsidR="009C4DF6">
        <w:rPr>
          <w:rFonts w:ascii="Times New Roman" w:hAnsi="Times New Roman" w:cs="Times New Roman"/>
          <w:szCs w:val="22"/>
          <w:lang w:val="en-US" w:bidi="ar-SA"/>
        </w:rPr>
        <w:t>,</w:t>
      </w:r>
      <w:r w:rsidRPr="00AC18ED">
        <w:rPr>
          <w:rFonts w:ascii="Times New Roman" w:hAnsi="Times New Roman" w:cs="Times New Roman"/>
          <w:szCs w:val="22"/>
          <w:lang w:val="en-US" w:bidi="ar-SA"/>
        </w:rPr>
        <w:t xml:space="preserve"> namely, Nataji Subhas Chandra Bose International Airport. Information regarding </w:t>
      </w:r>
      <w:r w:rsidR="009C4DF6">
        <w:rPr>
          <w:rFonts w:ascii="Times New Roman" w:hAnsi="Times New Roman" w:cs="Times New Roman"/>
          <w:szCs w:val="22"/>
          <w:lang w:val="en-US" w:bidi="ar-SA"/>
        </w:rPr>
        <w:t xml:space="preserve">the </w:t>
      </w:r>
      <w:r w:rsidRPr="00AC18ED">
        <w:rPr>
          <w:rFonts w:ascii="Times New Roman" w:hAnsi="Times New Roman" w:cs="Times New Roman"/>
          <w:szCs w:val="22"/>
          <w:lang w:val="en-US" w:bidi="ar-SA"/>
        </w:rPr>
        <w:t xml:space="preserve">number of </w:t>
      </w:r>
      <w:r w:rsidRPr="00E7768C">
        <w:rPr>
          <w:rFonts w:ascii="Times New Roman" w:hAnsi="Times New Roman" w:cs="Times New Roman"/>
          <w:szCs w:val="22"/>
          <w:lang w:val="en-US" w:bidi="ar-SA"/>
        </w:rPr>
        <w:t xml:space="preserve">flights and share of domestic </w:t>
      </w:r>
      <w:r w:rsidR="00B03CA1" w:rsidRPr="00E7768C">
        <w:rPr>
          <w:rFonts w:ascii="Times New Roman" w:hAnsi="Times New Roman" w:cs="Times New Roman"/>
          <w:szCs w:val="22"/>
          <w:lang w:val="en-US" w:bidi="ar-SA"/>
        </w:rPr>
        <w:t>and</w:t>
      </w:r>
      <w:r w:rsidRPr="00E7768C">
        <w:rPr>
          <w:rFonts w:ascii="Times New Roman" w:hAnsi="Times New Roman" w:cs="Times New Roman"/>
          <w:szCs w:val="22"/>
          <w:lang w:val="en-US" w:bidi="ar-SA"/>
        </w:rPr>
        <w:t xml:space="preserve"> international flight </w:t>
      </w:r>
      <w:r w:rsidR="009C4DF6" w:rsidRPr="00E7768C">
        <w:rPr>
          <w:rFonts w:ascii="Times New Roman" w:hAnsi="Times New Roman" w:cs="Times New Roman"/>
          <w:szCs w:val="22"/>
          <w:lang w:val="en-US" w:bidi="ar-SA"/>
        </w:rPr>
        <w:t xml:space="preserve">at </w:t>
      </w:r>
      <w:r w:rsidRPr="00E7768C">
        <w:rPr>
          <w:rFonts w:ascii="Times New Roman" w:hAnsi="Times New Roman" w:cs="Times New Roman"/>
          <w:szCs w:val="22"/>
          <w:lang w:val="en-US" w:bidi="ar-SA"/>
        </w:rPr>
        <w:t>Kolkata International airp</w:t>
      </w:r>
      <w:r w:rsidR="00FA2D54" w:rsidRPr="00E7768C">
        <w:rPr>
          <w:rFonts w:ascii="Times New Roman" w:hAnsi="Times New Roman" w:cs="Times New Roman"/>
          <w:szCs w:val="22"/>
          <w:lang w:val="en-US" w:bidi="ar-SA"/>
        </w:rPr>
        <w:t xml:space="preserve">ort </w:t>
      </w:r>
      <w:r w:rsidR="009C4DF6" w:rsidRPr="00E7768C">
        <w:rPr>
          <w:rFonts w:ascii="Times New Roman" w:hAnsi="Times New Roman" w:cs="Times New Roman"/>
          <w:szCs w:val="22"/>
          <w:lang w:val="en-US" w:bidi="ar-SA"/>
        </w:rPr>
        <w:t xml:space="preserve">was </w:t>
      </w:r>
      <w:r w:rsidR="00FA2D54" w:rsidRPr="00E7768C">
        <w:rPr>
          <w:rFonts w:ascii="Times New Roman" w:hAnsi="Times New Roman" w:cs="Times New Roman"/>
          <w:szCs w:val="22"/>
          <w:lang w:val="en-US" w:bidi="ar-SA"/>
        </w:rPr>
        <w:t>obtained</w:t>
      </w:r>
      <w:r w:rsidRPr="00E7768C">
        <w:rPr>
          <w:rFonts w:ascii="Times New Roman" w:hAnsi="Times New Roman" w:cs="Times New Roman"/>
          <w:szCs w:val="22"/>
          <w:lang w:val="en-US" w:bidi="ar-SA"/>
        </w:rPr>
        <w:t xml:space="preserve"> f</w:t>
      </w:r>
      <w:r w:rsidR="00170F7D" w:rsidRPr="00E7768C">
        <w:rPr>
          <w:rFonts w:ascii="Times New Roman" w:hAnsi="Times New Roman" w:cs="Times New Roman"/>
          <w:szCs w:val="22"/>
          <w:lang w:val="en-US" w:bidi="ar-SA"/>
        </w:rPr>
        <w:t xml:space="preserve">rom </w:t>
      </w:r>
      <w:r w:rsidR="00AE2304" w:rsidRPr="00E7768C">
        <w:rPr>
          <w:rFonts w:ascii="Times New Roman" w:hAnsi="Times New Roman" w:cs="Times New Roman"/>
          <w:szCs w:val="22"/>
        </w:rPr>
        <w:t>AERAI</w:t>
      </w:r>
      <w:r w:rsidR="009C4DF6" w:rsidRPr="00E7768C">
        <w:rPr>
          <w:rFonts w:ascii="Times New Roman" w:hAnsi="Times New Roman" w:cs="Times New Roman"/>
          <w:szCs w:val="22"/>
        </w:rPr>
        <w:t xml:space="preserve"> (</w:t>
      </w:r>
      <w:r w:rsidR="00AE2304" w:rsidRPr="00E7768C">
        <w:rPr>
          <w:rFonts w:ascii="Times New Roman" w:hAnsi="Times New Roman" w:cs="Times New Roman"/>
          <w:szCs w:val="22"/>
        </w:rPr>
        <w:t>2012</w:t>
      </w:r>
      <w:r w:rsidR="009C4DF6" w:rsidRPr="00E7768C">
        <w:rPr>
          <w:rFonts w:ascii="Times New Roman" w:hAnsi="Times New Roman" w:cs="Times New Roman"/>
          <w:szCs w:val="22"/>
        </w:rPr>
        <w:t>)</w:t>
      </w:r>
      <w:r w:rsidR="00FA2D54" w:rsidRPr="00E7768C">
        <w:rPr>
          <w:rFonts w:ascii="Times New Roman" w:hAnsi="Times New Roman" w:cs="Times New Roman"/>
          <w:szCs w:val="22"/>
        </w:rPr>
        <w:t xml:space="preserve"> and</w:t>
      </w:r>
      <w:r w:rsidR="009C4DF6" w:rsidRPr="00E7768C">
        <w:rPr>
          <w:rFonts w:ascii="Times New Roman" w:hAnsi="Times New Roman" w:cs="Times New Roman"/>
          <w:szCs w:val="22"/>
          <w:lang w:val="en-US" w:bidi="ar-SA"/>
        </w:rPr>
        <w:t xml:space="preserve"> i</w:t>
      </w:r>
      <w:r w:rsidR="00170F7D" w:rsidRPr="00E7768C">
        <w:rPr>
          <w:rFonts w:ascii="Times New Roman" w:hAnsi="Times New Roman" w:cs="Times New Roman"/>
          <w:szCs w:val="22"/>
          <w:lang w:val="en-US" w:bidi="ar-SA"/>
        </w:rPr>
        <w:t>nformation on</w:t>
      </w:r>
      <w:r w:rsidRPr="00E7768C">
        <w:rPr>
          <w:rFonts w:ascii="Times New Roman" w:hAnsi="Times New Roman" w:cs="Times New Roman"/>
          <w:szCs w:val="22"/>
          <w:lang w:val="en-US" w:bidi="ar-SA"/>
        </w:rPr>
        <w:t xml:space="preserve"> aviation fuel </w:t>
      </w:r>
      <w:r w:rsidR="00170F7D" w:rsidRPr="00E7768C">
        <w:rPr>
          <w:rFonts w:ascii="Times New Roman" w:hAnsi="Times New Roman" w:cs="Times New Roman"/>
          <w:szCs w:val="22"/>
          <w:lang w:val="en-US" w:bidi="ar-SA"/>
        </w:rPr>
        <w:t>consumption</w:t>
      </w:r>
      <w:r w:rsidR="00774A64" w:rsidRPr="00E7768C">
        <w:rPr>
          <w:rFonts w:ascii="Times New Roman" w:hAnsi="Times New Roman" w:cs="Times New Roman"/>
          <w:szCs w:val="22"/>
          <w:lang w:val="en-US" w:bidi="ar-SA"/>
        </w:rPr>
        <w:t xml:space="preserve"> </w:t>
      </w:r>
      <w:r w:rsidR="00170F7D" w:rsidRPr="00E7768C">
        <w:rPr>
          <w:rFonts w:ascii="Times New Roman" w:hAnsi="Times New Roman" w:cs="Times New Roman"/>
          <w:szCs w:val="22"/>
          <w:lang w:val="en-US" w:bidi="ar-SA"/>
        </w:rPr>
        <w:t xml:space="preserve"> from </w:t>
      </w:r>
      <w:r w:rsidR="00EE36FD" w:rsidRPr="00E7768C">
        <w:rPr>
          <w:rFonts w:ascii="Times New Roman" w:hAnsi="Times New Roman" w:cs="Times New Roman"/>
          <w:szCs w:val="22"/>
          <w:lang w:val="en-US" w:bidi="ar-SA"/>
        </w:rPr>
        <w:t>IOCL</w:t>
      </w:r>
      <w:r w:rsidR="009C4DF6" w:rsidRPr="00E7768C">
        <w:rPr>
          <w:rFonts w:ascii="Times New Roman" w:hAnsi="Times New Roman" w:cs="Times New Roman"/>
          <w:szCs w:val="22"/>
          <w:lang w:val="en-US" w:bidi="ar-SA"/>
        </w:rPr>
        <w:t xml:space="preserve"> (</w:t>
      </w:r>
      <w:r w:rsidR="00EE36FD" w:rsidRPr="00E7768C">
        <w:rPr>
          <w:rFonts w:ascii="Times New Roman" w:hAnsi="Times New Roman" w:cs="Times New Roman"/>
          <w:szCs w:val="22"/>
          <w:lang w:val="en-US" w:bidi="ar-SA"/>
        </w:rPr>
        <w:t>2015</w:t>
      </w:r>
      <w:r w:rsidR="009C4DF6" w:rsidRPr="00E7768C">
        <w:rPr>
          <w:rFonts w:ascii="Times New Roman" w:hAnsi="Times New Roman" w:cs="Times New Roman"/>
          <w:szCs w:val="22"/>
          <w:lang w:val="en-US" w:bidi="ar-SA"/>
        </w:rPr>
        <w:t>)</w:t>
      </w:r>
      <w:r w:rsidRPr="00E7768C">
        <w:rPr>
          <w:rFonts w:ascii="Times New Roman" w:hAnsi="Times New Roman" w:cs="Times New Roman"/>
          <w:szCs w:val="22"/>
          <w:lang w:val="en-US" w:bidi="ar-SA"/>
        </w:rPr>
        <w:t>.</w:t>
      </w:r>
    </w:p>
    <w:p w14:paraId="57C794F9" w14:textId="77777777" w:rsidR="001C5298" w:rsidRPr="00AC18ED" w:rsidRDefault="00826836" w:rsidP="00AC18ED">
      <w:pPr>
        <w:pStyle w:val="Heading2"/>
        <w:numPr>
          <w:ilvl w:val="1"/>
          <w:numId w:val="11"/>
        </w:numPr>
        <w:spacing w:before="0" w:after="120" w:line="276" w:lineRule="auto"/>
        <w:rPr>
          <w:rFonts w:ascii="Times New Roman" w:hAnsi="Times New Roman" w:cs="Times New Roman"/>
          <w:sz w:val="22"/>
          <w:szCs w:val="22"/>
        </w:rPr>
      </w:pPr>
      <w:bookmarkStart w:id="24" w:name="_Toc22630743"/>
      <w:r w:rsidRPr="00AC18ED">
        <w:rPr>
          <w:rFonts w:ascii="Times New Roman" w:hAnsi="Times New Roman" w:cs="Times New Roman"/>
          <w:sz w:val="22"/>
          <w:szCs w:val="22"/>
        </w:rPr>
        <w:t>On-road vehicle exhaust</w:t>
      </w:r>
      <w:bookmarkEnd w:id="24"/>
    </w:p>
    <w:p w14:paraId="1EAAE9A7" w14:textId="7842FB35" w:rsidR="006048AC" w:rsidRPr="00AC18ED" w:rsidRDefault="006048AC" w:rsidP="00AC18ED">
      <w:pPr>
        <w:spacing w:after="120" w:line="276" w:lineRule="auto"/>
        <w:jc w:val="both"/>
        <w:rPr>
          <w:rFonts w:ascii="Times New Roman" w:hAnsi="Times New Roman" w:cs="Times New Roman"/>
          <w:color w:val="000000"/>
          <w:szCs w:val="22"/>
        </w:rPr>
      </w:pPr>
      <w:r w:rsidRPr="00AC18ED">
        <w:rPr>
          <w:rFonts w:ascii="Times New Roman" w:eastAsia="Calibri" w:hAnsi="Times New Roman" w:cs="Times New Roman"/>
          <w:szCs w:val="22"/>
        </w:rPr>
        <w:t>Information</w:t>
      </w:r>
      <w:r w:rsidR="001C5298" w:rsidRPr="00AC18ED">
        <w:rPr>
          <w:rFonts w:ascii="Times New Roman" w:eastAsia="Calibri" w:hAnsi="Times New Roman" w:cs="Times New Roman"/>
          <w:szCs w:val="22"/>
        </w:rPr>
        <w:t xml:space="preserve"> on registered vehicles was obtained from </w:t>
      </w:r>
      <w:r w:rsidR="009C4DF6">
        <w:rPr>
          <w:rFonts w:ascii="Times New Roman" w:eastAsia="Calibri" w:hAnsi="Times New Roman" w:cs="Times New Roman"/>
          <w:szCs w:val="22"/>
        </w:rPr>
        <w:t xml:space="preserve">the </w:t>
      </w:r>
      <w:r w:rsidR="001C5298" w:rsidRPr="00AC18ED">
        <w:rPr>
          <w:rFonts w:ascii="Times New Roman" w:eastAsia="Calibri" w:hAnsi="Times New Roman" w:cs="Times New Roman"/>
          <w:szCs w:val="22"/>
        </w:rPr>
        <w:t xml:space="preserve">District Statistical Handbooks of individual districts </w:t>
      </w:r>
      <w:r w:rsidR="009C4DF6">
        <w:rPr>
          <w:rFonts w:ascii="Times New Roman" w:eastAsia="Calibri" w:hAnsi="Times New Roman" w:cs="Times New Roman"/>
          <w:szCs w:val="22"/>
        </w:rPr>
        <w:t>falling</w:t>
      </w:r>
      <w:r w:rsidR="001C5298" w:rsidRPr="00AC18ED">
        <w:rPr>
          <w:rFonts w:ascii="Times New Roman" w:eastAsia="Calibri" w:hAnsi="Times New Roman" w:cs="Times New Roman"/>
          <w:szCs w:val="22"/>
        </w:rPr>
        <w:t xml:space="preserve"> under </w:t>
      </w:r>
      <w:r w:rsidR="009C4DF6">
        <w:rPr>
          <w:rFonts w:ascii="Times New Roman" w:eastAsia="Calibri" w:hAnsi="Times New Roman" w:cs="Times New Roman"/>
          <w:szCs w:val="22"/>
        </w:rPr>
        <w:t xml:space="preserve">the </w:t>
      </w:r>
      <w:r w:rsidR="000477FA">
        <w:rPr>
          <w:rFonts w:ascii="Times New Roman" w:eastAsia="Calibri" w:hAnsi="Times New Roman" w:cs="Times New Roman"/>
          <w:szCs w:val="22"/>
        </w:rPr>
        <w:t>KMA</w:t>
      </w:r>
      <w:r w:rsidR="001C5298" w:rsidRPr="00AC18ED">
        <w:rPr>
          <w:rFonts w:ascii="Times New Roman" w:eastAsia="Calibri" w:hAnsi="Times New Roman" w:cs="Times New Roman"/>
          <w:szCs w:val="22"/>
        </w:rPr>
        <w:t xml:space="preserve"> as well as </w:t>
      </w:r>
      <w:r w:rsidR="009161FE">
        <w:rPr>
          <w:rFonts w:ascii="Times New Roman" w:eastAsia="Calibri" w:hAnsi="Times New Roman" w:cs="Times New Roman"/>
          <w:szCs w:val="22"/>
        </w:rPr>
        <w:t xml:space="preserve">from </w:t>
      </w:r>
      <w:r w:rsidR="001C5298" w:rsidRPr="00AC18ED">
        <w:rPr>
          <w:rFonts w:ascii="Times New Roman" w:eastAsia="Calibri" w:hAnsi="Times New Roman" w:cs="Times New Roman"/>
          <w:szCs w:val="22"/>
        </w:rPr>
        <w:t>individual R</w:t>
      </w:r>
      <w:r w:rsidR="00F61B2F" w:rsidRPr="00AC18ED">
        <w:rPr>
          <w:rFonts w:ascii="Times New Roman" w:eastAsia="Calibri" w:hAnsi="Times New Roman" w:cs="Times New Roman"/>
          <w:szCs w:val="22"/>
        </w:rPr>
        <w:t xml:space="preserve">egional </w:t>
      </w:r>
      <w:r w:rsidR="001C5298" w:rsidRPr="00AC18ED">
        <w:rPr>
          <w:rFonts w:ascii="Times New Roman" w:eastAsia="Calibri" w:hAnsi="Times New Roman" w:cs="Times New Roman"/>
          <w:szCs w:val="22"/>
        </w:rPr>
        <w:t>T</w:t>
      </w:r>
      <w:r w:rsidR="00F61B2F" w:rsidRPr="00AC18ED">
        <w:rPr>
          <w:rFonts w:ascii="Times New Roman" w:eastAsia="Calibri" w:hAnsi="Times New Roman" w:cs="Times New Roman"/>
          <w:szCs w:val="22"/>
        </w:rPr>
        <w:t xml:space="preserve">ransport </w:t>
      </w:r>
      <w:r w:rsidR="001C5298" w:rsidRPr="00AC18ED">
        <w:rPr>
          <w:rFonts w:ascii="Times New Roman" w:eastAsia="Calibri" w:hAnsi="Times New Roman" w:cs="Times New Roman"/>
          <w:szCs w:val="22"/>
        </w:rPr>
        <w:t>O</w:t>
      </w:r>
      <w:r w:rsidR="00F61B2F" w:rsidRPr="00AC18ED">
        <w:rPr>
          <w:rFonts w:ascii="Times New Roman" w:eastAsia="Calibri" w:hAnsi="Times New Roman" w:cs="Times New Roman"/>
          <w:szCs w:val="22"/>
        </w:rPr>
        <w:t>ffices</w:t>
      </w:r>
      <w:r w:rsidR="001C5298" w:rsidRPr="00AC18ED">
        <w:rPr>
          <w:rFonts w:ascii="Times New Roman" w:eastAsia="Calibri" w:hAnsi="Times New Roman" w:cs="Times New Roman"/>
          <w:szCs w:val="22"/>
        </w:rPr>
        <w:t xml:space="preserve"> of </w:t>
      </w:r>
      <w:r w:rsidR="009C4DF6">
        <w:rPr>
          <w:rFonts w:ascii="Times New Roman" w:eastAsia="Calibri" w:hAnsi="Times New Roman" w:cs="Times New Roman"/>
          <w:szCs w:val="22"/>
        </w:rPr>
        <w:t xml:space="preserve">the </w:t>
      </w:r>
      <w:r w:rsidR="00A7166F">
        <w:rPr>
          <w:rFonts w:ascii="Times New Roman" w:eastAsia="Calibri" w:hAnsi="Times New Roman" w:cs="Times New Roman"/>
          <w:szCs w:val="22"/>
        </w:rPr>
        <w:t>KMC</w:t>
      </w:r>
      <w:r w:rsidR="00B03CA1" w:rsidRPr="00AC18ED">
        <w:rPr>
          <w:rFonts w:ascii="Times New Roman" w:eastAsia="Calibri" w:hAnsi="Times New Roman" w:cs="Times New Roman"/>
          <w:szCs w:val="22"/>
        </w:rPr>
        <w:t>.</w:t>
      </w:r>
      <w:r w:rsidR="004F7402" w:rsidRPr="00AC18ED">
        <w:rPr>
          <w:rFonts w:ascii="Times New Roman" w:hAnsi="Times New Roman" w:cs="Times New Roman"/>
          <w:color w:val="000000"/>
          <w:szCs w:val="22"/>
        </w:rPr>
        <w:t xml:space="preserve"> The registered vehicles </w:t>
      </w:r>
      <w:r w:rsidR="009C4DF6">
        <w:rPr>
          <w:rFonts w:ascii="Times New Roman" w:hAnsi="Times New Roman" w:cs="Times New Roman"/>
          <w:color w:val="000000"/>
          <w:szCs w:val="22"/>
        </w:rPr>
        <w:t>were divided</w:t>
      </w:r>
      <w:r w:rsidR="001C5298" w:rsidRPr="00AC18ED">
        <w:rPr>
          <w:rFonts w:ascii="Times New Roman" w:hAnsi="Times New Roman" w:cs="Times New Roman"/>
          <w:color w:val="000000"/>
          <w:szCs w:val="22"/>
        </w:rPr>
        <w:t xml:space="preserve"> into 6 categories</w:t>
      </w:r>
      <w:r w:rsidR="009C4DF6">
        <w:rPr>
          <w:rFonts w:ascii="Times New Roman" w:hAnsi="Times New Roman" w:cs="Times New Roman"/>
          <w:color w:val="000000"/>
          <w:szCs w:val="22"/>
        </w:rPr>
        <w:t>:</w:t>
      </w:r>
      <w:r w:rsidR="001C5298" w:rsidRPr="00AC18ED">
        <w:rPr>
          <w:rFonts w:ascii="Times New Roman" w:hAnsi="Times New Roman" w:cs="Times New Roman"/>
          <w:color w:val="000000"/>
          <w:szCs w:val="22"/>
        </w:rPr>
        <w:t xml:space="preserve"> 2-wheeler</w:t>
      </w:r>
      <w:r w:rsidR="009C4DF6">
        <w:rPr>
          <w:rFonts w:ascii="Times New Roman" w:hAnsi="Times New Roman" w:cs="Times New Roman"/>
          <w:color w:val="000000"/>
          <w:szCs w:val="22"/>
        </w:rPr>
        <w:t>s</w:t>
      </w:r>
      <w:r w:rsidR="001C5298" w:rsidRPr="00AC18ED">
        <w:rPr>
          <w:rFonts w:ascii="Times New Roman" w:hAnsi="Times New Roman" w:cs="Times New Roman"/>
          <w:color w:val="000000"/>
          <w:szCs w:val="22"/>
        </w:rPr>
        <w:t>, 3-wheeler</w:t>
      </w:r>
      <w:r w:rsidR="009C4DF6">
        <w:rPr>
          <w:rFonts w:ascii="Times New Roman" w:hAnsi="Times New Roman" w:cs="Times New Roman"/>
          <w:color w:val="000000"/>
          <w:szCs w:val="22"/>
        </w:rPr>
        <w:t>s</w:t>
      </w:r>
      <w:r w:rsidR="001C5298" w:rsidRPr="00AC18ED">
        <w:rPr>
          <w:rFonts w:ascii="Times New Roman" w:hAnsi="Times New Roman" w:cs="Times New Roman"/>
          <w:color w:val="000000"/>
          <w:szCs w:val="22"/>
        </w:rPr>
        <w:t>, 4-wheeler</w:t>
      </w:r>
      <w:r w:rsidR="009C4DF6">
        <w:rPr>
          <w:rFonts w:ascii="Times New Roman" w:hAnsi="Times New Roman" w:cs="Times New Roman"/>
          <w:color w:val="000000"/>
          <w:szCs w:val="22"/>
        </w:rPr>
        <w:t>s</w:t>
      </w:r>
      <w:r w:rsidR="001C5298" w:rsidRPr="00AC18ED">
        <w:rPr>
          <w:rFonts w:ascii="Times New Roman" w:hAnsi="Times New Roman" w:cs="Times New Roman"/>
          <w:color w:val="000000"/>
          <w:szCs w:val="22"/>
        </w:rPr>
        <w:t>, bus</w:t>
      </w:r>
      <w:r w:rsidR="009B4861" w:rsidRPr="00AC18ED">
        <w:rPr>
          <w:rFonts w:ascii="Times New Roman" w:hAnsi="Times New Roman" w:cs="Times New Roman"/>
          <w:color w:val="000000"/>
          <w:szCs w:val="22"/>
        </w:rPr>
        <w:t>es</w:t>
      </w:r>
      <w:r w:rsidR="001C5298" w:rsidRPr="00AC18ED">
        <w:rPr>
          <w:rFonts w:ascii="Times New Roman" w:hAnsi="Times New Roman" w:cs="Times New Roman"/>
          <w:color w:val="000000"/>
          <w:szCs w:val="22"/>
        </w:rPr>
        <w:t>, truck</w:t>
      </w:r>
      <w:r w:rsidR="009B4861" w:rsidRPr="00AC18ED">
        <w:rPr>
          <w:rFonts w:ascii="Times New Roman" w:hAnsi="Times New Roman" w:cs="Times New Roman"/>
          <w:color w:val="000000"/>
          <w:szCs w:val="22"/>
        </w:rPr>
        <w:t>s</w:t>
      </w:r>
      <w:r w:rsidR="001C5298" w:rsidRPr="00AC18ED">
        <w:rPr>
          <w:rFonts w:ascii="Times New Roman" w:hAnsi="Times New Roman" w:cs="Times New Roman"/>
          <w:color w:val="000000"/>
          <w:szCs w:val="22"/>
        </w:rPr>
        <w:t>, agricultural</w:t>
      </w:r>
      <w:r w:rsidR="009C4DF6">
        <w:rPr>
          <w:rFonts w:ascii="Times New Roman" w:hAnsi="Times New Roman" w:cs="Times New Roman"/>
          <w:color w:val="000000"/>
          <w:szCs w:val="22"/>
        </w:rPr>
        <w:t>,</w:t>
      </w:r>
      <w:r w:rsidR="001C5298" w:rsidRPr="00AC18ED">
        <w:rPr>
          <w:rFonts w:ascii="Times New Roman" w:hAnsi="Times New Roman" w:cs="Times New Roman"/>
          <w:color w:val="000000"/>
          <w:szCs w:val="22"/>
        </w:rPr>
        <w:t xml:space="preserve"> and others.</w:t>
      </w:r>
      <w:r w:rsidR="00B03CA1" w:rsidRPr="00AC18ED">
        <w:rPr>
          <w:rFonts w:ascii="Times New Roman" w:hAnsi="Times New Roman" w:cs="Times New Roman"/>
          <w:color w:val="000000"/>
          <w:szCs w:val="22"/>
        </w:rPr>
        <w:t xml:space="preserve"> </w:t>
      </w:r>
      <w:r w:rsidRPr="00AC18ED">
        <w:rPr>
          <w:rFonts w:ascii="Times New Roman" w:hAnsi="Times New Roman" w:cs="Times New Roman"/>
          <w:color w:val="000000"/>
          <w:szCs w:val="22"/>
        </w:rPr>
        <w:t>In July 2008</w:t>
      </w:r>
      <w:r w:rsidR="007153DE">
        <w:rPr>
          <w:rFonts w:ascii="Times New Roman" w:hAnsi="Times New Roman" w:cs="Times New Roman"/>
          <w:color w:val="000000"/>
          <w:szCs w:val="22"/>
        </w:rPr>
        <w:t>,</w:t>
      </w:r>
      <w:r w:rsidR="009C4DF6">
        <w:rPr>
          <w:rFonts w:ascii="Times New Roman" w:hAnsi="Times New Roman" w:cs="Times New Roman"/>
          <w:color w:val="000000"/>
          <w:szCs w:val="22"/>
        </w:rPr>
        <w:t xml:space="preserve"> </w:t>
      </w:r>
      <w:r w:rsidR="009B4861" w:rsidRPr="00AC18ED">
        <w:rPr>
          <w:rFonts w:ascii="Times New Roman" w:hAnsi="Times New Roman" w:cs="Times New Roman"/>
          <w:color w:val="000000"/>
          <w:szCs w:val="22"/>
        </w:rPr>
        <w:t xml:space="preserve">the </w:t>
      </w:r>
      <w:r w:rsidRPr="00AC18ED">
        <w:rPr>
          <w:rFonts w:ascii="Times New Roman" w:hAnsi="Times New Roman" w:cs="Times New Roman"/>
          <w:color w:val="000000"/>
          <w:szCs w:val="22"/>
        </w:rPr>
        <w:t>Department of Environment</w:t>
      </w:r>
      <w:r w:rsidR="009C4DF6">
        <w:rPr>
          <w:rFonts w:ascii="Times New Roman" w:hAnsi="Times New Roman" w:cs="Times New Roman"/>
          <w:color w:val="000000"/>
          <w:szCs w:val="22"/>
        </w:rPr>
        <w:t xml:space="preserve"> of the </w:t>
      </w:r>
      <w:r w:rsidR="007153DE">
        <w:rPr>
          <w:rFonts w:ascii="Times New Roman" w:hAnsi="Times New Roman" w:cs="Times New Roman"/>
          <w:color w:val="000000"/>
          <w:szCs w:val="22"/>
        </w:rPr>
        <w:t>G</w:t>
      </w:r>
      <w:r w:rsidR="009C4DF6">
        <w:rPr>
          <w:rFonts w:ascii="Times New Roman" w:hAnsi="Times New Roman" w:cs="Times New Roman"/>
          <w:color w:val="000000"/>
          <w:szCs w:val="22"/>
        </w:rPr>
        <w:t>overnment</w:t>
      </w:r>
      <w:r w:rsidR="00774A64">
        <w:rPr>
          <w:rFonts w:ascii="Times New Roman" w:hAnsi="Times New Roman" w:cs="Times New Roman"/>
          <w:color w:val="000000"/>
          <w:szCs w:val="22"/>
        </w:rPr>
        <w:t xml:space="preserve"> </w:t>
      </w:r>
      <w:r w:rsidRPr="00AC18ED">
        <w:rPr>
          <w:rFonts w:ascii="Times New Roman" w:hAnsi="Times New Roman" w:cs="Times New Roman"/>
          <w:color w:val="000000"/>
          <w:szCs w:val="22"/>
        </w:rPr>
        <w:t>of West Bengal issued an order to phase</w:t>
      </w:r>
      <w:r w:rsidR="009C4DF6">
        <w:rPr>
          <w:rFonts w:ascii="Times New Roman" w:hAnsi="Times New Roman" w:cs="Times New Roman"/>
          <w:color w:val="000000"/>
          <w:szCs w:val="22"/>
        </w:rPr>
        <w:t xml:space="preserve"> </w:t>
      </w:r>
      <w:r w:rsidRPr="00AC18ED">
        <w:rPr>
          <w:rFonts w:ascii="Times New Roman" w:hAnsi="Times New Roman" w:cs="Times New Roman"/>
          <w:color w:val="000000"/>
          <w:szCs w:val="22"/>
        </w:rPr>
        <w:t>out all</w:t>
      </w:r>
      <w:r w:rsidR="00774A64">
        <w:rPr>
          <w:rFonts w:ascii="Times New Roman" w:hAnsi="Times New Roman" w:cs="Times New Roman"/>
          <w:color w:val="000000"/>
          <w:szCs w:val="22"/>
        </w:rPr>
        <w:t xml:space="preserve"> </w:t>
      </w:r>
      <w:r w:rsidRPr="00AC18ED">
        <w:rPr>
          <w:rFonts w:ascii="Times New Roman" w:hAnsi="Times New Roman" w:cs="Times New Roman"/>
          <w:color w:val="000000"/>
          <w:szCs w:val="22"/>
        </w:rPr>
        <w:t xml:space="preserve">vehicles </w:t>
      </w:r>
      <w:r w:rsidR="009161FE">
        <w:rPr>
          <w:rFonts w:ascii="Times New Roman" w:hAnsi="Times New Roman" w:cs="Times New Roman"/>
          <w:color w:val="000000"/>
          <w:szCs w:val="22"/>
        </w:rPr>
        <w:t xml:space="preserve">that were </w:t>
      </w:r>
      <w:r w:rsidR="009C4DF6">
        <w:rPr>
          <w:rFonts w:ascii="Times New Roman" w:hAnsi="Times New Roman" w:cs="Times New Roman"/>
          <w:color w:val="000000"/>
          <w:szCs w:val="22"/>
        </w:rPr>
        <w:t xml:space="preserve">15 years and </w:t>
      </w:r>
      <w:r w:rsidR="009C4DF6" w:rsidRPr="002A73C5">
        <w:rPr>
          <w:rFonts w:ascii="Times New Roman" w:hAnsi="Times New Roman" w:cs="Times New Roman"/>
          <w:szCs w:val="22"/>
        </w:rPr>
        <w:t>older</w:t>
      </w:r>
      <w:r w:rsidR="00774A64" w:rsidRPr="002A73C5">
        <w:rPr>
          <w:rFonts w:ascii="Times New Roman" w:hAnsi="Times New Roman" w:cs="Times New Roman"/>
          <w:szCs w:val="22"/>
        </w:rPr>
        <w:t xml:space="preserve"> </w:t>
      </w:r>
      <w:r w:rsidR="0091427D" w:rsidRPr="002A73C5">
        <w:rPr>
          <w:rFonts w:ascii="Times New Roman" w:hAnsi="Times New Roman" w:cs="Times New Roman"/>
          <w:szCs w:val="22"/>
        </w:rPr>
        <w:t>(DoE, 2008)</w:t>
      </w:r>
      <w:r w:rsidRPr="002A73C5">
        <w:rPr>
          <w:rFonts w:ascii="Times New Roman" w:hAnsi="Times New Roman" w:cs="Times New Roman"/>
          <w:szCs w:val="22"/>
        </w:rPr>
        <w:t xml:space="preserve">. </w:t>
      </w:r>
      <w:r w:rsidR="009161FE">
        <w:rPr>
          <w:rFonts w:ascii="Times New Roman" w:hAnsi="Times New Roman" w:cs="Times New Roman"/>
          <w:color w:val="000000"/>
          <w:szCs w:val="22"/>
        </w:rPr>
        <w:t xml:space="preserve">The </w:t>
      </w:r>
      <w:r w:rsidRPr="00AC18ED">
        <w:rPr>
          <w:rFonts w:ascii="Times New Roman" w:hAnsi="Times New Roman" w:cs="Times New Roman"/>
          <w:color w:val="000000"/>
          <w:szCs w:val="22"/>
        </w:rPr>
        <w:t xml:space="preserve">impact </w:t>
      </w:r>
      <w:r w:rsidR="009161FE">
        <w:rPr>
          <w:rFonts w:ascii="Times New Roman" w:hAnsi="Times New Roman" w:cs="Times New Roman"/>
          <w:color w:val="000000"/>
          <w:szCs w:val="22"/>
        </w:rPr>
        <w:t xml:space="preserve">of the order </w:t>
      </w:r>
      <w:r w:rsidRPr="00AC18ED">
        <w:rPr>
          <w:rFonts w:ascii="Times New Roman" w:hAnsi="Times New Roman" w:cs="Times New Roman"/>
          <w:color w:val="000000"/>
          <w:szCs w:val="22"/>
        </w:rPr>
        <w:t>is reflected in the following graph which shows year</w:t>
      </w:r>
      <w:r w:rsidR="009161FE">
        <w:rPr>
          <w:rFonts w:ascii="Times New Roman" w:hAnsi="Times New Roman" w:cs="Times New Roman"/>
          <w:color w:val="000000"/>
          <w:szCs w:val="22"/>
        </w:rPr>
        <w:t>ly vehicle registration in the</w:t>
      </w:r>
      <w:r w:rsidRPr="00AC18ED">
        <w:rPr>
          <w:rFonts w:ascii="Times New Roman" w:hAnsi="Times New Roman" w:cs="Times New Roman"/>
          <w:color w:val="000000"/>
          <w:szCs w:val="22"/>
        </w:rPr>
        <w:t xml:space="preserve"> </w:t>
      </w:r>
      <w:r w:rsidR="00A7166F">
        <w:rPr>
          <w:rFonts w:ascii="Times New Roman" w:hAnsi="Times New Roman" w:cs="Times New Roman"/>
          <w:color w:val="000000"/>
          <w:szCs w:val="22"/>
        </w:rPr>
        <w:t>KMC</w:t>
      </w:r>
      <w:r w:rsidRPr="00AC18ED">
        <w:rPr>
          <w:rFonts w:ascii="Times New Roman" w:hAnsi="Times New Roman" w:cs="Times New Roman"/>
          <w:color w:val="000000"/>
          <w:szCs w:val="22"/>
        </w:rPr>
        <w:t>.</w:t>
      </w:r>
    </w:p>
    <w:p w14:paraId="2D9E1D53" w14:textId="1DB46C1E" w:rsidR="009B4861" w:rsidRPr="00AC18ED" w:rsidRDefault="009B4861" w:rsidP="00AC18ED">
      <w:pPr>
        <w:spacing w:after="120" w:line="276" w:lineRule="auto"/>
        <w:jc w:val="both"/>
        <w:rPr>
          <w:rFonts w:ascii="Times New Roman" w:hAnsi="Times New Roman" w:cs="Times New Roman"/>
          <w:szCs w:val="22"/>
        </w:rPr>
      </w:pPr>
      <w:r w:rsidRPr="00AC18ED">
        <w:rPr>
          <w:rFonts w:ascii="Times New Roman" w:hAnsi="Times New Roman" w:cs="Times New Roman"/>
          <w:szCs w:val="22"/>
        </w:rPr>
        <w:t>T</w:t>
      </w:r>
      <w:r w:rsidR="009C4DF6">
        <w:rPr>
          <w:rFonts w:ascii="Times New Roman" w:hAnsi="Times New Roman" w:cs="Times New Roman"/>
          <w:szCs w:val="22"/>
        </w:rPr>
        <w:t>he t</w:t>
      </w:r>
      <w:r w:rsidRPr="00AC18ED">
        <w:rPr>
          <w:rFonts w:ascii="Times New Roman" w:hAnsi="Times New Roman" w:cs="Times New Roman"/>
          <w:szCs w:val="22"/>
        </w:rPr>
        <w:t xml:space="preserve">otal fuel consumption in </w:t>
      </w:r>
      <w:r w:rsidR="009C4DF6">
        <w:rPr>
          <w:rFonts w:ascii="Times New Roman" w:hAnsi="Times New Roman" w:cs="Times New Roman"/>
          <w:szCs w:val="22"/>
        </w:rPr>
        <w:t>the t</w:t>
      </w:r>
      <w:r w:rsidRPr="00AC18ED">
        <w:rPr>
          <w:rFonts w:ascii="Times New Roman" w:hAnsi="Times New Roman" w:cs="Times New Roman"/>
          <w:szCs w:val="22"/>
        </w:rPr>
        <w:t>ransport sector (on-road vehicle</w:t>
      </w:r>
      <w:r w:rsidR="009C4DF6">
        <w:rPr>
          <w:rFonts w:ascii="Times New Roman" w:hAnsi="Times New Roman" w:cs="Times New Roman"/>
          <w:szCs w:val="22"/>
        </w:rPr>
        <w:t>s</w:t>
      </w:r>
      <w:r w:rsidRPr="00AC18ED">
        <w:rPr>
          <w:rFonts w:ascii="Times New Roman" w:hAnsi="Times New Roman" w:cs="Times New Roman"/>
          <w:szCs w:val="22"/>
        </w:rPr>
        <w:t xml:space="preserve">) was </w:t>
      </w:r>
      <w:r w:rsidR="009C4DF6" w:rsidRPr="00AC18ED">
        <w:rPr>
          <w:rFonts w:ascii="Times New Roman" w:hAnsi="Times New Roman" w:cs="Times New Roman"/>
          <w:szCs w:val="22"/>
        </w:rPr>
        <w:t>cross</w:t>
      </w:r>
      <w:r w:rsidR="009C4DF6">
        <w:rPr>
          <w:rFonts w:ascii="Times New Roman" w:hAnsi="Times New Roman" w:cs="Times New Roman"/>
          <w:szCs w:val="22"/>
        </w:rPr>
        <w:t>-</w:t>
      </w:r>
      <w:r w:rsidRPr="00AC18ED">
        <w:rPr>
          <w:rFonts w:ascii="Times New Roman" w:hAnsi="Times New Roman" w:cs="Times New Roman"/>
          <w:szCs w:val="22"/>
        </w:rPr>
        <w:t xml:space="preserve">referenced with supply </w:t>
      </w:r>
      <w:r w:rsidRPr="00B60570">
        <w:rPr>
          <w:rFonts w:ascii="Times New Roman" w:hAnsi="Times New Roman" w:cs="Times New Roman"/>
          <w:szCs w:val="22"/>
        </w:rPr>
        <w:t>data</w:t>
      </w:r>
      <w:r w:rsidR="00F61B2F" w:rsidRPr="00B60570">
        <w:rPr>
          <w:rFonts w:ascii="Times New Roman" w:hAnsi="Times New Roman" w:cs="Times New Roman"/>
          <w:szCs w:val="22"/>
        </w:rPr>
        <w:t xml:space="preserve"> (</w:t>
      </w:r>
      <w:r w:rsidR="00EE36FD" w:rsidRPr="00B60570">
        <w:rPr>
          <w:rFonts w:ascii="Times New Roman" w:hAnsi="Times New Roman" w:cs="Times New Roman"/>
          <w:szCs w:val="22"/>
        </w:rPr>
        <w:t>IOCL</w:t>
      </w:r>
      <w:r w:rsidR="00546E8D" w:rsidRPr="00B60570">
        <w:rPr>
          <w:rFonts w:ascii="Times New Roman" w:hAnsi="Times New Roman" w:cs="Times New Roman"/>
          <w:szCs w:val="22"/>
        </w:rPr>
        <w:t>,</w:t>
      </w:r>
      <w:r w:rsidR="00EE36FD" w:rsidRPr="00B60570">
        <w:rPr>
          <w:rFonts w:ascii="Times New Roman" w:hAnsi="Times New Roman" w:cs="Times New Roman"/>
          <w:szCs w:val="22"/>
        </w:rPr>
        <w:t xml:space="preserve"> 2015</w:t>
      </w:r>
      <w:r w:rsidR="00F61B2F" w:rsidRPr="00B60570">
        <w:rPr>
          <w:rFonts w:ascii="Times New Roman" w:hAnsi="Times New Roman" w:cs="Times New Roman"/>
          <w:szCs w:val="22"/>
        </w:rPr>
        <w:t>)</w:t>
      </w:r>
      <w:r w:rsidRPr="00B60570">
        <w:rPr>
          <w:rFonts w:ascii="Times New Roman" w:hAnsi="Times New Roman" w:cs="Times New Roman"/>
          <w:szCs w:val="22"/>
        </w:rPr>
        <w:t xml:space="preserve">. It was reported </w:t>
      </w:r>
      <w:r w:rsidR="009161FE" w:rsidRPr="00B60570">
        <w:rPr>
          <w:rFonts w:ascii="Times New Roman" w:hAnsi="Times New Roman" w:cs="Times New Roman"/>
          <w:szCs w:val="22"/>
        </w:rPr>
        <w:t xml:space="preserve">that </w:t>
      </w:r>
      <w:r w:rsidRPr="00B60570">
        <w:rPr>
          <w:rFonts w:ascii="Times New Roman" w:hAnsi="Times New Roman" w:cs="Times New Roman"/>
          <w:szCs w:val="22"/>
        </w:rPr>
        <w:t xml:space="preserve">in 2010 that the </w:t>
      </w:r>
      <w:r w:rsidR="00F61B2F" w:rsidRPr="00B60570">
        <w:rPr>
          <w:rFonts w:ascii="Times New Roman" w:hAnsi="Times New Roman" w:cs="Times New Roman"/>
          <w:szCs w:val="22"/>
        </w:rPr>
        <w:t>entire</w:t>
      </w:r>
      <w:r w:rsidRPr="00B60570">
        <w:rPr>
          <w:rFonts w:ascii="Times New Roman" w:hAnsi="Times New Roman" w:cs="Times New Roman"/>
          <w:szCs w:val="22"/>
        </w:rPr>
        <w:t xml:space="preserve"> </w:t>
      </w:r>
      <w:r w:rsidR="009C4DF6" w:rsidRPr="00B60570">
        <w:rPr>
          <w:rFonts w:ascii="Times New Roman" w:hAnsi="Times New Roman" w:cs="Times New Roman"/>
          <w:szCs w:val="22"/>
        </w:rPr>
        <w:t>amount of gasoline</w:t>
      </w:r>
      <w:r w:rsidRPr="00B60570">
        <w:rPr>
          <w:rFonts w:ascii="Times New Roman" w:hAnsi="Times New Roman" w:cs="Times New Roman"/>
          <w:szCs w:val="22"/>
        </w:rPr>
        <w:t xml:space="preserve"> sold in </w:t>
      </w:r>
      <w:r w:rsidR="009C4DF6" w:rsidRPr="00B60570">
        <w:rPr>
          <w:rFonts w:ascii="Times New Roman" w:hAnsi="Times New Roman" w:cs="Times New Roman"/>
          <w:szCs w:val="22"/>
        </w:rPr>
        <w:t xml:space="preserve">the </w:t>
      </w:r>
      <w:r w:rsidR="00A7166F" w:rsidRPr="00B60570">
        <w:rPr>
          <w:rFonts w:ascii="Times New Roman" w:hAnsi="Times New Roman" w:cs="Times New Roman"/>
          <w:szCs w:val="22"/>
        </w:rPr>
        <w:t>KMC</w:t>
      </w:r>
      <w:r w:rsidRPr="00B60570">
        <w:rPr>
          <w:rFonts w:ascii="Times New Roman" w:hAnsi="Times New Roman" w:cs="Times New Roman"/>
          <w:szCs w:val="22"/>
        </w:rPr>
        <w:t xml:space="preserve"> was used in </w:t>
      </w:r>
      <w:r w:rsidR="009C4DF6" w:rsidRPr="00B60570">
        <w:rPr>
          <w:rFonts w:ascii="Times New Roman" w:hAnsi="Times New Roman" w:cs="Times New Roman"/>
          <w:szCs w:val="22"/>
        </w:rPr>
        <w:t xml:space="preserve">the </w:t>
      </w:r>
      <w:r w:rsidRPr="00B60570">
        <w:rPr>
          <w:rFonts w:ascii="Times New Roman" w:hAnsi="Times New Roman" w:cs="Times New Roman"/>
          <w:szCs w:val="22"/>
        </w:rPr>
        <w:t>transport sector</w:t>
      </w:r>
      <w:r w:rsidRPr="00AC18ED">
        <w:rPr>
          <w:rFonts w:ascii="Times New Roman" w:hAnsi="Times New Roman" w:cs="Times New Roman"/>
          <w:szCs w:val="22"/>
        </w:rPr>
        <w:t xml:space="preserve">. </w:t>
      </w:r>
      <w:r w:rsidR="009C4DF6">
        <w:rPr>
          <w:rFonts w:ascii="Times New Roman" w:hAnsi="Times New Roman" w:cs="Times New Roman"/>
          <w:szCs w:val="22"/>
        </w:rPr>
        <w:t>Eighty percent</w:t>
      </w:r>
      <w:r w:rsidRPr="00AC18ED">
        <w:rPr>
          <w:rFonts w:ascii="Times New Roman" w:hAnsi="Times New Roman" w:cs="Times New Roman"/>
          <w:szCs w:val="22"/>
        </w:rPr>
        <w:t xml:space="preserve"> of the total diesel sold through retail outlet</w:t>
      </w:r>
      <w:r w:rsidR="009C4DF6">
        <w:rPr>
          <w:rFonts w:ascii="Times New Roman" w:hAnsi="Times New Roman" w:cs="Times New Roman"/>
          <w:szCs w:val="22"/>
        </w:rPr>
        <w:t>s</w:t>
      </w:r>
      <w:r w:rsidRPr="00AC18ED">
        <w:rPr>
          <w:rFonts w:ascii="Times New Roman" w:hAnsi="Times New Roman" w:cs="Times New Roman"/>
          <w:szCs w:val="22"/>
        </w:rPr>
        <w:t xml:space="preserve"> is used in </w:t>
      </w:r>
      <w:r w:rsidR="009C4DF6">
        <w:rPr>
          <w:rFonts w:ascii="Times New Roman" w:hAnsi="Times New Roman" w:cs="Times New Roman"/>
          <w:szCs w:val="22"/>
        </w:rPr>
        <w:t xml:space="preserve">the </w:t>
      </w:r>
      <w:r w:rsidRPr="00AC18ED">
        <w:rPr>
          <w:rFonts w:ascii="Times New Roman" w:hAnsi="Times New Roman" w:cs="Times New Roman"/>
          <w:szCs w:val="22"/>
        </w:rPr>
        <w:t>transport sector</w:t>
      </w:r>
      <w:r w:rsidR="009C4DF6">
        <w:rPr>
          <w:rFonts w:ascii="Times New Roman" w:hAnsi="Times New Roman" w:cs="Times New Roman"/>
          <w:szCs w:val="22"/>
        </w:rPr>
        <w:t xml:space="preserve">, not counting the </w:t>
      </w:r>
      <w:r w:rsidRPr="00AC18ED">
        <w:rPr>
          <w:rFonts w:ascii="Times New Roman" w:hAnsi="Times New Roman" w:cs="Times New Roman"/>
          <w:szCs w:val="22"/>
        </w:rPr>
        <w:t>railway, marine</w:t>
      </w:r>
      <w:r w:rsidR="009C4DF6">
        <w:rPr>
          <w:rFonts w:ascii="Times New Roman" w:hAnsi="Times New Roman" w:cs="Times New Roman"/>
          <w:szCs w:val="22"/>
        </w:rPr>
        <w:t>,</w:t>
      </w:r>
      <w:r w:rsidRPr="00AC18ED">
        <w:rPr>
          <w:rFonts w:ascii="Times New Roman" w:hAnsi="Times New Roman" w:cs="Times New Roman"/>
          <w:szCs w:val="22"/>
        </w:rPr>
        <w:t xml:space="preserve"> and aviation sector usage. Auto LPG is wholly used for</w:t>
      </w:r>
      <w:r w:rsidR="00F352DE">
        <w:rPr>
          <w:rFonts w:ascii="Times New Roman" w:hAnsi="Times New Roman" w:cs="Times New Roman"/>
          <w:szCs w:val="22"/>
        </w:rPr>
        <w:t xml:space="preserve"> 3</w:t>
      </w:r>
      <w:r w:rsidR="009C4DF6">
        <w:rPr>
          <w:rFonts w:ascii="Times New Roman" w:hAnsi="Times New Roman" w:cs="Times New Roman"/>
          <w:szCs w:val="22"/>
        </w:rPr>
        <w:t>-</w:t>
      </w:r>
      <w:r w:rsidR="00F61B2F" w:rsidRPr="00AC18ED">
        <w:rPr>
          <w:rFonts w:ascii="Times New Roman" w:hAnsi="Times New Roman" w:cs="Times New Roman"/>
          <w:szCs w:val="22"/>
        </w:rPr>
        <w:t>wheelers (</w:t>
      </w:r>
      <w:r w:rsidR="00442CD0" w:rsidRPr="00AC18ED">
        <w:rPr>
          <w:rFonts w:ascii="Times New Roman" w:hAnsi="Times New Roman" w:cs="Times New Roman"/>
          <w:szCs w:val="22"/>
        </w:rPr>
        <w:t>auto</w:t>
      </w:r>
      <w:r w:rsidR="00442CD0">
        <w:rPr>
          <w:rFonts w:ascii="Times New Roman" w:hAnsi="Times New Roman" w:cs="Times New Roman"/>
          <w:szCs w:val="22"/>
        </w:rPr>
        <w:t>-</w:t>
      </w:r>
      <w:r w:rsidRPr="00AC18ED">
        <w:rPr>
          <w:rFonts w:ascii="Times New Roman" w:hAnsi="Times New Roman" w:cs="Times New Roman"/>
          <w:szCs w:val="22"/>
        </w:rPr>
        <w:t>rickshaws</w:t>
      </w:r>
      <w:r w:rsidR="00F61B2F" w:rsidRPr="00AC18ED">
        <w:rPr>
          <w:rFonts w:ascii="Times New Roman" w:hAnsi="Times New Roman" w:cs="Times New Roman"/>
          <w:szCs w:val="22"/>
        </w:rPr>
        <w:t>)</w:t>
      </w:r>
      <w:r w:rsidRPr="00AC18ED">
        <w:rPr>
          <w:rFonts w:ascii="Times New Roman" w:hAnsi="Times New Roman" w:cs="Times New Roman"/>
          <w:szCs w:val="22"/>
        </w:rPr>
        <w:t>.</w:t>
      </w:r>
    </w:p>
    <w:p w14:paraId="25D7D684" w14:textId="2DA48E5F" w:rsidR="001C5298" w:rsidRPr="00AC18ED" w:rsidRDefault="002A259C" w:rsidP="00C35D33">
      <w:pPr>
        <w:spacing w:after="120" w:line="276" w:lineRule="auto"/>
        <w:jc w:val="center"/>
        <w:rPr>
          <w:rFonts w:ascii="Times New Roman" w:hAnsi="Times New Roman" w:cs="Times New Roman"/>
          <w:szCs w:val="22"/>
        </w:rPr>
      </w:pPr>
      <w:r>
        <w:rPr>
          <w:rFonts w:ascii="Times New Roman" w:hAnsi="Times New Roman" w:cs="Times New Roman"/>
          <w:noProof/>
          <w:szCs w:val="22"/>
          <w:lang w:eastAsia="en-IN" w:bidi="ar-SA"/>
        </w:rPr>
        <w:lastRenderedPageBreak/>
        <w:drawing>
          <wp:inline distT="0" distB="0" distL="0" distR="0" wp14:anchorId="4FB05F72" wp14:editId="03DB7FC2">
            <wp:extent cx="4876800" cy="2914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0" cy="2914650"/>
                    </a:xfrm>
                    <a:prstGeom prst="rect">
                      <a:avLst/>
                    </a:prstGeom>
                    <a:noFill/>
                    <a:ln>
                      <a:noFill/>
                    </a:ln>
                  </pic:spPr>
                </pic:pic>
              </a:graphicData>
            </a:graphic>
          </wp:inline>
        </w:drawing>
      </w:r>
    </w:p>
    <w:p w14:paraId="08C1D34C" w14:textId="7B659663" w:rsidR="00B2235B" w:rsidRDefault="009B4861" w:rsidP="00AC18ED">
      <w:pPr>
        <w:spacing w:after="120" w:line="276" w:lineRule="auto"/>
        <w:jc w:val="both"/>
        <w:rPr>
          <w:rFonts w:ascii="Times New Roman" w:hAnsi="Times New Roman" w:cs="Times New Roman"/>
          <w:b/>
          <w:szCs w:val="22"/>
        </w:rPr>
      </w:pPr>
      <w:r w:rsidRPr="00AC18ED">
        <w:rPr>
          <w:rFonts w:ascii="Times New Roman" w:hAnsi="Times New Roman" w:cs="Times New Roman"/>
          <w:b/>
          <w:szCs w:val="22"/>
        </w:rPr>
        <w:t>Figure S</w:t>
      </w:r>
      <w:r w:rsidR="00CA2C59" w:rsidRPr="00AC18ED">
        <w:rPr>
          <w:rFonts w:ascii="Times New Roman" w:hAnsi="Times New Roman" w:cs="Times New Roman"/>
          <w:b/>
          <w:szCs w:val="22"/>
        </w:rPr>
        <w:t>5</w:t>
      </w:r>
      <w:r w:rsidRPr="00AC18ED">
        <w:rPr>
          <w:rFonts w:ascii="Times New Roman" w:hAnsi="Times New Roman" w:cs="Times New Roman"/>
          <w:b/>
          <w:szCs w:val="22"/>
        </w:rPr>
        <w:t>:</w:t>
      </w:r>
      <w:r w:rsidR="00774A64">
        <w:rPr>
          <w:rFonts w:ascii="Times New Roman" w:hAnsi="Times New Roman" w:cs="Times New Roman"/>
          <w:b/>
          <w:szCs w:val="22"/>
        </w:rPr>
        <w:t xml:space="preserve"> </w:t>
      </w:r>
      <w:r w:rsidR="00DF50B0" w:rsidRPr="00AC18ED">
        <w:rPr>
          <w:rFonts w:ascii="Times New Roman" w:hAnsi="Times New Roman" w:cs="Times New Roman"/>
          <w:b/>
          <w:szCs w:val="22"/>
        </w:rPr>
        <w:t xml:space="preserve"> Registered </w:t>
      </w:r>
      <w:r w:rsidR="009C4DF6">
        <w:rPr>
          <w:rFonts w:ascii="Times New Roman" w:hAnsi="Times New Roman" w:cs="Times New Roman"/>
          <w:b/>
          <w:szCs w:val="22"/>
        </w:rPr>
        <w:t>v</w:t>
      </w:r>
      <w:r w:rsidR="009C4DF6" w:rsidRPr="00AC18ED">
        <w:rPr>
          <w:rFonts w:ascii="Times New Roman" w:hAnsi="Times New Roman" w:cs="Times New Roman"/>
          <w:b/>
          <w:szCs w:val="22"/>
        </w:rPr>
        <w:t>ehicle</w:t>
      </w:r>
      <w:r w:rsidR="009C4DF6">
        <w:rPr>
          <w:rFonts w:ascii="Times New Roman" w:hAnsi="Times New Roman" w:cs="Times New Roman"/>
          <w:b/>
          <w:szCs w:val="22"/>
        </w:rPr>
        <w:t>s, according to type,</w:t>
      </w:r>
      <w:r w:rsidR="00DF50B0" w:rsidRPr="00AC18ED">
        <w:rPr>
          <w:rFonts w:ascii="Times New Roman" w:hAnsi="Times New Roman" w:cs="Times New Roman"/>
          <w:b/>
          <w:szCs w:val="22"/>
        </w:rPr>
        <w:t xml:space="preserve"> </w:t>
      </w:r>
      <w:r w:rsidR="009C4DF6">
        <w:rPr>
          <w:rFonts w:ascii="Times New Roman" w:hAnsi="Times New Roman" w:cs="Times New Roman"/>
          <w:b/>
          <w:szCs w:val="22"/>
        </w:rPr>
        <w:t xml:space="preserve">in the </w:t>
      </w:r>
      <w:r w:rsidR="00A7166F">
        <w:rPr>
          <w:rFonts w:ascii="Times New Roman" w:hAnsi="Times New Roman" w:cs="Times New Roman"/>
          <w:b/>
          <w:szCs w:val="22"/>
        </w:rPr>
        <w:t>KMC</w:t>
      </w:r>
    </w:p>
    <w:p w14:paraId="644D45DD" w14:textId="749AAC04" w:rsidR="00DF50B0" w:rsidRPr="00B60570" w:rsidRDefault="00B2235B" w:rsidP="00AC18ED">
      <w:pPr>
        <w:spacing w:after="120" w:line="276" w:lineRule="auto"/>
        <w:jc w:val="both"/>
        <w:rPr>
          <w:rFonts w:ascii="Times New Roman" w:hAnsi="Times New Roman" w:cs="Times New Roman"/>
          <w:bCs/>
          <w:szCs w:val="22"/>
        </w:rPr>
      </w:pPr>
      <w:r w:rsidRPr="00B60570">
        <w:rPr>
          <w:rFonts w:ascii="Times New Roman" w:hAnsi="Times New Roman" w:cs="Times New Roman"/>
          <w:bCs/>
          <w:szCs w:val="22"/>
        </w:rPr>
        <w:t xml:space="preserve">Source: </w:t>
      </w:r>
      <w:r w:rsidR="00833141" w:rsidRPr="00B60570">
        <w:rPr>
          <w:rFonts w:ascii="Times New Roman" w:hAnsi="Times New Roman" w:cs="Times New Roman"/>
          <w:bCs/>
          <w:szCs w:val="22"/>
        </w:rPr>
        <w:t>(DSH, 201</w:t>
      </w:r>
      <w:r w:rsidR="000C4A69" w:rsidRPr="00B60570">
        <w:rPr>
          <w:rFonts w:ascii="Times New Roman" w:hAnsi="Times New Roman" w:cs="Times New Roman"/>
          <w:bCs/>
          <w:szCs w:val="22"/>
        </w:rPr>
        <w:t>1</w:t>
      </w:r>
      <w:r w:rsidR="00833141" w:rsidRPr="00B60570">
        <w:rPr>
          <w:rFonts w:ascii="Times New Roman" w:hAnsi="Times New Roman" w:cs="Times New Roman"/>
          <w:bCs/>
          <w:szCs w:val="22"/>
        </w:rPr>
        <w:t>; RTO</w:t>
      </w:r>
      <w:r w:rsidRPr="00B60570">
        <w:rPr>
          <w:rFonts w:ascii="Times New Roman" w:hAnsi="Times New Roman" w:cs="Times New Roman"/>
          <w:bCs/>
          <w:szCs w:val="22"/>
        </w:rPr>
        <w:t>,</w:t>
      </w:r>
      <w:r w:rsidR="00833141" w:rsidRPr="00B60570">
        <w:rPr>
          <w:rFonts w:ascii="Times New Roman" w:hAnsi="Times New Roman" w:cs="Times New Roman"/>
          <w:bCs/>
          <w:szCs w:val="22"/>
        </w:rPr>
        <w:t xml:space="preserve"> 2015)</w:t>
      </w:r>
    </w:p>
    <w:p w14:paraId="037E2D2B" w14:textId="32EAC016" w:rsidR="001C5298" w:rsidRPr="00AC18ED" w:rsidRDefault="009B4861" w:rsidP="00AC18ED">
      <w:pPr>
        <w:spacing w:after="120" w:line="276" w:lineRule="auto"/>
        <w:jc w:val="both"/>
        <w:rPr>
          <w:rFonts w:ascii="Times New Roman" w:hAnsi="Times New Roman" w:cs="Times New Roman"/>
          <w:szCs w:val="22"/>
        </w:rPr>
      </w:pPr>
      <w:r w:rsidRPr="00AC18ED">
        <w:rPr>
          <w:rFonts w:ascii="Times New Roman" w:hAnsi="Times New Roman" w:cs="Times New Roman"/>
          <w:szCs w:val="22"/>
        </w:rPr>
        <w:t>O</w:t>
      </w:r>
      <w:r w:rsidR="001C5298" w:rsidRPr="00AC18ED">
        <w:rPr>
          <w:rFonts w:ascii="Times New Roman" w:hAnsi="Times New Roman" w:cs="Times New Roman"/>
          <w:szCs w:val="22"/>
        </w:rPr>
        <w:t xml:space="preserve">n-road vehicle </w:t>
      </w:r>
      <w:r w:rsidRPr="00AC18ED">
        <w:rPr>
          <w:rFonts w:ascii="Times New Roman" w:hAnsi="Times New Roman" w:cs="Times New Roman"/>
          <w:szCs w:val="22"/>
        </w:rPr>
        <w:t xml:space="preserve">data </w:t>
      </w:r>
      <w:r w:rsidR="009C4DF6">
        <w:rPr>
          <w:rFonts w:ascii="Times New Roman" w:hAnsi="Times New Roman" w:cs="Times New Roman"/>
          <w:szCs w:val="22"/>
        </w:rPr>
        <w:t>were</w:t>
      </w:r>
      <w:r w:rsidRPr="00AC18ED">
        <w:rPr>
          <w:rFonts w:ascii="Times New Roman" w:hAnsi="Times New Roman" w:cs="Times New Roman"/>
          <w:szCs w:val="22"/>
        </w:rPr>
        <w:t xml:space="preserve"> taken </w:t>
      </w:r>
      <w:r w:rsidRPr="00B60570">
        <w:rPr>
          <w:rFonts w:ascii="Times New Roman" w:hAnsi="Times New Roman" w:cs="Times New Roman"/>
          <w:szCs w:val="22"/>
        </w:rPr>
        <w:t>from</w:t>
      </w:r>
      <w:r w:rsidR="009C4DF6" w:rsidRPr="00B60570">
        <w:rPr>
          <w:rFonts w:ascii="Times New Roman" w:hAnsi="Times New Roman" w:cs="Times New Roman"/>
          <w:szCs w:val="22"/>
        </w:rPr>
        <w:t xml:space="preserve"> </w:t>
      </w:r>
      <w:r w:rsidR="001C5298" w:rsidRPr="00B60570">
        <w:rPr>
          <w:rFonts w:ascii="Times New Roman" w:hAnsi="Times New Roman" w:cs="Times New Roman"/>
          <w:szCs w:val="22"/>
        </w:rPr>
        <w:t>WBPCB</w:t>
      </w:r>
      <w:r w:rsidR="009C4DF6" w:rsidRPr="00B60570">
        <w:rPr>
          <w:rFonts w:ascii="Times New Roman" w:hAnsi="Times New Roman" w:cs="Times New Roman"/>
          <w:szCs w:val="22"/>
        </w:rPr>
        <w:t xml:space="preserve"> (</w:t>
      </w:r>
      <w:r w:rsidR="004D0CE3" w:rsidRPr="00B60570">
        <w:rPr>
          <w:rFonts w:ascii="Times New Roman" w:hAnsi="Times New Roman" w:cs="Times New Roman"/>
          <w:szCs w:val="22"/>
        </w:rPr>
        <w:t>2015</w:t>
      </w:r>
      <w:r w:rsidR="009C4DF6" w:rsidRPr="00B60570">
        <w:rPr>
          <w:rFonts w:ascii="Times New Roman" w:hAnsi="Times New Roman" w:cs="Times New Roman"/>
          <w:szCs w:val="22"/>
        </w:rPr>
        <w:t xml:space="preserve">) and </w:t>
      </w:r>
      <w:r w:rsidR="004D0CE3" w:rsidRPr="00B60570">
        <w:rPr>
          <w:rFonts w:ascii="Times New Roman" w:hAnsi="Times New Roman" w:cs="Times New Roman"/>
          <w:szCs w:val="22"/>
        </w:rPr>
        <w:t>ADB</w:t>
      </w:r>
      <w:r w:rsidR="009C4DF6" w:rsidRPr="00B60570">
        <w:rPr>
          <w:rFonts w:ascii="Times New Roman" w:hAnsi="Times New Roman" w:cs="Times New Roman"/>
          <w:szCs w:val="22"/>
        </w:rPr>
        <w:t xml:space="preserve"> (</w:t>
      </w:r>
      <w:r w:rsidR="004D0CE3" w:rsidRPr="00B60570">
        <w:rPr>
          <w:rFonts w:ascii="Times New Roman" w:hAnsi="Times New Roman" w:cs="Times New Roman"/>
          <w:szCs w:val="22"/>
        </w:rPr>
        <w:t>2008</w:t>
      </w:r>
      <w:r w:rsidRPr="00B60570">
        <w:rPr>
          <w:rFonts w:ascii="Times New Roman" w:hAnsi="Times New Roman" w:cs="Times New Roman"/>
          <w:szCs w:val="22"/>
        </w:rPr>
        <w:t>).</w:t>
      </w:r>
      <w:r w:rsidR="001C5298" w:rsidRPr="00B60570">
        <w:rPr>
          <w:rFonts w:ascii="Times New Roman" w:hAnsi="Times New Roman" w:cs="Times New Roman"/>
          <w:szCs w:val="22"/>
        </w:rPr>
        <w:t xml:space="preserve"> </w:t>
      </w:r>
      <w:r w:rsidRPr="00B60570">
        <w:rPr>
          <w:rFonts w:ascii="Times New Roman" w:hAnsi="Times New Roman" w:cs="Times New Roman"/>
          <w:szCs w:val="22"/>
        </w:rPr>
        <w:t>Moreover, t</w:t>
      </w:r>
      <w:r w:rsidR="001C5298" w:rsidRPr="00B60570">
        <w:rPr>
          <w:rFonts w:ascii="Times New Roman" w:hAnsi="Times New Roman" w:cs="Times New Roman"/>
          <w:szCs w:val="22"/>
        </w:rPr>
        <w:t>raffic video recordings, provided by</w:t>
      </w:r>
      <w:r w:rsidR="009C4DF6" w:rsidRPr="00B60570">
        <w:rPr>
          <w:rFonts w:ascii="Times New Roman" w:hAnsi="Times New Roman" w:cs="Times New Roman"/>
          <w:szCs w:val="22"/>
        </w:rPr>
        <w:t xml:space="preserve"> the t</w:t>
      </w:r>
      <w:r w:rsidR="001C5298" w:rsidRPr="00B60570">
        <w:rPr>
          <w:rFonts w:ascii="Times New Roman" w:hAnsi="Times New Roman" w:cs="Times New Roman"/>
          <w:szCs w:val="22"/>
        </w:rPr>
        <w:t xml:space="preserve">raffic </w:t>
      </w:r>
      <w:r w:rsidR="009C4DF6" w:rsidRPr="00B60570">
        <w:rPr>
          <w:rFonts w:ascii="Times New Roman" w:hAnsi="Times New Roman" w:cs="Times New Roman"/>
          <w:szCs w:val="22"/>
        </w:rPr>
        <w:t>department</w:t>
      </w:r>
      <w:r w:rsidR="00774A64" w:rsidRPr="00B60570">
        <w:rPr>
          <w:rFonts w:ascii="Times New Roman" w:hAnsi="Times New Roman" w:cs="Times New Roman"/>
          <w:szCs w:val="22"/>
        </w:rPr>
        <w:t xml:space="preserve"> </w:t>
      </w:r>
      <w:r w:rsidR="009C4DF6" w:rsidRPr="00B60570">
        <w:rPr>
          <w:rFonts w:ascii="Times New Roman" w:hAnsi="Times New Roman" w:cs="Times New Roman"/>
          <w:szCs w:val="22"/>
        </w:rPr>
        <w:t xml:space="preserve">of </w:t>
      </w:r>
      <w:r w:rsidR="001C5298" w:rsidRPr="00B60570">
        <w:rPr>
          <w:rFonts w:ascii="Times New Roman" w:hAnsi="Times New Roman" w:cs="Times New Roman"/>
          <w:szCs w:val="22"/>
        </w:rPr>
        <w:t xml:space="preserve">Kolkata </w:t>
      </w:r>
      <w:r w:rsidR="009C4DF6" w:rsidRPr="00B60570">
        <w:rPr>
          <w:rFonts w:ascii="Times New Roman" w:hAnsi="Times New Roman" w:cs="Times New Roman"/>
          <w:szCs w:val="22"/>
        </w:rPr>
        <w:t xml:space="preserve">were </w:t>
      </w:r>
      <w:r w:rsidR="001C5298" w:rsidRPr="00B60570">
        <w:rPr>
          <w:rFonts w:ascii="Times New Roman" w:hAnsi="Times New Roman" w:cs="Times New Roman"/>
          <w:szCs w:val="22"/>
        </w:rPr>
        <w:t xml:space="preserve">also used to collect primary </w:t>
      </w:r>
      <w:r w:rsidR="001C5298" w:rsidRPr="00AC18ED">
        <w:rPr>
          <w:rFonts w:ascii="Times New Roman" w:hAnsi="Times New Roman" w:cs="Times New Roman"/>
          <w:szCs w:val="22"/>
        </w:rPr>
        <w:t xml:space="preserve">data related to on-road traffic movement and fleet composition. </w:t>
      </w:r>
      <w:r w:rsidR="009C4DF6">
        <w:rPr>
          <w:rFonts w:ascii="Times New Roman" w:hAnsi="Times New Roman" w:cs="Times New Roman"/>
          <w:szCs w:val="22"/>
        </w:rPr>
        <w:t>The y</w:t>
      </w:r>
      <w:r w:rsidR="009C4DF6" w:rsidRPr="00AC18ED">
        <w:rPr>
          <w:rFonts w:ascii="Times New Roman" w:hAnsi="Times New Roman" w:cs="Times New Roman"/>
          <w:szCs w:val="22"/>
        </w:rPr>
        <w:t>ear</w:t>
      </w:r>
      <w:r w:rsidR="009C4DF6">
        <w:rPr>
          <w:rFonts w:ascii="Times New Roman" w:hAnsi="Times New Roman" w:cs="Times New Roman"/>
          <w:szCs w:val="22"/>
        </w:rPr>
        <w:t>s</w:t>
      </w:r>
      <w:r w:rsidR="009C4DF6" w:rsidRPr="00AC18ED">
        <w:rPr>
          <w:rFonts w:ascii="Times New Roman" w:hAnsi="Times New Roman" w:cs="Times New Roman"/>
          <w:szCs w:val="22"/>
        </w:rPr>
        <w:t xml:space="preserve"> </w:t>
      </w:r>
      <w:r w:rsidR="001C5298" w:rsidRPr="00AC18ED">
        <w:rPr>
          <w:rFonts w:ascii="Times New Roman" w:hAnsi="Times New Roman" w:cs="Times New Roman"/>
          <w:szCs w:val="22"/>
        </w:rPr>
        <w:t>2005, 2010</w:t>
      </w:r>
      <w:r w:rsidR="009C4DF6">
        <w:rPr>
          <w:rFonts w:ascii="Times New Roman" w:hAnsi="Times New Roman" w:cs="Times New Roman"/>
          <w:szCs w:val="22"/>
        </w:rPr>
        <w:t xml:space="preserve">, </w:t>
      </w:r>
      <w:r w:rsidR="001C5298" w:rsidRPr="00AC18ED">
        <w:rPr>
          <w:rFonts w:ascii="Times New Roman" w:hAnsi="Times New Roman" w:cs="Times New Roman"/>
          <w:szCs w:val="22"/>
        </w:rPr>
        <w:t xml:space="preserve">and 2015 were considered for calculating </w:t>
      </w:r>
      <w:r w:rsidR="009C4DF6">
        <w:rPr>
          <w:rFonts w:ascii="Times New Roman" w:hAnsi="Times New Roman" w:cs="Times New Roman"/>
          <w:szCs w:val="22"/>
        </w:rPr>
        <w:t xml:space="preserve">the </w:t>
      </w:r>
      <w:r w:rsidR="001C5298" w:rsidRPr="00AC18ED">
        <w:rPr>
          <w:rFonts w:ascii="Times New Roman" w:hAnsi="Times New Roman" w:cs="Times New Roman"/>
          <w:szCs w:val="22"/>
        </w:rPr>
        <w:t>average hourly on-road vehicle and fleet distribution</w:t>
      </w:r>
      <w:r w:rsidR="001C5298" w:rsidRPr="00B60570">
        <w:rPr>
          <w:rFonts w:ascii="Times New Roman" w:hAnsi="Times New Roman" w:cs="Times New Roman"/>
          <w:szCs w:val="22"/>
        </w:rPr>
        <w:t>.</w:t>
      </w:r>
      <w:r w:rsidRPr="00B60570">
        <w:rPr>
          <w:rFonts w:ascii="Times New Roman" w:hAnsi="Times New Roman" w:cs="Times New Roman"/>
          <w:szCs w:val="22"/>
        </w:rPr>
        <w:t xml:space="preserve"> </w:t>
      </w:r>
      <w:r w:rsidR="001C5298" w:rsidRPr="00B60570">
        <w:rPr>
          <w:rFonts w:ascii="Times New Roman" w:hAnsi="Times New Roman" w:cs="Times New Roman"/>
          <w:szCs w:val="22"/>
        </w:rPr>
        <w:t xml:space="preserve">ADB </w:t>
      </w:r>
      <w:r w:rsidR="009C4DF6" w:rsidRPr="00B60570">
        <w:rPr>
          <w:rFonts w:ascii="Times New Roman" w:hAnsi="Times New Roman" w:cs="Times New Roman"/>
          <w:szCs w:val="22"/>
        </w:rPr>
        <w:t>(</w:t>
      </w:r>
      <w:r w:rsidR="001C5298" w:rsidRPr="00B60570">
        <w:rPr>
          <w:rFonts w:ascii="Times New Roman" w:hAnsi="Times New Roman" w:cs="Times New Roman"/>
          <w:szCs w:val="22"/>
        </w:rPr>
        <w:t>200</w:t>
      </w:r>
      <w:r w:rsidR="001F52BB" w:rsidRPr="00B60570">
        <w:rPr>
          <w:rFonts w:ascii="Times New Roman" w:hAnsi="Times New Roman" w:cs="Times New Roman"/>
          <w:szCs w:val="22"/>
        </w:rPr>
        <w:t>8</w:t>
      </w:r>
      <w:r w:rsidR="009C4DF6" w:rsidRPr="00B60570">
        <w:rPr>
          <w:rFonts w:ascii="Times New Roman" w:hAnsi="Times New Roman" w:cs="Times New Roman"/>
          <w:szCs w:val="22"/>
        </w:rPr>
        <w:t>)</w:t>
      </w:r>
      <w:r w:rsidR="001C5298" w:rsidRPr="00B60570">
        <w:rPr>
          <w:rFonts w:ascii="Times New Roman" w:hAnsi="Times New Roman" w:cs="Times New Roman"/>
          <w:szCs w:val="22"/>
        </w:rPr>
        <w:t xml:space="preserve"> showed </w:t>
      </w:r>
      <w:r w:rsidR="009C4DF6">
        <w:rPr>
          <w:rFonts w:ascii="Times New Roman" w:hAnsi="Times New Roman" w:cs="Times New Roman"/>
          <w:szCs w:val="22"/>
        </w:rPr>
        <w:t xml:space="preserve">the </w:t>
      </w:r>
      <w:r w:rsidR="001C5298" w:rsidRPr="00AC18ED">
        <w:rPr>
          <w:rFonts w:ascii="Times New Roman" w:hAnsi="Times New Roman" w:cs="Times New Roman"/>
          <w:szCs w:val="22"/>
        </w:rPr>
        <w:t xml:space="preserve">average numbers of vehicles </w:t>
      </w:r>
      <w:r w:rsidR="009C4DF6">
        <w:rPr>
          <w:rFonts w:ascii="Times New Roman" w:hAnsi="Times New Roman" w:cs="Times New Roman"/>
          <w:szCs w:val="22"/>
        </w:rPr>
        <w:t xml:space="preserve">per </w:t>
      </w:r>
      <w:r w:rsidR="009C4DF6" w:rsidRPr="00AC18ED">
        <w:rPr>
          <w:rFonts w:ascii="Times New Roman" w:hAnsi="Times New Roman" w:cs="Times New Roman"/>
          <w:szCs w:val="22"/>
        </w:rPr>
        <w:t>24 hour</w:t>
      </w:r>
      <w:r w:rsidR="009161FE">
        <w:rPr>
          <w:rFonts w:ascii="Times New Roman" w:hAnsi="Times New Roman" w:cs="Times New Roman"/>
          <w:szCs w:val="22"/>
        </w:rPr>
        <w:t>s</w:t>
      </w:r>
      <w:r w:rsidR="009C4DF6">
        <w:rPr>
          <w:rFonts w:ascii="Times New Roman" w:hAnsi="Times New Roman" w:cs="Times New Roman"/>
          <w:szCs w:val="22"/>
        </w:rPr>
        <w:t xml:space="preserve"> </w:t>
      </w:r>
      <w:r w:rsidR="00DA4C7E">
        <w:rPr>
          <w:rFonts w:ascii="Times New Roman" w:hAnsi="Times New Roman" w:cs="Times New Roman"/>
          <w:szCs w:val="22"/>
        </w:rPr>
        <w:t>using</w:t>
      </w:r>
      <w:r w:rsidR="001C5298" w:rsidRPr="00AC18ED">
        <w:rPr>
          <w:rFonts w:ascii="Times New Roman" w:hAnsi="Times New Roman" w:cs="Times New Roman"/>
          <w:szCs w:val="22"/>
        </w:rPr>
        <w:t xml:space="preserve"> different roads like </w:t>
      </w:r>
      <w:r w:rsidR="00DA4C7E">
        <w:rPr>
          <w:rFonts w:ascii="Times New Roman" w:hAnsi="Times New Roman" w:cs="Times New Roman"/>
          <w:szCs w:val="22"/>
        </w:rPr>
        <w:t xml:space="preserve">the </w:t>
      </w:r>
      <w:r w:rsidR="001C5298" w:rsidRPr="00AC18ED">
        <w:rPr>
          <w:rFonts w:ascii="Times New Roman" w:hAnsi="Times New Roman" w:cs="Times New Roman"/>
          <w:szCs w:val="22"/>
        </w:rPr>
        <w:t>national highways, arterial roads</w:t>
      </w:r>
      <w:r w:rsidR="009C4DF6">
        <w:rPr>
          <w:rFonts w:ascii="Times New Roman" w:hAnsi="Times New Roman" w:cs="Times New Roman"/>
          <w:szCs w:val="22"/>
        </w:rPr>
        <w:t>,</w:t>
      </w:r>
      <w:r w:rsidR="001C5298" w:rsidRPr="00AC18ED">
        <w:rPr>
          <w:rFonts w:ascii="Times New Roman" w:hAnsi="Times New Roman" w:cs="Times New Roman"/>
          <w:szCs w:val="22"/>
        </w:rPr>
        <w:t xml:space="preserve"> and other residential commercial roads. Th</w:t>
      </w:r>
      <w:r w:rsidR="00DA4C7E">
        <w:rPr>
          <w:rFonts w:ascii="Times New Roman" w:hAnsi="Times New Roman" w:cs="Times New Roman"/>
          <w:szCs w:val="22"/>
        </w:rPr>
        <w:t xml:space="preserve">ese calculations </w:t>
      </w:r>
      <w:r w:rsidR="001C5298" w:rsidRPr="00AC18ED">
        <w:rPr>
          <w:rFonts w:ascii="Times New Roman" w:hAnsi="Times New Roman" w:cs="Times New Roman"/>
          <w:szCs w:val="22"/>
        </w:rPr>
        <w:t>w</w:t>
      </w:r>
      <w:r w:rsidR="00DA4C7E">
        <w:rPr>
          <w:rFonts w:ascii="Times New Roman" w:hAnsi="Times New Roman" w:cs="Times New Roman"/>
          <w:szCs w:val="22"/>
        </w:rPr>
        <w:t>ere</w:t>
      </w:r>
      <w:r w:rsidR="001C5298" w:rsidRPr="00AC18ED">
        <w:rPr>
          <w:rFonts w:ascii="Times New Roman" w:hAnsi="Times New Roman" w:cs="Times New Roman"/>
          <w:szCs w:val="22"/>
        </w:rPr>
        <w:t xml:space="preserve"> used to obtain</w:t>
      </w:r>
      <w:r w:rsidR="00DA4C7E">
        <w:rPr>
          <w:rFonts w:ascii="Times New Roman" w:hAnsi="Times New Roman" w:cs="Times New Roman"/>
          <w:szCs w:val="22"/>
        </w:rPr>
        <w:t xml:space="preserve"> the</w:t>
      </w:r>
      <w:r w:rsidR="001C5298" w:rsidRPr="00AC18ED">
        <w:rPr>
          <w:rFonts w:ascii="Times New Roman" w:hAnsi="Times New Roman" w:cs="Times New Roman"/>
          <w:szCs w:val="22"/>
        </w:rPr>
        <w:t xml:space="preserve"> </w:t>
      </w:r>
      <w:r w:rsidR="00DA4C7E" w:rsidRPr="00AC18ED">
        <w:rPr>
          <w:rFonts w:ascii="Times New Roman" w:hAnsi="Times New Roman" w:cs="Times New Roman"/>
          <w:szCs w:val="22"/>
        </w:rPr>
        <w:t xml:space="preserve">average </w:t>
      </w:r>
      <w:r w:rsidR="00DA4C7E">
        <w:rPr>
          <w:rFonts w:ascii="Times New Roman" w:hAnsi="Times New Roman" w:cs="Times New Roman"/>
          <w:szCs w:val="22"/>
        </w:rPr>
        <w:t xml:space="preserve">number of </w:t>
      </w:r>
      <w:r w:rsidR="00DA4C7E" w:rsidRPr="00AC18ED">
        <w:rPr>
          <w:rFonts w:ascii="Times New Roman" w:hAnsi="Times New Roman" w:cs="Times New Roman"/>
          <w:szCs w:val="22"/>
        </w:rPr>
        <w:t xml:space="preserve">vehicles on all roads </w:t>
      </w:r>
      <w:r w:rsidR="00DA4C7E">
        <w:rPr>
          <w:rFonts w:ascii="Times New Roman" w:hAnsi="Times New Roman" w:cs="Times New Roman"/>
          <w:szCs w:val="22"/>
        </w:rPr>
        <w:t xml:space="preserve">on a one-hour and 24-hour basis. </w:t>
      </w:r>
    </w:p>
    <w:p w14:paraId="1A978418" w14:textId="7A99109A" w:rsidR="001C5298" w:rsidRPr="00AC18ED" w:rsidRDefault="001C5298" w:rsidP="00AC18ED">
      <w:pPr>
        <w:spacing w:after="120" w:line="276" w:lineRule="auto"/>
        <w:jc w:val="both"/>
        <w:rPr>
          <w:rFonts w:ascii="Times New Roman" w:hAnsi="Times New Roman" w:cs="Times New Roman"/>
          <w:szCs w:val="22"/>
        </w:rPr>
      </w:pPr>
      <w:r w:rsidRPr="00AC18ED">
        <w:rPr>
          <w:rFonts w:ascii="Times New Roman" w:hAnsi="Times New Roman" w:cs="Times New Roman"/>
          <w:szCs w:val="22"/>
        </w:rPr>
        <w:t>Traf</w:t>
      </w:r>
      <w:r w:rsidR="00CE1AC6" w:rsidRPr="00AC18ED">
        <w:rPr>
          <w:rFonts w:ascii="Times New Roman" w:hAnsi="Times New Roman" w:cs="Times New Roman"/>
          <w:szCs w:val="22"/>
        </w:rPr>
        <w:t xml:space="preserve">fic video footage for </w:t>
      </w:r>
      <w:r w:rsidR="00DA4C7E">
        <w:rPr>
          <w:rFonts w:ascii="Times New Roman" w:hAnsi="Times New Roman" w:cs="Times New Roman"/>
          <w:szCs w:val="22"/>
        </w:rPr>
        <w:t xml:space="preserve">the </w:t>
      </w:r>
      <w:r w:rsidR="00CE1AC6" w:rsidRPr="00AC18ED">
        <w:rPr>
          <w:rFonts w:ascii="Times New Roman" w:hAnsi="Times New Roman" w:cs="Times New Roman"/>
          <w:szCs w:val="22"/>
        </w:rPr>
        <w:t xml:space="preserve">year </w:t>
      </w:r>
      <w:r w:rsidR="00CE1AC6" w:rsidRPr="00B60570">
        <w:rPr>
          <w:rFonts w:ascii="Times New Roman" w:hAnsi="Times New Roman" w:cs="Times New Roman"/>
          <w:szCs w:val="22"/>
        </w:rPr>
        <w:t>2010</w:t>
      </w:r>
      <w:r w:rsidR="00031ECF" w:rsidRPr="00B60570">
        <w:rPr>
          <w:rFonts w:ascii="Times New Roman" w:hAnsi="Times New Roman" w:cs="Times New Roman"/>
          <w:szCs w:val="22"/>
        </w:rPr>
        <w:t xml:space="preserve"> (KTP</w:t>
      </w:r>
      <w:r w:rsidR="00B656AA" w:rsidRPr="00B60570">
        <w:rPr>
          <w:rFonts w:ascii="Times New Roman" w:hAnsi="Times New Roman" w:cs="Times New Roman"/>
          <w:szCs w:val="22"/>
        </w:rPr>
        <w:t>,</w:t>
      </w:r>
      <w:r w:rsidR="00031ECF" w:rsidRPr="00B60570">
        <w:rPr>
          <w:rFonts w:ascii="Times New Roman" w:hAnsi="Times New Roman" w:cs="Times New Roman"/>
          <w:szCs w:val="22"/>
        </w:rPr>
        <w:t xml:space="preserve"> 2010)</w:t>
      </w:r>
      <w:r w:rsidRPr="00B60570">
        <w:rPr>
          <w:rFonts w:ascii="Times New Roman" w:hAnsi="Times New Roman" w:cs="Times New Roman"/>
          <w:szCs w:val="22"/>
        </w:rPr>
        <w:t xml:space="preserve"> </w:t>
      </w:r>
      <w:r w:rsidR="00DA4C7E" w:rsidRPr="00B60570">
        <w:rPr>
          <w:rFonts w:ascii="Times New Roman" w:hAnsi="Times New Roman" w:cs="Times New Roman"/>
          <w:szCs w:val="22"/>
        </w:rPr>
        <w:t xml:space="preserve">was </w:t>
      </w:r>
      <w:r w:rsidRPr="00B60570">
        <w:rPr>
          <w:rFonts w:ascii="Times New Roman" w:hAnsi="Times New Roman" w:cs="Times New Roman"/>
          <w:szCs w:val="22"/>
        </w:rPr>
        <w:t xml:space="preserve">thoroughly </w:t>
      </w:r>
      <w:r w:rsidRPr="00AC18ED">
        <w:rPr>
          <w:rFonts w:ascii="Times New Roman" w:hAnsi="Times New Roman" w:cs="Times New Roman"/>
          <w:szCs w:val="22"/>
        </w:rPr>
        <w:t xml:space="preserve">studied </w:t>
      </w:r>
      <w:r w:rsidR="009161FE">
        <w:rPr>
          <w:rFonts w:ascii="Times New Roman" w:hAnsi="Times New Roman" w:cs="Times New Roman"/>
          <w:szCs w:val="22"/>
        </w:rPr>
        <w:t xml:space="preserve">to estimate </w:t>
      </w:r>
      <w:r w:rsidR="00DA4C7E" w:rsidRPr="00AC18ED">
        <w:rPr>
          <w:rFonts w:ascii="Times New Roman" w:hAnsi="Times New Roman" w:cs="Times New Roman"/>
          <w:szCs w:val="22"/>
        </w:rPr>
        <w:t>on</w:t>
      </w:r>
      <w:r w:rsidR="00DA4C7E">
        <w:rPr>
          <w:rFonts w:ascii="Times New Roman" w:hAnsi="Times New Roman" w:cs="Times New Roman"/>
          <w:szCs w:val="22"/>
        </w:rPr>
        <w:t>-</w:t>
      </w:r>
      <w:r w:rsidRPr="00AC18ED">
        <w:rPr>
          <w:rFonts w:ascii="Times New Roman" w:hAnsi="Times New Roman" w:cs="Times New Roman"/>
          <w:szCs w:val="22"/>
        </w:rPr>
        <w:t xml:space="preserve">road vehicles on </w:t>
      </w:r>
      <w:r w:rsidR="009161FE">
        <w:rPr>
          <w:rFonts w:ascii="Times New Roman" w:hAnsi="Times New Roman" w:cs="Times New Roman"/>
          <w:szCs w:val="22"/>
        </w:rPr>
        <w:t xml:space="preserve">the </w:t>
      </w:r>
      <w:r w:rsidRPr="00AC18ED">
        <w:rPr>
          <w:rFonts w:ascii="Times New Roman" w:hAnsi="Times New Roman" w:cs="Times New Roman"/>
          <w:szCs w:val="22"/>
        </w:rPr>
        <w:t xml:space="preserve">major roads and crossings of Kolkata on </w:t>
      </w:r>
      <w:r w:rsidR="00DA4C7E">
        <w:rPr>
          <w:rFonts w:ascii="Times New Roman" w:hAnsi="Times New Roman" w:cs="Times New Roman"/>
          <w:szCs w:val="22"/>
        </w:rPr>
        <w:t xml:space="preserve">the </w:t>
      </w:r>
      <w:r w:rsidRPr="00AC18ED">
        <w:rPr>
          <w:rFonts w:ascii="Times New Roman" w:hAnsi="Times New Roman" w:cs="Times New Roman"/>
          <w:szCs w:val="22"/>
        </w:rPr>
        <w:t xml:space="preserve">basis of </w:t>
      </w:r>
      <w:r w:rsidR="00DA4C7E">
        <w:rPr>
          <w:rFonts w:ascii="Times New Roman" w:hAnsi="Times New Roman" w:cs="Times New Roman"/>
          <w:szCs w:val="22"/>
        </w:rPr>
        <w:t xml:space="preserve">a </w:t>
      </w:r>
      <w:r w:rsidRPr="00AC18ED">
        <w:rPr>
          <w:rFonts w:ascii="Times New Roman" w:hAnsi="Times New Roman" w:cs="Times New Roman"/>
          <w:szCs w:val="22"/>
        </w:rPr>
        <w:t>12-</w:t>
      </w:r>
      <w:r w:rsidR="00DA4C7E" w:rsidRPr="00AC18ED">
        <w:rPr>
          <w:rFonts w:ascii="Times New Roman" w:hAnsi="Times New Roman" w:cs="Times New Roman"/>
          <w:szCs w:val="22"/>
        </w:rPr>
        <w:t>hou</w:t>
      </w:r>
      <w:r w:rsidR="00DA4C7E">
        <w:rPr>
          <w:rFonts w:ascii="Times New Roman" w:hAnsi="Times New Roman" w:cs="Times New Roman"/>
          <w:szCs w:val="22"/>
        </w:rPr>
        <w:t>r</w:t>
      </w:r>
      <w:r w:rsidR="00DA4C7E" w:rsidRPr="00AC18ED">
        <w:rPr>
          <w:rFonts w:ascii="Times New Roman" w:hAnsi="Times New Roman" w:cs="Times New Roman"/>
          <w:szCs w:val="22"/>
        </w:rPr>
        <w:t xml:space="preserve"> </w:t>
      </w:r>
      <w:r w:rsidRPr="00AC18ED">
        <w:rPr>
          <w:rFonts w:ascii="Times New Roman" w:hAnsi="Times New Roman" w:cs="Times New Roman"/>
          <w:szCs w:val="22"/>
        </w:rPr>
        <w:t>survey. The on-road vehicle number</w:t>
      </w:r>
      <w:r w:rsidR="009161FE">
        <w:rPr>
          <w:rFonts w:ascii="Times New Roman" w:hAnsi="Times New Roman" w:cs="Times New Roman"/>
          <w:szCs w:val="22"/>
        </w:rPr>
        <w:t>s</w:t>
      </w:r>
      <w:r w:rsidRPr="00AC18ED">
        <w:rPr>
          <w:rFonts w:ascii="Times New Roman" w:hAnsi="Times New Roman" w:cs="Times New Roman"/>
          <w:szCs w:val="22"/>
        </w:rPr>
        <w:t xml:space="preserve"> thus obtained </w:t>
      </w:r>
      <w:r w:rsidR="009161FE" w:rsidRPr="00AC18ED">
        <w:rPr>
          <w:rFonts w:ascii="Times New Roman" w:hAnsi="Times New Roman" w:cs="Times New Roman"/>
          <w:szCs w:val="22"/>
        </w:rPr>
        <w:t>w</w:t>
      </w:r>
      <w:r w:rsidR="009161FE">
        <w:rPr>
          <w:rFonts w:ascii="Times New Roman" w:hAnsi="Times New Roman" w:cs="Times New Roman"/>
          <w:szCs w:val="22"/>
        </w:rPr>
        <w:t xml:space="preserve">ere </w:t>
      </w:r>
      <w:r w:rsidRPr="00AC18ED">
        <w:rPr>
          <w:rFonts w:ascii="Times New Roman" w:hAnsi="Times New Roman" w:cs="Times New Roman"/>
          <w:szCs w:val="22"/>
        </w:rPr>
        <w:t xml:space="preserve">used </w:t>
      </w:r>
      <w:r w:rsidR="009161FE">
        <w:rPr>
          <w:rFonts w:ascii="Times New Roman" w:hAnsi="Times New Roman" w:cs="Times New Roman"/>
          <w:szCs w:val="22"/>
        </w:rPr>
        <w:t>to calculate</w:t>
      </w:r>
      <w:r w:rsidRPr="00AC18ED">
        <w:rPr>
          <w:rFonts w:ascii="Times New Roman" w:hAnsi="Times New Roman" w:cs="Times New Roman"/>
          <w:szCs w:val="22"/>
        </w:rPr>
        <w:t xml:space="preserve"> </w:t>
      </w:r>
      <w:r w:rsidR="00DA4C7E">
        <w:rPr>
          <w:rFonts w:ascii="Times New Roman" w:hAnsi="Times New Roman" w:cs="Times New Roman"/>
          <w:szCs w:val="22"/>
        </w:rPr>
        <w:t xml:space="preserve">the </w:t>
      </w:r>
      <w:r w:rsidRPr="00AC18ED">
        <w:rPr>
          <w:rFonts w:ascii="Times New Roman" w:hAnsi="Times New Roman" w:cs="Times New Roman"/>
          <w:szCs w:val="22"/>
        </w:rPr>
        <w:t>hourly average number of different vehicles</w:t>
      </w:r>
      <w:r w:rsidR="00FA7846">
        <w:rPr>
          <w:rFonts w:ascii="Times New Roman" w:hAnsi="Times New Roman" w:cs="Times New Roman"/>
          <w:szCs w:val="22"/>
        </w:rPr>
        <w:t xml:space="preserve"> and to estimate fleet distribution</w:t>
      </w:r>
      <w:r w:rsidRPr="00AC18ED">
        <w:rPr>
          <w:rFonts w:ascii="Times New Roman" w:hAnsi="Times New Roman" w:cs="Times New Roman"/>
          <w:szCs w:val="22"/>
        </w:rPr>
        <w:t>.</w:t>
      </w:r>
      <w:r w:rsidR="009B4861" w:rsidRPr="00AC18ED">
        <w:rPr>
          <w:rFonts w:ascii="Times New Roman" w:hAnsi="Times New Roman" w:cs="Times New Roman"/>
          <w:szCs w:val="22"/>
        </w:rPr>
        <w:t xml:space="preserve"> </w:t>
      </w:r>
      <w:r w:rsidRPr="00AC18ED">
        <w:rPr>
          <w:rFonts w:ascii="Times New Roman" w:hAnsi="Times New Roman" w:cs="Times New Roman"/>
          <w:szCs w:val="22"/>
        </w:rPr>
        <w:t xml:space="preserve">The </w:t>
      </w:r>
      <w:r w:rsidR="00DA4C7E">
        <w:rPr>
          <w:rFonts w:ascii="Times New Roman" w:hAnsi="Times New Roman" w:cs="Times New Roman"/>
          <w:szCs w:val="22"/>
        </w:rPr>
        <w:t xml:space="preserve">average </w:t>
      </w:r>
      <w:r w:rsidRPr="00AC18ED">
        <w:rPr>
          <w:rFonts w:ascii="Times New Roman" w:hAnsi="Times New Roman" w:cs="Times New Roman"/>
          <w:szCs w:val="22"/>
        </w:rPr>
        <w:t>trend of on</w:t>
      </w:r>
      <w:r w:rsidR="00DA4C7E">
        <w:rPr>
          <w:rFonts w:ascii="Times New Roman" w:hAnsi="Times New Roman" w:cs="Times New Roman"/>
          <w:szCs w:val="22"/>
        </w:rPr>
        <w:t>-</w:t>
      </w:r>
      <w:r w:rsidRPr="00AC18ED">
        <w:rPr>
          <w:rFonts w:ascii="Times New Roman" w:hAnsi="Times New Roman" w:cs="Times New Roman"/>
          <w:szCs w:val="22"/>
        </w:rPr>
        <w:t>road vehicle numbers throughout 2005</w:t>
      </w:r>
      <w:r w:rsidR="00DA4C7E">
        <w:rPr>
          <w:rFonts w:ascii="Times New Roman" w:hAnsi="Times New Roman" w:cs="Times New Roman"/>
          <w:szCs w:val="22"/>
        </w:rPr>
        <w:t>–</w:t>
      </w:r>
      <w:r w:rsidRPr="00AC18ED">
        <w:rPr>
          <w:rFonts w:ascii="Times New Roman" w:hAnsi="Times New Roman" w:cs="Times New Roman"/>
          <w:szCs w:val="22"/>
        </w:rPr>
        <w:t xml:space="preserve">2015 is </w:t>
      </w:r>
      <w:r w:rsidR="00DA4C7E">
        <w:rPr>
          <w:rFonts w:ascii="Times New Roman" w:hAnsi="Times New Roman" w:cs="Times New Roman"/>
          <w:szCs w:val="22"/>
        </w:rPr>
        <w:t>shown</w:t>
      </w:r>
      <w:r w:rsidR="00DA4C7E" w:rsidRPr="00AC18ED">
        <w:rPr>
          <w:rFonts w:ascii="Times New Roman" w:hAnsi="Times New Roman" w:cs="Times New Roman"/>
          <w:szCs w:val="22"/>
        </w:rPr>
        <w:t xml:space="preserve"> </w:t>
      </w:r>
      <w:r w:rsidRPr="00AC18ED">
        <w:rPr>
          <w:rFonts w:ascii="Times New Roman" w:hAnsi="Times New Roman" w:cs="Times New Roman"/>
          <w:szCs w:val="22"/>
        </w:rPr>
        <w:t>below.</w:t>
      </w:r>
    </w:p>
    <w:p w14:paraId="41B34C68" w14:textId="5D1EE100" w:rsidR="009B4861" w:rsidRPr="00AC18ED" w:rsidRDefault="009B4861" w:rsidP="00AC18ED">
      <w:pPr>
        <w:spacing w:after="120" w:line="276" w:lineRule="auto"/>
        <w:jc w:val="both"/>
        <w:rPr>
          <w:rFonts w:ascii="Times New Roman" w:hAnsi="Times New Roman" w:cs="Times New Roman"/>
          <w:b/>
          <w:szCs w:val="22"/>
        </w:rPr>
      </w:pPr>
      <w:r w:rsidRPr="00AC18ED">
        <w:rPr>
          <w:rFonts w:ascii="Times New Roman" w:hAnsi="Times New Roman" w:cs="Times New Roman"/>
          <w:b/>
          <w:szCs w:val="22"/>
        </w:rPr>
        <w:t xml:space="preserve">Table S2: </w:t>
      </w:r>
      <w:r w:rsidR="00985763" w:rsidRPr="00AC18ED">
        <w:rPr>
          <w:rFonts w:ascii="Times New Roman" w:hAnsi="Times New Roman" w:cs="Times New Roman"/>
          <w:b/>
          <w:szCs w:val="22"/>
        </w:rPr>
        <w:t>Fleet composition</w:t>
      </w:r>
      <w:r w:rsidRPr="00AC18ED">
        <w:rPr>
          <w:rFonts w:ascii="Times New Roman" w:hAnsi="Times New Roman" w:cs="Times New Roman"/>
          <w:b/>
          <w:szCs w:val="22"/>
        </w:rPr>
        <w:t xml:space="preserve"> in </w:t>
      </w:r>
      <w:r w:rsidR="00A7166F">
        <w:rPr>
          <w:rFonts w:ascii="Times New Roman" w:hAnsi="Times New Roman" w:cs="Times New Roman"/>
          <w:b/>
          <w:szCs w:val="22"/>
        </w:rPr>
        <w:t>KMC</w:t>
      </w:r>
      <w:r w:rsidR="00985763" w:rsidRPr="00AC18ED">
        <w:rPr>
          <w:rFonts w:ascii="Times New Roman" w:hAnsi="Times New Roman" w:cs="Times New Roman"/>
          <w:b/>
          <w:szCs w:val="22"/>
        </w:rPr>
        <w:t xml:space="preserve"> road</w:t>
      </w:r>
    </w:p>
    <w:tbl>
      <w:tblPr>
        <w:tblW w:w="9090" w:type="dxa"/>
        <w:tblInd w:w="-5" w:type="dxa"/>
        <w:tblLook w:val="04A0" w:firstRow="1" w:lastRow="0" w:firstColumn="1" w:lastColumn="0" w:noHBand="0" w:noVBand="1"/>
      </w:tblPr>
      <w:tblGrid>
        <w:gridCol w:w="1276"/>
        <w:gridCol w:w="1843"/>
        <w:gridCol w:w="1134"/>
        <w:gridCol w:w="1417"/>
        <w:gridCol w:w="1843"/>
        <w:gridCol w:w="1577"/>
      </w:tblGrid>
      <w:tr w:rsidR="001C5298" w:rsidRPr="00AC18ED" w14:paraId="121DA8D4" w14:textId="77777777" w:rsidTr="009B4861">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71AC2" w14:textId="77777777" w:rsidR="001C5298" w:rsidRPr="00AC18ED" w:rsidRDefault="001C5298" w:rsidP="00AC18ED">
            <w:pPr>
              <w:spacing w:after="0" w:line="240" w:lineRule="auto"/>
              <w:jc w:val="center"/>
              <w:rPr>
                <w:rFonts w:ascii="Times New Roman" w:hAnsi="Times New Roman" w:cs="Times New Roman"/>
                <w:b/>
                <w:color w:val="000000"/>
                <w:szCs w:val="22"/>
              </w:rPr>
            </w:pPr>
            <w:r w:rsidRPr="00AC18ED">
              <w:rPr>
                <w:rFonts w:ascii="Times New Roman" w:hAnsi="Times New Roman" w:cs="Times New Roman"/>
                <w:b/>
                <w:color w:val="000000"/>
                <w:szCs w:val="22"/>
              </w:rPr>
              <w:t>Year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81A4A4F" w14:textId="77777777" w:rsidR="001C5298" w:rsidRPr="00AC18ED" w:rsidRDefault="001C5298" w:rsidP="00AC18ED">
            <w:pPr>
              <w:spacing w:after="0" w:line="240" w:lineRule="auto"/>
              <w:jc w:val="center"/>
              <w:rPr>
                <w:rFonts w:ascii="Times New Roman" w:hAnsi="Times New Roman" w:cs="Times New Roman"/>
                <w:b/>
                <w:color w:val="000000"/>
                <w:szCs w:val="22"/>
              </w:rPr>
            </w:pPr>
            <w:r w:rsidRPr="00AC18ED">
              <w:rPr>
                <w:rFonts w:ascii="Times New Roman" w:hAnsi="Times New Roman" w:cs="Times New Roman"/>
                <w:b/>
                <w:color w:val="000000"/>
                <w:szCs w:val="22"/>
              </w:rPr>
              <w:t xml:space="preserve">2W </w:t>
            </w:r>
          </w:p>
          <w:p w14:paraId="03A19DA2" w14:textId="04AA9CFD" w:rsidR="001C5298" w:rsidRPr="00AC18ED" w:rsidRDefault="001C5298" w:rsidP="00AC18ED">
            <w:pPr>
              <w:spacing w:after="0" w:line="240" w:lineRule="auto"/>
              <w:jc w:val="center"/>
              <w:rPr>
                <w:rFonts w:ascii="Times New Roman" w:hAnsi="Times New Roman" w:cs="Times New Roman"/>
                <w:b/>
                <w:color w:val="000000"/>
                <w:szCs w:val="22"/>
              </w:rPr>
            </w:pPr>
            <w:r w:rsidRPr="00AC18ED">
              <w:rPr>
                <w:rFonts w:ascii="Times New Roman" w:hAnsi="Times New Roman" w:cs="Times New Roman"/>
                <w:b/>
                <w:color w:val="000000"/>
                <w:szCs w:val="22"/>
              </w:rPr>
              <w:t>(bike+scooter)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A28F6AA" w14:textId="77777777" w:rsidR="001C5298" w:rsidRPr="00AC18ED" w:rsidRDefault="001C5298" w:rsidP="00AC18ED">
            <w:pPr>
              <w:spacing w:after="0" w:line="240" w:lineRule="auto"/>
              <w:jc w:val="center"/>
              <w:rPr>
                <w:rFonts w:ascii="Times New Roman" w:hAnsi="Times New Roman" w:cs="Times New Roman"/>
                <w:b/>
                <w:color w:val="000000"/>
                <w:szCs w:val="22"/>
              </w:rPr>
            </w:pPr>
            <w:r w:rsidRPr="00AC18ED">
              <w:rPr>
                <w:rFonts w:ascii="Times New Roman" w:hAnsi="Times New Roman" w:cs="Times New Roman"/>
                <w:b/>
                <w:color w:val="000000"/>
                <w:szCs w:val="22"/>
              </w:rPr>
              <w:t xml:space="preserve">3W </w:t>
            </w:r>
          </w:p>
          <w:p w14:paraId="408BB50B" w14:textId="77777777" w:rsidR="001C5298" w:rsidRPr="00AC18ED" w:rsidRDefault="001C5298" w:rsidP="00AC18ED">
            <w:pPr>
              <w:spacing w:after="0" w:line="240" w:lineRule="auto"/>
              <w:jc w:val="center"/>
              <w:rPr>
                <w:rFonts w:ascii="Times New Roman" w:hAnsi="Times New Roman" w:cs="Times New Roman"/>
                <w:b/>
                <w:color w:val="000000"/>
                <w:szCs w:val="22"/>
              </w:rPr>
            </w:pPr>
            <w:r w:rsidRPr="00AC18ED">
              <w:rPr>
                <w:rFonts w:ascii="Times New Roman" w:hAnsi="Times New Roman" w:cs="Times New Roman"/>
                <w:b/>
                <w:color w:val="000000"/>
                <w:szCs w:val="22"/>
              </w:rPr>
              <w:t>(auto)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AD464E" w14:textId="77777777" w:rsidR="001C5298" w:rsidRPr="00AC18ED" w:rsidRDefault="001C5298" w:rsidP="00AC18ED">
            <w:pPr>
              <w:spacing w:after="0" w:line="240" w:lineRule="auto"/>
              <w:jc w:val="center"/>
              <w:rPr>
                <w:rFonts w:ascii="Times New Roman" w:hAnsi="Times New Roman" w:cs="Times New Roman"/>
                <w:b/>
                <w:color w:val="000000"/>
                <w:szCs w:val="22"/>
              </w:rPr>
            </w:pPr>
            <w:r w:rsidRPr="00AC18ED">
              <w:rPr>
                <w:rFonts w:ascii="Times New Roman" w:hAnsi="Times New Roman" w:cs="Times New Roman"/>
                <w:b/>
                <w:color w:val="000000"/>
                <w:szCs w:val="22"/>
              </w:rPr>
              <w:t xml:space="preserve">4W </w:t>
            </w:r>
          </w:p>
          <w:p w14:paraId="746EF9F8" w14:textId="20553D2D" w:rsidR="001C5298" w:rsidRPr="00AC18ED" w:rsidRDefault="001C5298" w:rsidP="00AC18ED">
            <w:pPr>
              <w:spacing w:after="0" w:line="240" w:lineRule="auto"/>
              <w:jc w:val="center"/>
              <w:rPr>
                <w:rFonts w:ascii="Times New Roman" w:hAnsi="Times New Roman" w:cs="Times New Roman"/>
                <w:b/>
                <w:color w:val="000000"/>
                <w:szCs w:val="22"/>
              </w:rPr>
            </w:pPr>
            <w:r w:rsidRPr="00AC18ED">
              <w:rPr>
                <w:rFonts w:ascii="Times New Roman" w:hAnsi="Times New Roman" w:cs="Times New Roman"/>
                <w:b/>
                <w:color w:val="000000"/>
                <w:szCs w:val="22"/>
              </w:rPr>
              <w:t>(car+</w:t>
            </w:r>
            <w:r w:rsidR="00DA4C7E">
              <w:rPr>
                <w:rFonts w:ascii="Times New Roman" w:hAnsi="Times New Roman" w:cs="Times New Roman"/>
                <w:b/>
                <w:color w:val="000000"/>
                <w:szCs w:val="22"/>
              </w:rPr>
              <w:t>t</w:t>
            </w:r>
            <w:r w:rsidR="00DA4C7E" w:rsidRPr="00AC18ED">
              <w:rPr>
                <w:rFonts w:ascii="Times New Roman" w:hAnsi="Times New Roman" w:cs="Times New Roman"/>
                <w:b/>
                <w:color w:val="000000"/>
                <w:szCs w:val="22"/>
              </w:rPr>
              <w:t>axi</w:t>
            </w:r>
            <w:r w:rsidRPr="00AC18ED">
              <w:rPr>
                <w:rFonts w:ascii="Times New Roman" w:hAnsi="Times New Roman" w:cs="Times New Roman"/>
                <w:b/>
                <w:color w:val="000000"/>
                <w:szCs w:val="22"/>
              </w:rPr>
              <w: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078A4EA" w14:textId="77777777" w:rsidR="001C5298" w:rsidRPr="00AC18ED" w:rsidRDefault="001C5298" w:rsidP="00AC18ED">
            <w:pPr>
              <w:spacing w:after="0" w:line="240" w:lineRule="auto"/>
              <w:jc w:val="center"/>
              <w:rPr>
                <w:rFonts w:ascii="Times New Roman" w:hAnsi="Times New Roman" w:cs="Times New Roman"/>
                <w:b/>
                <w:color w:val="000000"/>
                <w:szCs w:val="22"/>
              </w:rPr>
            </w:pPr>
            <w:r w:rsidRPr="00AC18ED">
              <w:rPr>
                <w:rFonts w:ascii="Times New Roman" w:hAnsi="Times New Roman" w:cs="Times New Roman"/>
                <w:b/>
                <w:color w:val="000000"/>
                <w:szCs w:val="22"/>
              </w:rPr>
              <w:t>Bus</w:t>
            </w:r>
          </w:p>
          <w:p w14:paraId="0F5B8EBC" w14:textId="77777777" w:rsidR="001C5298" w:rsidRPr="00AC18ED" w:rsidRDefault="001C5298" w:rsidP="00AC18ED">
            <w:pPr>
              <w:spacing w:after="0" w:line="240" w:lineRule="auto"/>
              <w:jc w:val="center"/>
              <w:rPr>
                <w:rFonts w:ascii="Times New Roman" w:hAnsi="Times New Roman" w:cs="Times New Roman"/>
                <w:b/>
                <w:color w:val="000000"/>
                <w:szCs w:val="22"/>
              </w:rPr>
            </w:pPr>
            <w:r w:rsidRPr="00AC18ED">
              <w:rPr>
                <w:rFonts w:ascii="Times New Roman" w:hAnsi="Times New Roman" w:cs="Times New Roman"/>
                <w:b/>
                <w:color w:val="000000"/>
                <w:szCs w:val="22"/>
              </w:rPr>
              <w:t xml:space="preserve"> (large+ small)</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467F8116" w14:textId="77777777" w:rsidR="001C5298" w:rsidRPr="00AC18ED" w:rsidRDefault="001C5298" w:rsidP="00AC18ED">
            <w:pPr>
              <w:spacing w:after="0" w:line="240" w:lineRule="auto"/>
              <w:jc w:val="center"/>
              <w:rPr>
                <w:rFonts w:ascii="Times New Roman" w:hAnsi="Times New Roman" w:cs="Times New Roman"/>
                <w:b/>
                <w:color w:val="000000"/>
                <w:szCs w:val="22"/>
              </w:rPr>
            </w:pPr>
            <w:r w:rsidRPr="00AC18ED">
              <w:rPr>
                <w:rFonts w:ascii="Times New Roman" w:hAnsi="Times New Roman" w:cs="Times New Roman"/>
                <w:b/>
                <w:color w:val="000000"/>
                <w:szCs w:val="22"/>
              </w:rPr>
              <w:t xml:space="preserve">Truck </w:t>
            </w:r>
          </w:p>
          <w:p w14:paraId="24880B13" w14:textId="77777777" w:rsidR="001C5298" w:rsidRPr="00AC18ED" w:rsidRDefault="001C5298" w:rsidP="00AC18ED">
            <w:pPr>
              <w:spacing w:after="0" w:line="240" w:lineRule="auto"/>
              <w:jc w:val="center"/>
              <w:rPr>
                <w:rFonts w:ascii="Times New Roman" w:hAnsi="Times New Roman" w:cs="Times New Roman"/>
                <w:b/>
                <w:color w:val="000000"/>
                <w:szCs w:val="22"/>
              </w:rPr>
            </w:pPr>
            <w:r w:rsidRPr="00AC18ED">
              <w:rPr>
                <w:rFonts w:ascii="Times New Roman" w:hAnsi="Times New Roman" w:cs="Times New Roman"/>
                <w:b/>
                <w:color w:val="000000"/>
                <w:szCs w:val="22"/>
              </w:rPr>
              <w:t>(large + small)</w:t>
            </w:r>
          </w:p>
        </w:tc>
      </w:tr>
      <w:tr w:rsidR="001C5298" w:rsidRPr="00AC18ED" w14:paraId="68F00224" w14:textId="77777777" w:rsidTr="009B4861">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6E28716"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2005</w:t>
            </w:r>
            <w:r w:rsidR="00A32581" w:rsidRPr="00AC18ED">
              <w:rPr>
                <w:rFonts w:ascii="Times New Roman" w:hAnsi="Times New Roman" w:cs="Times New Roman"/>
                <w:color w:val="000000"/>
                <w:szCs w:val="22"/>
                <w:vertAlign w:val="superscript"/>
              </w:rPr>
              <w:t>a</w:t>
            </w:r>
          </w:p>
        </w:tc>
        <w:tc>
          <w:tcPr>
            <w:tcW w:w="1843" w:type="dxa"/>
            <w:tcBorders>
              <w:top w:val="nil"/>
              <w:left w:val="nil"/>
              <w:bottom w:val="single" w:sz="4" w:space="0" w:color="auto"/>
              <w:right w:val="single" w:sz="4" w:space="0" w:color="auto"/>
            </w:tcBorders>
            <w:shd w:val="clear" w:color="auto" w:fill="auto"/>
            <w:noWrap/>
            <w:vAlign w:val="bottom"/>
            <w:hideMark/>
          </w:tcPr>
          <w:p w14:paraId="0B652811"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16%</w:t>
            </w:r>
          </w:p>
        </w:tc>
        <w:tc>
          <w:tcPr>
            <w:tcW w:w="1134" w:type="dxa"/>
            <w:tcBorders>
              <w:top w:val="nil"/>
              <w:left w:val="nil"/>
              <w:bottom w:val="single" w:sz="4" w:space="0" w:color="auto"/>
              <w:right w:val="single" w:sz="4" w:space="0" w:color="auto"/>
            </w:tcBorders>
            <w:shd w:val="clear" w:color="auto" w:fill="auto"/>
            <w:noWrap/>
            <w:vAlign w:val="bottom"/>
            <w:hideMark/>
          </w:tcPr>
          <w:p w14:paraId="42BEDC2F"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7%</w:t>
            </w:r>
          </w:p>
        </w:tc>
        <w:tc>
          <w:tcPr>
            <w:tcW w:w="1417" w:type="dxa"/>
            <w:tcBorders>
              <w:top w:val="nil"/>
              <w:left w:val="nil"/>
              <w:bottom w:val="single" w:sz="4" w:space="0" w:color="auto"/>
              <w:right w:val="single" w:sz="4" w:space="0" w:color="auto"/>
            </w:tcBorders>
            <w:shd w:val="clear" w:color="auto" w:fill="auto"/>
            <w:noWrap/>
            <w:vAlign w:val="bottom"/>
            <w:hideMark/>
          </w:tcPr>
          <w:p w14:paraId="2F11BFE8"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56%</w:t>
            </w:r>
          </w:p>
        </w:tc>
        <w:tc>
          <w:tcPr>
            <w:tcW w:w="1843" w:type="dxa"/>
            <w:tcBorders>
              <w:top w:val="nil"/>
              <w:left w:val="nil"/>
              <w:bottom w:val="single" w:sz="4" w:space="0" w:color="auto"/>
              <w:right w:val="single" w:sz="4" w:space="0" w:color="auto"/>
            </w:tcBorders>
            <w:shd w:val="clear" w:color="auto" w:fill="auto"/>
            <w:noWrap/>
            <w:vAlign w:val="bottom"/>
            <w:hideMark/>
          </w:tcPr>
          <w:p w14:paraId="56FBF009"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9%</w:t>
            </w:r>
          </w:p>
        </w:tc>
        <w:tc>
          <w:tcPr>
            <w:tcW w:w="1577" w:type="dxa"/>
            <w:tcBorders>
              <w:top w:val="nil"/>
              <w:left w:val="nil"/>
              <w:bottom w:val="single" w:sz="4" w:space="0" w:color="auto"/>
              <w:right w:val="single" w:sz="4" w:space="0" w:color="auto"/>
            </w:tcBorders>
            <w:shd w:val="clear" w:color="auto" w:fill="auto"/>
            <w:noWrap/>
            <w:vAlign w:val="bottom"/>
            <w:hideMark/>
          </w:tcPr>
          <w:p w14:paraId="1A34716C"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11%</w:t>
            </w:r>
          </w:p>
        </w:tc>
      </w:tr>
      <w:tr w:rsidR="001C5298" w:rsidRPr="00AC18ED" w14:paraId="22A82C7F" w14:textId="77777777" w:rsidTr="009B4861">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A8F0AF9"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2010</w:t>
            </w:r>
            <w:r w:rsidR="00A32581" w:rsidRPr="00AC18ED">
              <w:rPr>
                <w:rFonts w:ascii="Times New Roman" w:hAnsi="Times New Roman" w:cs="Times New Roman"/>
                <w:color w:val="000000"/>
                <w:szCs w:val="22"/>
                <w:vertAlign w:val="superscript"/>
              </w:rPr>
              <w:t>b</w:t>
            </w:r>
          </w:p>
        </w:tc>
        <w:tc>
          <w:tcPr>
            <w:tcW w:w="1843" w:type="dxa"/>
            <w:tcBorders>
              <w:top w:val="nil"/>
              <w:left w:val="nil"/>
              <w:bottom w:val="single" w:sz="4" w:space="0" w:color="auto"/>
              <w:right w:val="single" w:sz="4" w:space="0" w:color="auto"/>
            </w:tcBorders>
            <w:shd w:val="clear" w:color="auto" w:fill="auto"/>
            <w:noWrap/>
            <w:vAlign w:val="bottom"/>
            <w:hideMark/>
          </w:tcPr>
          <w:p w14:paraId="3CA4E1E0"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18%</w:t>
            </w:r>
          </w:p>
        </w:tc>
        <w:tc>
          <w:tcPr>
            <w:tcW w:w="1134" w:type="dxa"/>
            <w:tcBorders>
              <w:top w:val="nil"/>
              <w:left w:val="nil"/>
              <w:bottom w:val="single" w:sz="4" w:space="0" w:color="auto"/>
              <w:right w:val="single" w:sz="4" w:space="0" w:color="auto"/>
            </w:tcBorders>
            <w:shd w:val="clear" w:color="auto" w:fill="auto"/>
            <w:noWrap/>
            <w:vAlign w:val="bottom"/>
            <w:hideMark/>
          </w:tcPr>
          <w:p w14:paraId="1C7A2C0A"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7%</w:t>
            </w:r>
          </w:p>
        </w:tc>
        <w:tc>
          <w:tcPr>
            <w:tcW w:w="1417" w:type="dxa"/>
            <w:tcBorders>
              <w:top w:val="nil"/>
              <w:left w:val="nil"/>
              <w:bottom w:val="single" w:sz="4" w:space="0" w:color="auto"/>
              <w:right w:val="single" w:sz="4" w:space="0" w:color="auto"/>
            </w:tcBorders>
            <w:shd w:val="clear" w:color="auto" w:fill="auto"/>
            <w:noWrap/>
            <w:vAlign w:val="bottom"/>
            <w:hideMark/>
          </w:tcPr>
          <w:p w14:paraId="15F8310F"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61%</w:t>
            </w:r>
          </w:p>
        </w:tc>
        <w:tc>
          <w:tcPr>
            <w:tcW w:w="1843" w:type="dxa"/>
            <w:tcBorders>
              <w:top w:val="nil"/>
              <w:left w:val="nil"/>
              <w:bottom w:val="single" w:sz="4" w:space="0" w:color="auto"/>
              <w:right w:val="single" w:sz="4" w:space="0" w:color="auto"/>
            </w:tcBorders>
            <w:shd w:val="clear" w:color="auto" w:fill="auto"/>
            <w:noWrap/>
            <w:vAlign w:val="bottom"/>
            <w:hideMark/>
          </w:tcPr>
          <w:p w14:paraId="6D7ED37B"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8%</w:t>
            </w:r>
          </w:p>
        </w:tc>
        <w:tc>
          <w:tcPr>
            <w:tcW w:w="1577" w:type="dxa"/>
            <w:tcBorders>
              <w:top w:val="nil"/>
              <w:left w:val="nil"/>
              <w:bottom w:val="single" w:sz="4" w:space="0" w:color="auto"/>
              <w:right w:val="single" w:sz="4" w:space="0" w:color="auto"/>
            </w:tcBorders>
            <w:shd w:val="clear" w:color="auto" w:fill="auto"/>
            <w:noWrap/>
            <w:vAlign w:val="bottom"/>
            <w:hideMark/>
          </w:tcPr>
          <w:p w14:paraId="3583F704"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5%</w:t>
            </w:r>
          </w:p>
        </w:tc>
      </w:tr>
      <w:tr w:rsidR="001C5298" w:rsidRPr="00AC18ED" w14:paraId="3712A825" w14:textId="77777777" w:rsidTr="009B4861">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8BFC806"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2015</w:t>
            </w:r>
            <w:r w:rsidR="00A32581" w:rsidRPr="00AC18ED">
              <w:rPr>
                <w:rFonts w:ascii="Times New Roman" w:hAnsi="Times New Roman" w:cs="Times New Roman"/>
                <w:color w:val="000000"/>
                <w:szCs w:val="22"/>
                <w:vertAlign w:val="superscript"/>
              </w:rPr>
              <w:t>c</w:t>
            </w:r>
          </w:p>
        </w:tc>
        <w:tc>
          <w:tcPr>
            <w:tcW w:w="1843" w:type="dxa"/>
            <w:tcBorders>
              <w:top w:val="nil"/>
              <w:left w:val="nil"/>
              <w:bottom w:val="single" w:sz="4" w:space="0" w:color="auto"/>
              <w:right w:val="single" w:sz="4" w:space="0" w:color="auto"/>
            </w:tcBorders>
            <w:shd w:val="clear" w:color="auto" w:fill="auto"/>
            <w:noWrap/>
            <w:vAlign w:val="bottom"/>
            <w:hideMark/>
          </w:tcPr>
          <w:p w14:paraId="60695762"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12%</w:t>
            </w:r>
          </w:p>
        </w:tc>
        <w:tc>
          <w:tcPr>
            <w:tcW w:w="1134" w:type="dxa"/>
            <w:tcBorders>
              <w:top w:val="nil"/>
              <w:left w:val="nil"/>
              <w:bottom w:val="single" w:sz="4" w:space="0" w:color="auto"/>
              <w:right w:val="single" w:sz="4" w:space="0" w:color="auto"/>
            </w:tcBorders>
            <w:shd w:val="clear" w:color="auto" w:fill="auto"/>
            <w:noWrap/>
            <w:vAlign w:val="bottom"/>
            <w:hideMark/>
          </w:tcPr>
          <w:p w14:paraId="444A3633"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9%</w:t>
            </w:r>
          </w:p>
        </w:tc>
        <w:tc>
          <w:tcPr>
            <w:tcW w:w="1417" w:type="dxa"/>
            <w:tcBorders>
              <w:top w:val="nil"/>
              <w:left w:val="nil"/>
              <w:bottom w:val="single" w:sz="4" w:space="0" w:color="auto"/>
              <w:right w:val="single" w:sz="4" w:space="0" w:color="auto"/>
            </w:tcBorders>
            <w:shd w:val="clear" w:color="auto" w:fill="auto"/>
            <w:noWrap/>
            <w:vAlign w:val="bottom"/>
            <w:hideMark/>
          </w:tcPr>
          <w:p w14:paraId="6E0E1612"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50%</w:t>
            </w:r>
          </w:p>
        </w:tc>
        <w:tc>
          <w:tcPr>
            <w:tcW w:w="1843" w:type="dxa"/>
            <w:tcBorders>
              <w:top w:val="nil"/>
              <w:left w:val="nil"/>
              <w:bottom w:val="single" w:sz="4" w:space="0" w:color="auto"/>
              <w:right w:val="single" w:sz="4" w:space="0" w:color="auto"/>
            </w:tcBorders>
            <w:shd w:val="clear" w:color="auto" w:fill="auto"/>
            <w:noWrap/>
            <w:vAlign w:val="bottom"/>
            <w:hideMark/>
          </w:tcPr>
          <w:p w14:paraId="2D719EAF"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22%</w:t>
            </w:r>
          </w:p>
        </w:tc>
        <w:tc>
          <w:tcPr>
            <w:tcW w:w="1577" w:type="dxa"/>
            <w:tcBorders>
              <w:top w:val="nil"/>
              <w:left w:val="nil"/>
              <w:bottom w:val="single" w:sz="4" w:space="0" w:color="auto"/>
              <w:right w:val="single" w:sz="4" w:space="0" w:color="auto"/>
            </w:tcBorders>
            <w:shd w:val="clear" w:color="auto" w:fill="auto"/>
            <w:noWrap/>
            <w:vAlign w:val="bottom"/>
            <w:hideMark/>
          </w:tcPr>
          <w:p w14:paraId="7AE17A02" w14:textId="77777777" w:rsidR="001C5298" w:rsidRPr="00AC18ED" w:rsidRDefault="001C5298" w:rsidP="00AC18ED">
            <w:pPr>
              <w:spacing w:after="0" w:line="240" w:lineRule="auto"/>
              <w:jc w:val="center"/>
              <w:rPr>
                <w:rFonts w:ascii="Times New Roman" w:hAnsi="Times New Roman" w:cs="Times New Roman"/>
                <w:color w:val="000000"/>
                <w:szCs w:val="22"/>
              </w:rPr>
            </w:pPr>
            <w:r w:rsidRPr="00AC18ED">
              <w:rPr>
                <w:rFonts w:ascii="Times New Roman" w:hAnsi="Times New Roman" w:cs="Times New Roman"/>
                <w:color w:val="000000"/>
                <w:szCs w:val="22"/>
              </w:rPr>
              <w:t>6%</w:t>
            </w:r>
          </w:p>
        </w:tc>
      </w:tr>
    </w:tbl>
    <w:p w14:paraId="61C97260" w14:textId="63CDB7D9" w:rsidR="005075A2" w:rsidRDefault="005075A2" w:rsidP="00AC18ED">
      <w:pPr>
        <w:spacing w:after="0" w:line="240" w:lineRule="auto"/>
        <w:jc w:val="both"/>
        <w:rPr>
          <w:rFonts w:ascii="Times New Roman" w:hAnsi="Times New Roman" w:cs="Times New Roman"/>
          <w:szCs w:val="22"/>
        </w:rPr>
      </w:pPr>
      <w:r w:rsidRPr="00AC18ED">
        <w:rPr>
          <w:rFonts w:ascii="Times New Roman" w:hAnsi="Times New Roman" w:cs="Times New Roman"/>
          <w:szCs w:val="22"/>
        </w:rPr>
        <w:t>Source:</w:t>
      </w:r>
      <w:r w:rsidR="00774A64">
        <w:rPr>
          <w:rFonts w:ascii="Times New Roman" w:hAnsi="Times New Roman" w:cs="Times New Roman"/>
          <w:szCs w:val="22"/>
        </w:rPr>
        <w:t xml:space="preserve"> </w:t>
      </w:r>
      <w:r w:rsidR="001003EB">
        <w:rPr>
          <w:rFonts w:ascii="Times New Roman" w:hAnsi="Times New Roman" w:cs="Times New Roman"/>
          <w:szCs w:val="22"/>
        </w:rPr>
        <w:t>(</w:t>
      </w:r>
      <w:r w:rsidR="00A32581" w:rsidRPr="00AC18ED">
        <w:rPr>
          <w:rFonts w:ascii="Times New Roman" w:hAnsi="Times New Roman" w:cs="Times New Roman"/>
          <w:szCs w:val="22"/>
          <w:vertAlign w:val="superscript"/>
        </w:rPr>
        <w:t>a</w:t>
      </w:r>
      <w:r w:rsidR="001F52BB" w:rsidRPr="00AC18ED">
        <w:rPr>
          <w:rFonts w:ascii="Times New Roman" w:hAnsi="Times New Roman" w:cs="Times New Roman"/>
          <w:szCs w:val="22"/>
        </w:rPr>
        <w:t>ADB</w:t>
      </w:r>
      <w:r w:rsidR="00354ACB" w:rsidRPr="00AC18ED">
        <w:rPr>
          <w:rFonts w:ascii="Times New Roman" w:hAnsi="Times New Roman" w:cs="Times New Roman"/>
          <w:szCs w:val="22"/>
        </w:rPr>
        <w:t>,</w:t>
      </w:r>
      <w:r w:rsidR="001F52BB" w:rsidRPr="00AC18ED">
        <w:rPr>
          <w:rFonts w:ascii="Times New Roman" w:hAnsi="Times New Roman" w:cs="Times New Roman"/>
          <w:szCs w:val="22"/>
        </w:rPr>
        <w:t xml:space="preserve"> 2008</w:t>
      </w:r>
      <w:r w:rsidR="001003EB">
        <w:rPr>
          <w:rFonts w:ascii="Times New Roman" w:hAnsi="Times New Roman" w:cs="Times New Roman"/>
          <w:szCs w:val="22"/>
        </w:rPr>
        <w:t>;</w:t>
      </w:r>
      <w:r w:rsidR="00D45B17" w:rsidRPr="00AC18ED">
        <w:rPr>
          <w:rFonts w:ascii="Times New Roman" w:hAnsi="Times New Roman" w:cs="Times New Roman"/>
          <w:szCs w:val="22"/>
        </w:rPr>
        <w:t xml:space="preserve"> </w:t>
      </w:r>
      <w:r w:rsidR="00A32581" w:rsidRPr="00AC18ED">
        <w:rPr>
          <w:rFonts w:ascii="Times New Roman" w:hAnsi="Times New Roman" w:cs="Times New Roman"/>
          <w:color w:val="000000"/>
          <w:szCs w:val="22"/>
          <w:vertAlign w:val="superscript"/>
        </w:rPr>
        <w:t>b</w:t>
      </w:r>
      <w:r w:rsidR="00354ACB" w:rsidRPr="00AC18ED">
        <w:rPr>
          <w:rFonts w:ascii="Times New Roman" w:hAnsi="Times New Roman" w:cs="Times New Roman"/>
          <w:szCs w:val="22"/>
        </w:rPr>
        <w:t>KTP, 2010</w:t>
      </w:r>
      <w:r w:rsidR="001003EB">
        <w:rPr>
          <w:rFonts w:ascii="Times New Roman" w:hAnsi="Times New Roman" w:cs="Times New Roman"/>
          <w:szCs w:val="22"/>
        </w:rPr>
        <w:t>;</w:t>
      </w:r>
      <w:r w:rsidR="00D45B17" w:rsidRPr="00AC18ED">
        <w:rPr>
          <w:rFonts w:ascii="Times New Roman" w:hAnsi="Times New Roman" w:cs="Times New Roman"/>
          <w:szCs w:val="22"/>
        </w:rPr>
        <w:t xml:space="preserve"> </w:t>
      </w:r>
      <w:r w:rsidR="00A32581" w:rsidRPr="00AC18ED">
        <w:rPr>
          <w:rFonts w:ascii="Times New Roman" w:hAnsi="Times New Roman" w:cs="Times New Roman"/>
          <w:color w:val="000000"/>
          <w:szCs w:val="22"/>
          <w:vertAlign w:val="superscript"/>
        </w:rPr>
        <w:t>c</w:t>
      </w:r>
      <w:r w:rsidR="00354ACB" w:rsidRPr="00AC18ED">
        <w:rPr>
          <w:rFonts w:ascii="Times New Roman" w:hAnsi="Times New Roman" w:cs="Times New Roman"/>
          <w:szCs w:val="22"/>
        </w:rPr>
        <w:t>WBPCB, 2015</w:t>
      </w:r>
      <w:r w:rsidR="001003EB">
        <w:rPr>
          <w:rFonts w:ascii="Times New Roman" w:hAnsi="Times New Roman" w:cs="Times New Roman"/>
          <w:szCs w:val="22"/>
        </w:rPr>
        <w:t>)</w:t>
      </w:r>
    </w:p>
    <w:p w14:paraId="3B669561" w14:textId="77777777" w:rsidR="00DA4C7E" w:rsidRPr="00AC18ED" w:rsidRDefault="00DA4C7E" w:rsidP="00AC18ED">
      <w:pPr>
        <w:spacing w:after="0" w:line="240" w:lineRule="auto"/>
        <w:jc w:val="both"/>
        <w:rPr>
          <w:rFonts w:ascii="Times New Roman" w:hAnsi="Times New Roman" w:cs="Times New Roman"/>
          <w:szCs w:val="22"/>
        </w:rPr>
      </w:pPr>
    </w:p>
    <w:p w14:paraId="0835AC0A" w14:textId="0E3E2499" w:rsidR="001C5298" w:rsidRPr="00AC18ED" w:rsidRDefault="001C5298" w:rsidP="00AC18ED">
      <w:pPr>
        <w:spacing w:after="120" w:line="276" w:lineRule="auto"/>
        <w:jc w:val="both"/>
        <w:rPr>
          <w:rFonts w:ascii="Times New Roman" w:hAnsi="Times New Roman" w:cs="Times New Roman"/>
          <w:szCs w:val="22"/>
        </w:rPr>
      </w:pPr>
      <w:r w:rsidRPr="00AC18ED">
        <w:rPr>
          <w:rFonts w:ascii="Times New Roman" w:hAnsi="Times New Roman" w:cs="Times New Roman"/>
          <w:szCs w:val="22"/>
        </w:rPr>
        <w:t>A decrease in 2-wheeler</w:t>
      </w:r>
      <w:r w:rsidR="00F352DE">
        <w:rPr>
          <w:rFonts w:ascii="Times New Roman" w:hAnsi="Times New Roman" w:cs="Times New Roman"/>
          <w:szCs w:val="22"/>
        </w:rPr>
        <w:t>s</w:t>
      </w:r>
      <w:r w:rsidRPr="00AC18ED">
        <w:rPr>
          <w:rFonts w:ascii="Times New Roman" w:hAnsi="Times New Roman" w:cs="Times New Roman"/>
          <w:szCs w:val="22"/>
        </w:rPr>
        <w:t xml:space="preserve"> and </w:t>
      </w:r>
      <w:r w:rsidR="005075A2" w:rsidRPr="00AC18ED">
        <w:rPr>
          <w:rFonts w:ascii="Times New Roman" w:hAnsi="Times New Roman" w:cs="Times New Roman"/>
          <w:szCs w:val="22"/>
        </w:rPr>
        <w:t>4-wheeler</w:t>
      </w:r>
      <w:r w:rsidR="00F352DE">
        <w:rPr>
          <w:rFonts w:ascii="Times New Roman" w:hAnsi="Times New Roman" w:cs="Times New Roman"/>
          <w:szCs w:val="22"/>
        </w:rPr>
        <w:t>s</w:t>
      </w:r>
      <w:r w:rsidRPr="00AC18ED">
        <w:rPr>
          <w:rFonts w:ascii="Times New Roman" w:hAnsi="Times New Roman" w:cs="Times New Roman"/>
          <w:szCs w:val="22"/>
        </w:rPr>
        <w:t xml:space="preserve"> and </w:t>
      </w:r>
      <w:r w:rsidR="00F352DE">
        <w:rPr>
          <w:rFonts w:ascii="Times New Roman" w:hAnsi="Times New Roman" w:cs="Times New Roman"/>
          <w:szCs w:val="22"/>
        </w:rPr>
        <w:t xml:space="preserve">an </w:t>
      </w:r>
      <w:r w:rsidRPr="00AC18ED">
        <w:rPr>
          <w:rFonts w:ascii="Times New Roman" w:hAnsi="Times New Roman" w:cs="Times New Roman"/>
          <w:szCs w:val="22"/>
        </w:rPr>
        <w:t xml:space="preserve">increase in </w:t>
      </w:r>
      <w:r w:rsidR="00DA4C7E">
        <w:rPr>
          <w:rFonts w:ascii="Times New Roman" w:hAnsi="Times New Roman" w:cs="Times New Roman"/>
          <w:szCs w:val="22"/>
        </w:rPr>
        <w:t>b</w:t>
      </w:r>
      <w:r w:rsidR="00DA4C7E" w:rsidRPr="00AC18ED">
        <w:rPr>
          <w:rFonts w:ascii="Times New Roman" w:hAnsi="Times New Roman" w:cs="Times New Roman"/>
          <w:szCs w:val="22"/>
        </w:rPr>
        <w:t xml:space="preserve">us </w:t>
      </w:r>
      <w:r w:rsidR="00DA4C7E">
        <w:rPr>
          <w:rFonts w:ascii="Times New Roman" w:hAnsi="Times New Roman" w:cs="Times New Roman"/>
          <w:szCs w:val="22"/>
        </w:rPr>
        <w:t xml:space="preserve">use </w:t>
      </w:r>
      <w:r w:rsidRPr="00AC18ED">
        <w:rPr>
          <w:rFonts w:ascii="Times New Roman" w:hAnsi="Times New Roman" w:cs="Times New Roman"/>
          <w:szCs w:val="22"/>
        </w:rPr>
        <w:t xml:space="preserve">may indicate a shift </w:t>
      </w:r>
      <w:r w:rsidR="00D066B9">
        <w:rPr>
          <w:rFonts w:ascii="Times New Roman" w:hAnsi="Times New Roman" w:cs="Times New Roman"/>
          <w:szCs w:val="22"/>
        </w:rPr>
        <w:t>toward</w:t>
      </w:r>
      <w:r w:rsidRPr="00AC18ED">
        <w:rPr>
          <w:rFonts w:ascii="Times New Roman" w:hAnsi="Times New Roman" w:cs="Times New Roman"/>
          <w:szCs w:val="22"/>
        </w:rPr>
        <w:t xml:space="preserve"> </w:t>
      </w:r>
      <w:r w:rsidR="00DA4C7E">
        <w:rPr>
          <w:rFonts w:ascii="Times New Roman" w:hAnsi="Times New Roman" w:cs="Times New Roman"/>
          <w:szCs w:val="22"/>
        </w:rPr>
        <w:t xml:space="preserve">the </w:t>
      </w:r>
      <w:r w:rsidRPr="00AC18ED">
        <w:rPr>
          <w:rFonts w:ascii="Times New Roman" w:hAnsi="Times New Roman" w:cs="Times New Roman"/>
          <w:szCs w:val="22"/>
        </w:rPr>
        <w:t>public transport system. The</w:t>
      </w:r>
      <w:r w:rsidR="0000767E" w:rsidRPr="00AC18ED">
        <w:rPr>
          <w:rFonts w:ascii="Times New Roman" w:hAnsi="Times New Roman" w:cs="Times New Roman"/>
          <w:szCs w:val="22"/>
        </w:rPr>
        <w:t xml:space="preserve">re is </w:t>
      </w:r>
      <w:r w:rsidR="00DA4C7E">
        <w:rPr>
          <w:rFonts w:ascii="Times New Roman" w:hAnsi="Times New Roman" w:cs="Times New Roman"/>
          <w:szCs w:val="22"/>
        </w:rPr>
        <w:t xml:space="preserve">also </w:t>
      </w:r>
      <w:r w:rsidR="0000767E" w:rsidRPr="00AC18ED">
        <w:rPr>
          <w:rFonts w:ascii="Times New Roman" w:hAnsi="Times New Roman" w:cs="Times New Roman"/>
          <w:szCs w:val="22"/>
        </w:rPr>
        <w:t>an increasing trend for 3-</w:t>
      </w:r>
      <w:r w:rsidRPr="00AC18ED">
        <w:rPr>
          <w:rFonts w:ascii="Times New Roman" w:hAnsi="Times New Roman" w:cs="Times New Roman"/>
          <w:szCs w:val="22"/>
        </w:rPr>
        <w:t>wheeler</w:t>
      </w:r>
      <w:r w:rsidR="00DA4C7E">
        <w:rPr>
          <w:rFonts w:ascii="Times New Roman" w:hAnsi="Times New Roman" w:cs="Times New Roman"/>
          <w:szCs w:val="22"/>
        </w:rPr>
        <w:t xml:space="preserve">s. </w:t>
      </w:r>
      <w:r w:rsidRPr="00AC18ED">
        <w:rPr>
          <w:rFonts w:ascii="Times New Roman" w:hAnsi="Times New Roman" w:cs="Times New Roman"/>
          <w:szCs w:val="22"/>
        </w:rPr>
        <w:t xml:space="preserve">However, unlike </w:t>
      </w:r>
      <w:r w:rsidR="00DA4C7E">
        <w:rPr>
          <w:rFonts w:ascii="Times New Roman" w:hAnsi="Times New Roman" w:cs="Times New Roman"/>
          <w:szCs w:val="22"/>
        </w:rPr>
        <w:t xml:space="preserve">in </w:t>
      </w:r>
      <w:r w:rsidRPr="00AC18ED">
        <w:rPr>
          <w:rFonts w:ascii="Times New Roman" w:hAnsi="Times New Roman" w:cs="Times New Roman"/>
          <w:szCs w:val="22"/>
        </w:rPr>
        <w:t>other Indian cities</w:t>
      </w:r>
      <w:r w:rsidR="00DA4C7E">
        <w:rPr>
          <w:rFonts w:ascii="Times New Roman" w:hAnsi="Times New Roman" w:cs="Times New Roman"/>
          <w:szCs w:val="22"/>
        </w:rPr>
        <w:t>,</w:t>
      </w:r>
      <w:r w:rsidRPr="00AC18ED">
        <w:rPr>
          <w:rFonts w:ascii="Times New Roman" w:hAnsi="Times New Roman" w:cs="Times New Roman"/>
          <w:szCs w:val="22"/>
        </w:rPr>
        <w:t xml:space="preserve"> 3</w:t>
      </w:r>
      <w:r w:rsidR="0000767E" w:rsidRPr="00AC18ED">
        <w:rPr>
          <w:rFonts w:ascii="Times New Roman" w:hAnsi="Times New Roman" w:cs="Times New Roman"/>
          <w:szCs w:val="22"/>
        </w:rPr>
        <w:t>-</w:t>
      </w:r>
      <w:r w:rsidRPr="00AC18ED">
        <w:rPr>
          <w:rFonts w:ascii="Times New Roman" w:hAnsi="Times New Roman" w:cs="Times New Roman"/>
          <w:szCs w:val="22"/>
        </w:rPr>
        <w:t xml:space="preserve">wheelers in Kolkata ply </w:t>
      </w:r>
      <w:r w:rsidR="00475473">
        <w:rPr>
          <w:rFonts w:ascii="Times New Roman" w:hAnsi="Times New Roman" w:cs="Times New Roman"/>
          <w:szCs w:val="22"/>
        </w:rPr>
        <w:t xml:space="preserve">on </w:t>
      </w:r>
      <w:r w:rsidRPr="00AC18ED">
        <w:rPr>
          <w:rFonts w:ascii="Times New Roman" w:hAnsi="Times New Roman" w:cs="Times New Roman"/>
          <w:szCs w:val="22"/>
        </w:rPr>
        <w:t xml:space="preserve">fixed routes and </w:t>
      </w:r>
      <w:r w:rsidR="006F11C0">
        <w:rPr>
          <w:rFonts w:ascii="Times New Roman" w:hAnsi="Times New Roman" w:cs="Times New Roman"/>
          <w:szCs w:val="22"/>
        </w:rPr>
        <w:t xml:space="preserve">are </w:t>
      </w:r>
      <w:r w:rsidRPr="00AC18ED">
        <w:rPr>
          <w:rFonts w:ascii="Times New Roman" w:hAnsi="Times New Roman" w:cs="Times New Roman"/>
          <w:szCs w:val="22"/>
        </w:rPr>
        <w:t xml:space="preserve">also </w:t>
      </w:r>
      <w:r w:rsidR="006F11C0">
        <w:rPr>
          <w:rFonts w:ascii="Times New Roman" w:hAnsi="Times New Roman" w:cs="Times New Roman"/>
          <w:szCs w:val="22"/>
        </w:rPr>
        <w:t xml:space="preserve">used </w:t>
      </w:r>
      <w:r w:rsidR="00DA4C7E">
        <w:rPr>
          <w:rFonts w:ascii="Times New Roman" w:hAnsi="Times New Roman" w:cs="Times New Roman"/>
          <w:szCs w:val="22"/>
        </w:rPr>
        <w:t>on a</w:t>
      </w:r>
      <w:r w:rsidR="00DA4C7E" w:rsidRPr="00AC18ED">
        <w:rPr>
          <w:rFonts w:ascii="Times New Roman" w:hAnsi="Times New Roman" w:cs="Times New Roman"/>
          <w:szCs w:val="22"/>
        </w:rPr>
        <w:t xml:space="preserve"> </w:t>
      </w:r>
      <w:r w:rsidRPr="00AC18ED">
        <w:rPr>
          <w:rFonts w:ascii="Times New Roman" w:hAnsi="Times New Roman" w:cs="Times New Roman"/>
          <w:szCs w:val="22"/>
        </w:rPr>
        <w:t xml:space="preserve">sharing basis, making it a </w:t>
      </w:r>
      <w:r w:rsidR="00DA4C7E">
        <w:rPr>
          <w:rFonts w:ascii="Times New Roman" w:hAnsi="Times New Roman" w:cs="Times New Roman"/>
          <w:szCs w:val="22"/>
        </w:rPr>
        <w:t>type of</w:t>
      </w:r>
      <w:r w:rsidRPr="00AC18ED">
        <w:rPr>
          <w:rFonts w:ascii="Times New Roman" w:hAnsi="Times New Roman" w:cs="Times New Roman"/>
          <w:szCs w:val="22"/>
        </w:rPr>
        <w:t xml:space="preserve"> public transport system.</w:t>
      </w:r>
      <w:r w:rsidR="00DA4C7E">
        <w:rPr>
          <w:rFonts w:ascii="Times New Roman" w:hAnsi="Times New Roman" w:cs="Times New Roman"/>
          <w:szCs w:val="22"/>
        </w:rPr>
        <w:t xml:space="preserve"> </w:t>
      </w:r>
    </w:p>
    <w:p w14:paraId="1D0818D7" w14:textId="77777777" w:rsidR="00AC18ED" w:rsidRDefault="00AC18ED">
      <w:pPr>
        <w:rPr>
          <w:rFonts w:ascii="Times New Roman" w:eastAsiaTheme="majorEastAsia" w:hAnsi="Times New Roman" w:cs="Times New Roman"/>
          <w:b/>
          <w:color w:val="2E74B5" w:themeColor="accent1" w:themeShade="BF"/>
          <w:sz w:val="24"/>
          <w:szCs w:val="22"/>
        </w:rPr>
      </w:pPr>
      <w:bookmarkStart w:id="25" w:name="_Toc477353351"/>
      <w:bookmarkStart w:id="26" w:name="_Toc480988022"/>
      <w:r>
        <w:rPr>
          <w:rFonts w:ascii="Times New Roman" w:hAnsi="Times New Roman" w:cs="Times New Roman"/>
          <w:b/>
          <w:sz w:val="24"/>
          <w:szCs w:val="22"/>
        </w:rPr>
        <w:br w:type="page"/>
      </w:r>
    </w:p>
    <w:p w14:paraId="0E15A2F9" w14:textId="44AF882E" w:rsidR="00035615" w:rsidRPr="00AC18ED" w:rsidRDefault="00035615" w:rsidP="00AC18ED">
      <w:pPr>
        <w:pStyle w:val="Heading1"/>
        <w:numPr>
          <w:ilvl w:val="0"/>
          <w:numId w:val="11"/>
        </w:numPr>
        <w:spacing w:before="0" w:after="120" w:line="276" w:lineRule="auto"/>
        <w:rPr>
          <w:rFonts w:ascii="Times New Roman" w:hAnsi="Times New Roman" w:cs="Times New Roman"/>
          <w:b/>
          <w:sz w:val="24"/>
          <w:szCs w:val="22"/>
        </w:rPr>
      </w:pPr>
      <w:bookmarkStart w:id="27" w:name="_Toc22630744"/>
      <w:r w:rsidRPr="00AC18ED">
        <w:rPr>
          <w:rFonts w:ascii="Times New Roman" w:hAnsi="Times New Roman" w:cs="Times New Roman"/>
          <w:b/>
          <w:sz w:val="24"/>
          <w:szCs w:val="22"/>
        </w:rPr>
        <w:lastRenderedPageBreak/>
        <w:t>Emission factors</w:t>
      </w:r>
      <w:bookmarkEnd w:id="25"/>
      <w:bookmarkEnd w:id="26"/>
      <w:bookmarkEnd w:id="27"/>
    </w:p>
    <w:p w14:paraId="6F19EBCB" w14:textId="7E9C7683" w:rsidR="00035615" w:rsidRPr="002A73C5" w:rsidRDefault="00DA4C7E" w:rsidP="00AC18ED">
      <w:pPr>
        <w:autoSpaceDE w:val="0"/>
        <w:autoSpaceDN w:val="0"/>
        <w:adjustRightInd w:val="0"/>
        <w:spacing w:after="120" w:line="276" w:lineRule="auto"/>
        <w:jc w:val="both"/>
        <w:rPr>
          <w:rFonts w:ascii="Times New Roman" w:hAnsi="Times New Roman" w:cs="Times New Roman"/>
          <w:szCs w:val="22"/>
        </w:rPr>
      </w:pPr>
      <w:r>
        <w:rPr>
          <w:rFonts w:ascii="Times New Roman" w:hAnsi="Times New Roman" w:cs="Times New Roman"/>
          <w:color w:val="000000"/>
          <w:szCs w:val="22"/>
        </w:rPr>
        <w:t>The e</w:t>
      </w:r>
      <w:r w:rsidRPr="00AC18ED">
        <w:rPr>
          <w:rFonts w:ascii="Times New Roman" w:hAnsi="Times New Roman" w:cs="Times New Roman"/>
          <w:color w:val="000000"/>
          <w:szCs w:val="22"/>
        </w:rPr>
        <w:t xml:space="preserve">mission </w:t>
      </w:r>
      <w:r w:rsidR="00035615" w:rsidRPr="00AC18ED">
        <w:rPr>
          <w:rFonts w:ascii="Times New Roman" w:hAnsi="Times New Roman" w:cs="Times New Roman"/>
          <w:color w:val="000000"/>
          <w:szCs w:val="22"/>
        </w:rPr>
        <w:t xml:space="preserve">factors for different fuel types used to estimate emissions from </w:t>
      </w:r>
      <w:r>
        <w:rPr>
          <w:rFonts w:ascii="Times New Roman" w:hAnsi="Times New Roman" w:cs="Times New Roman"/>
          <w:color w:val="000000"/>
          <w:szCs w:val="22"/>
        </w:rPr>
        <w:t xml:space="preserve">the </w:t>
      </w:r>
      <w:r w:rsidR="00035615" w:rsidRPr="00AC18ED">
        <w:rPr>
          <w:rFonts w:ascii="Times New Roman" w:hAnsi="Times New Roman" w:cs="Times New Roman"/>
          <w:color w:val="000000"/>
          <w:szCs w:val="22"/>
        </w:rPr>
        <w:t>power, industrial, residentia</w:t>
      </w:r>
      <w:r>
        <w:rPr>
          <w:rFonts w:ascii="Times New Roman" w:hAnsi="Times New Roman" w:cs="Times New Roman"/>
          <w:color w:val="000000"/>
          <w:szCs w:val="22"/>
        </w:rPr>
        <w:t>l,</w:t>
      </w:r>
      <w:r w:rsidR="00774A64">
        <w:rPr>
          <w:rFonts w:ascii="Times New Roman" w:hAnsi="Times New Roman" w:cs="Times New Roman"/>
          <w:color w:val="000000"/>
          <w:szCs w:val="22"/>
        </w:rPr>
        <w:t xml:space="preserve"> </w:t>
      </w:r>
      <w:r w:rsidR="00035615" w:rsidRPr="00AC18ED">
        <w:rPr>
          <w:rFonts w:ascii="Times New Roman" w:hAnsi="Times New Roman" w:cs="Times New Roman"/>
          <w:color w:val="000000"/>
          <w:szCs w:val="22"/>
        </w:rPr>
        <w:t xml:space="preserve">and commercial sectors are taken from different </w:t>
      </w:r>
      <w:r w:rsidR="00035615" w:rsidRPr="00C35D33">
        <w:rPr>
          <w:rFonts w:ascii="Times New Roman" w:hAnsi="Times New Roman" w:cs="Times New Roman"/>
          <w:color w:val="000000"/>
          <w:szCs w:val="22"/>
        </w:rPr>
        <w:t>sources</w:t>
      </w:r>
      <w:r w:rsidRPr="00C35D33">
        <w:rPr>
          <w:rFonts w:ascii="Times New Roman" w:hAnsi="Times New Roman" w:cs="Times New Roman"/>
          <w:color w:val="000000"/>
          <w:szCs w:val="22"/>
        </w:rPr>
        <w:t>,</w:t>
      </w:r>
      <w:r w:rsidR="00035615" w:rsidRPr="00C35D33">
        <w:rPr>
          <w:rFonts w:ascii="Times New Roman" w:hAnsi="Times New Roman" w:cs="Times New Roman"/>
          <w:color w:val="000000"/>
          <w:szCs w:val="22"/>
        </w:rPr>
        <w:t xml:space="preserve"> </w:t>
      </w:r>
      <w:r w:rsidR="006F11C0" w:rsidRPr="00C35D33">
        <w:rPr>
          <w:rFonts w:ascii="Times New Roman" w:hAnsi="Times New Roman" w:cs="Times New Roman"/>
          <w:color w:val="000000"/>
          <w:szCs w:val="22"/>
        </w:rPr>
        <w:t>tailored to the</w:t>
      </w:r>
      <w:r w:rsidR="00035615" w:rsidRPr="00C35D33">
        <w:rPr>
          <w:rFonts w:ascii="Times New Roman" w:hAnsi="Times New Roman" w:cs="Times New Roman"/>
          <w:color w:val="000000"/>
          <w:szCs w:val="22"/>
        </w:rPr>
        <w:t xml:space="preserve"> Indian</w:t>
      </w:r>
      <w:r w:rsidR="00035615" w:rsidRPr="00AC18ED">
        <w:rPr>
          <w:rFonts w:ascii="Times New Roman" w:hAnsi="Times New Roman" w:cs="Times New Roman"/>
          <w:color w:val="000000"/>
          <w:szCs w:val="22"/>
        </w:rPr>
        <w:t xml:space="preserve"> condition</w:t>
      </w:r>
      <w:r w:rsidR="006F11C0">
        <w:rPr>
          <w:rFonts w:ascii="Times New Roman" w:hAnsi="Times New Roman" w:cs="Times New Roman"/>
          <w:color w:val="000000"/>
          <w:szCs w:val="22"/>
        </w:rPr>
        <w:t>s</w:t>
      </w:r>
      <w:r w:rsidR="00035615" w:rsidRPr="00AC18ED">
        <w:rPr>
          <w:rFonts w:ascii="Times New Roman" w:hAnsi="Times New Roman" w:cs="Times New Roman"/>
          <w:color w:val="000000"/>
          <w:szCs w:val="22"/>
        </w:rPr>
        <w:t>. These are based on</w:t>
      </w:r>
      <w:r>
        <w:rPr>
          <w:rFonts w:ascii="Times New Roman" w:hAnsi="Times New Roman" w:cs="Times New Roman"/>
          <w:color w:val="000000"/>
          <w:szCs w:val="22"/>
        </w:rPr>
        <w:t xml:space="preserve"> the</w:t>
      </w:r>
      <w:r w:rsidR="00774A64">
        <w:rPr>
          <w:rFonts w:ascii="Times New Roman" w:hAnsi="Times New Roman" w:cs="Times New Roman"/>
          <w:color w:val="000000"/>
          <w:szCs w:val="22"/>
        </w:rPr>
        <w:t xml:space="preserve"> </w:t>
      </w:r>
      <w:r w:rsidR="00035615" w:rsidRPr="00AC18ED">
        <w:rPr>
          <w:rFonts w:ascii="Times New Roman" w:hAnsi="Times New Roman" w:cs="Times New Roman"/>
          <w:color w:val="000000"/>
          <w:szCs w:val="22"/>
        </w:rPr>
        <w:t xml:space="preserve">number of reports and experiments conducted by </w:t>
      </w:r>
      <w:r>
        <w:rPr>
          <w:rFonts w:ascii="Times New Roman" w:hAnsi="Times New Roman" w:cs="Times New Roman"/>
          <w:color w:val="000000"/>
          <w:szCs w:val="22"/>
        </w:rPr>
        <w:t xml:space="preserve">government </w:t>
      </w:r>
      <w:r w:rsidR="00035615" w:rsidRPr="00AC18ED">
        <w:rPr>
          <w:rFonts w:ascii="Times New Roman" w:hAnsi="Times New Roman" w:cs="Times New Roman"/>
          <w:color w:val="000000"/>
          <w:szCs w:val="22"/>
        </w:rPr>
        <w:t>certification agencies</w:t>
      </w:r>
      <w:r w:rsidR="00774A64">
        <w:rPr>
          <w:rFonts w:ascii="Times New Roman" w:hAnsi="Times New Roman" w:cs="Times New Roman"/>
          <w:color w:val="000000"/>
          <w:szCs w:val="22"/>
        </w:rPr>
        <w:t xml:space="preserve"> </w:t>
      </w:r>
      <w:r>
        <w:rPr>
          <w:rFonts w:ascii="Times New Roman" w:hAnsi="Times New Roman" w:cs="Times New Roman"/>
          <w:color w:val="000000"/>
          <w:szCs w:val="22"/>
        </w:rPr>
        <w:t xml:space="preserve">and </w:t>
      </w:r>
      <w:r w:rsidRPr="00C35D33">
        <w:rPr>
          <w:rFonts w:ascii="Times New Roman" w:hAnsi="Times New Roman" w:cs="Times New Roman"/>
          <w:color w:val="000000"/>
          <w:szCs w:val="22"/>
        </w:rPr>
        <w:t xml:space="preserve">also </w:t>
      </w:r>
      <w:r w:rsidR="006F11C0" w:rsidRPr="00C35D33">
        <w:rPr>
          <w:rFonts w:ascii="Times New Roman" w:hAnsi="Times New Roman" w:cs="Times New Roman"/>
          <w:color w:val="000000"/>
          <w:szCs w:val="22"/>
        </w:rPr>
        <w:t xml:space="preserve">by </w:t>
      </w:r>
      <w:r w:rsidR="00035615" w:rsidRPr="00C35D33">
        <w:rPr>
          <w:rFonts w:ascii="Times New Roman" w:hAnsi="Times New Roman" w:cs="Times New Roman"/>
          <w:color w:val="000000"/>
          <w:szCs w:val="22"/>
        </w:rPr>
        <w:t>government</w:t>
      </w:r>
      <w:r w:rsidRPr="00C35D33">
        <w:rPr>
          <w:rFonts w:ascii="Times New Roman" w:hAnsi="Times New Roman" w:cs="Times New Roman"/>
          <w:color w:val="000000"/>
          <w:szCs w:val="22"/>
        </w:rPr>
        <w:t>-</w:t>
      </w:r>
      <w:r w:rsidR="00035615" w:rsidRPr="00C35D33">
        <w:rPr>
          <w:rFonts w:ascii="Times New Roman" w:hAnsi="Times New Roman" w:cs="Times New Roman"/>
          <w:color w:val="000000"/>
          <w:szCs w:val="22"/>
        </w:rPr>
        <w:t>authorized non-government</w:t>
      </w:r>
      <w:r w:rsidRPr="00C35D33">
        <w:rPr>
          <w:rFonts w:ascii="Times New Roman" w:hAnsi="Times New Roman" w:cs="Times New Roman"/>
          <w:color w:val="000000"/>
          <w:szCs w:val="22"/>
        </w:rPr>
        <w:t>al,</w:t>
      </w:r>
      <w:r w:rsidR="00035615" w:rsidRPr="00C35D33">
        <w:rPr>
          <w:rFonts w:ascii="Times New Roman" w:hAnsi="Times New Roman" w:cs="Times New Roman"/>
          <w:color w:val="000000"/>
          <w:szCs w:val="22"/>
        </w:rPr>
        <w:t xml:space="preserve"> and autonomous agencies under various </w:t>
      </w:r>
      <w:r w:rsidR="00035615" w:rsidRPr="002A73C5">
        <w:rPr>
          <w:rFonts w:ascii="Times New Roman" w:hAnsi="Times New Roman" w:cs="Times New Roman"/>
          <w:szCs w:val="22"/>
        </w:rPr>
        <w:t>projects</w:t>
      </w:r>
      <w:r w:rsidR="00F92098" w:rsidRPr="002A73C5">
        <w:rPr>
          <w:rFonts w:ascii="Times New Roman" w:hAnsi="Times New Roman" w:cs="Times New Roman"/>
          <w:szCs w:val="22"/>
        </w:rPr>
        <w:t xml:space="preserve"> (UNEP, 1999; US EPA, 2000</w:t>
      </w:r>
      <w:r w:rsidR="000F401D" w:rsidRPr="002A73C5">
        <w:rPr>
          <w:rFonts w:ascii="Times New Roman" w:hAnsi="Times New Roman" w:cs="Times New Roman"/>
          <w:szCs w:val="22"/>
        </w:rPr>
        <w:t>, 2006</w:t>
      </w:r>
      <w:r w:rsidR="00F92098" w:rsidRPr="002A73C5">
        <w:rPr>
          <w:rFonts w:ascii="Times New Roman" w:hAnsi="Times New Roman" w:cs="Times New Roman"/>
          <w:szCs w:val="22"/>
        </w:rPr>
        <w:t>; Reddy and Venkataraman, 2002a, 2002b; NEERI, 2008; CPCB, 2011)</w:t>
      </w:r>
      <w:r w:rsidR="00257DC1" w:rsidRPr="002A73C5">
        <w:rPr>
          <w:rFonts w:ascii="Times New Roman" w:hAnsi="Times New Roman" w:cs="Times New Roman"/>
          <w:szCs w:val="22"/>
        </w:rPr>
        <w:fldChar w:fldCharType="begin"/>
      </w:r>
      <w:r w:rsidR="00035615" w:rsidRPr="002A73C5">
        <w:rPr>
          <w:rFonts w:ascii="Times New Roman" w:hAnsi="Times New Roman" w:cs="Times New Roman"/>
          <w:szCs w:val="22"/>
        </w:rPr>
        <w:instrText xml:space="preserve"> ADDIN ZOTERO_ITEM CSL_CITATION {"citationID":"GRbPiH9A","properties":{"formattedCitation":"(CPCB, 2011; NEERI, 2008; Reddy and Venkataraman, 2002a, 2002b; UNEP, 1999; US EPA, 2000, 2006)","plainCitation":"(CPCB, 2011; NEERI, 2008; Reddy and Venkataraman, 2002a, 2002b; UNEP, 1999; US EPA, 2000, 2006)"},"citationItems":[{"id":9253,"uris":["http://zotero.org/groups/14748/items/XGGB7AMI"],"uri":["http://zotero.org/groups/14748/items/XGGB7AMI"],"itemData":{"id":9253,"type":"report","title":"Environmental Impacts of Trade Liberalization and Policies for Sustainable Management of Natural Resources: A Case Study on India’s Automobile Sector","publisher":"United Nations Environment Programme (UNEP)","publisher-place":"New York, USA","event-place":"New York, USA","author":[{"family":"UNEP","given":""}],"issued":{"date-parts":[["1999"]]}},"label":"page"},{"id":9249,"uris":["http://zotero.org/groups/14748/items/IAE2SIER"],"uri":["http://zotero.org/groups/14748/items/IAE2SIER"],"itemData":{"id":9249,"type":"report","title":"Emission factor documentation for AP-42, Section 13.2.1","publisher":"Office of Air Quality Planning and Standards, United States Environmental Protection Agency (US EPA)","publisher-place":"Washington D.C., U.S.A.","event-place":"Washington D.C., U.S.A.","author":[{"family":"US EPA","given":""}],"issued":{"date-parts":[["2006"]]}},"label":"page"},{"id":9254,"uris":["http://zotero.org/groups/14748/items/T9ACVPCA"],"uri":["http://zotero.org/groups/14748/items/T9ACVPCA"],"itemData":{"id":9254,"type":"report","title":"Greenhouse Gases from Small-scale Combustion Devices in Developing Countries: Phase II A: Household Stoves in India.","publisher":"U.S. Environmental Protection Agency (US EPA)","publisher-place":"Washington D.C., USA","event-place":"Washington D.C., USA","number":"USEPA/600/r-00/052","author":[{"family":"US EPA","given":""}],"issued":{"date-parts":[["2000"]]}},"label":"page"},{"id":9251,"uris":["http://zotero.org/groups/14748/items/MD6VM6S9"],"uri":["http://zotero.org/groups/14748/items/MD6VM6S9"],"itemData":{"id":9251,"type":"article-journal","title":"Inventory of aerosol and sulphur dioxide emissions from India: I e Fossil fuel combustion","container-title":"Atmospheric Environment","page":"677-697","volume":"36","issue":"4","DOI":"http://dx.doi.org/10.1016/S1352-2310(01)00463-0","author":[{"family":"Reddy","given":"M.S."},{"family":"Venkataraman","given":"C."}],"issued":{"date-parts":[["2002"]]}},"label":"page"},{"id":9252,"uris":["http://zotero.org/groups/14748/items/6N5HJ43S"],"uri":["http://zotero.org/groups/14748/items/6N5HJ43S"],"itemData":{"id":9252,"type":"article-journal","title":"Inventory of aerosol and sulphur dioxide emissions from India. Part II - biomass combustion","container-title":"Atmospheric Environment","page":"699-712","volume":"36","issue":"4","DOI":"http://dx.doi.org/10.1016/S1352-2310(01)00464-2","author":[{"family":"Reddy","given":"M.S."},{"family":"Venkataraman","given":"C."}],"issued":{"date-parts":[["2002"]]}},"label":"page"},{"id":9201,"uris":["http://zotero.org/groups/14748/items/WK92ZICW"],"uri":["http://zotero.org/groups/14748/items/WK92ZICW"],"itemData":{"id":9201,"type":"report","title":"Air Quality Monitoring, Emission Inventory &amp; Source Apportionment  Studies  for Delhi","publisher":"National Environmental Engineering Research Institute (NEERI)","publisher-place":"Nagpur, India","event-place":"Nagpur, India","URL":"http://cpcb.nic.in/Delhi.pdf","author":[{"family":"NEERI","given":""}],"issued":{"date-parts":[["2008"]]},"accessed":{"date-parts":[["2016",10,27]]}},"label":"page"},{"id":545,"uris":["http://zotero.org/groups/14748/items/6U5HGVR2"],"uri":["http://zotero.org/groups/14748/items/6U5HGVR2"],"itemData":{"id":545,"type":"report","title":"Air quality monitoring, emission inventory and source apportionment study for Indian cities: National Summary Report","publisher":"Central Pollution Control Board (CPCB)","publisher-place":"New Delhi, India","event-place":"New Delhi, India","URL":"http://www.cpcb.nic.in/FinalNationalSummary.pdf","author":[{"family":"CPCB","given":""}],"issued":{"date-parts":[["2011",2]]},"accessed":{"date-parts":[["2012",7,2]]}},"label":"page"}],"schema":"https://github.com/citation-style-language/schema/raw/master/csl-citation.json"} </w:instrText>
      </w:r>
      <w:r w:rsidR="00257DC1" w:rsidRPr="002A73C5">
        <w:rPr>
          <w:rFonts w:ascii="Times New Roman" w:hAnsi="Times New Roman" w:cs="Times New Roman"/>
          <w:szCs w:val="22"/>
        </w:rPr>
        <w:fldChar w:fldCharType="separate"/>
      </w:r>
      <w:r w:rsidR="00442CD0" w:rsidRPr="002A73C5">
        <w:rPr>
          <w:rFonts w:ascii="Times New Roman" w:hAnsi="Times New Roman" w:cs="Times New Roman"/>
          <w:szCs w:val="22"/>
        </w:rPr>
        <w:t xml:space="preserve"> </w:t>
      </w:r>
      <w:r w:rsidR="00257DC1" w:rsidRPr="002A73C5">
        <w:rPr>
          <w:rFonts w:ascii="Times New Roman" w:hAnsi="Times New Roman" w:cs="Times New Roman"/>
          <w:szCs w:val="22"/>
        </w:rPr>
        <w:fldChar w:fldCharType="end"/>
      </w:r>
      <w:r w:rsidR="00035615" w:rsidRPr="002A73C5">
        <w:rPr>
          <w:rFonts w:ascii="Times New Roman" w:hAnsi="Times New Roman" w:cs="Times New Roman"/>
          <w:szCs w:val="22"/>
        </w:rPr>
        <w:t>. We</w:t>
      </w:r>
      <w:r w:rsidR="00774A64" w:rsidRPr="002A73C5">
        <w:rPr>
          <w:rFonts w:ascii="Times New Roman" w:hAnsi="Times New Roman" w:cs="Times New Roman"/>
          <w:szCs w:val="22"/>
        </w:rPr>
        <w:t xml:space="preserve"> </w:t>
      </w:r>
      <w:r w:rsidR="00035615" w:rsidRPr="00AC18ED">
        <w:rPr>
          <w:rFonts w:ascii="Times New Roman" w:hAnsi="Times New Roman" w:cs="Times New Roman"/>
          <w:color w:val="000000"/>
          <w:szCs w:val="22"/>
        </w:rPr>
        <w:t>used the GAINS emission</w:t>
      </w:r>
      <w:r w:rsidR="00442CD0">
        <w:rPr>
          <w:rFonts w:ascii="Times New Roman" w:hAnsi="Times New Roman" w:cs="Times New Roman"/>
          <w:color w:val="000000"/>
          <w:szCs w:val="22"/>
        </w:rPr>
        <w:t xml:space="preserve"> </w:t>
      </w:r>
      <w:r w:rsidR="00035615" w:rsidRPr="00AC18ED">
        <w:rPr>
          <w:rFonts w:ascii="Times New Roman" w:hAnsi="Times New Roman" w:cs="Times New Roman"/>
          <w:color w:val="000000"/>
          <w:szCs w:val="22"/>
        </w:rPr>
        <w:t xml:space="preserve"> factors in cases </w:t>
      </w:r>
      <w:r w:rsidRPr="00AC18ED">
        <w:rPr>
          <w:rFonts w:ascii="Times New Roman" w:hAnsi="Times New Roman" w:cs="Times New Roman"/>
          <w:color w:val="000000"/>
          <w:szCs w:val="22"/>
        </w:rPr>
        <w:t>where</w:t>
      </w:r>
      <w:r w:rsidR="00636695">
        <w:rPr>
          <w:rFonts w:ascii="Times New Roman" w:hAnsi="Times New Roman" w:cs="Times New Roman"/>
          <w:color w:val="000000"/>
          <w:szCs w:val="22"/>
        </w:rPr>
        <w:t xml:space="preserve"> </w:t>
      </w:r>
      <w:r w:rsidR="00035615" w:rsidRPr="00AC18ED">
        <w:rPr>
          <w:rFonts w:ascii="Times New Roman" w:hAnsi="Times New Roman" w:cs="Times New Roman"/>
          <w:color w:val="000000"/>
          <w:szCs w:val="22"/>
        </w:rPr>
        <w:t xml:space="preserve">emission factors were not </w:t>
      </w:r>
      <w:r w:rsidR="00035615" w:rsidRPr="002A73C5">
        <w:rPr>
          <w:rFonts w:ascii="Times New Roman" w:hAnsi="Times New Roman" w:cs="Times New Roman"/>
          <w:szCs w:val="22"/>
        </w:rPr>
        <w:t xml:space="preserve">available. </w:t>
      </w:r>
      <w:r w:rsidRPr="002A73C5">
        <w:rPr>
          <w:rFonts w:ascii="Times New Roman" w:hAnsi="Times New Roman" w:cs="Times New Roman"/>
          <w:szCs w:val="22"/>
        </w:rPr>
        <w:t>To calculate</w:t>
      </w:r>
      <w:r w:rsidR="00035615" w:rsidRPr="002A73C5">
        <w:rPr>
          <w:rFonts w:ascii="Times New Roman" w:hAnsi="Times New Roman" w:cs="Times New Roman"/>
          <w:szCs w:val="22"/>
        </w:rPr>
        <w:t xml:space="preserve"> PM and SO</w:t>
      </w:r>
      <w:r w:rsidR="00035615" w:rsidRPr="002A73C5">
        <w:rPr>
          <w:rFonts w:ascii="Times New Roman" w:hAnsi="Times New Roman" w:cs="Times New Roman"/>
          <w:szCs w:val="22"/>
          <w:vertAlign w:val="subscript"/>
        </w:rPr>
        <w:t>2</w:t>
      </w:r>
      <w:r w:rsidR="00035615" w:rsidRPr="002A73C5">
        <w:rPr>
          <w:rFonts w:ascii="Times New Roman" w:hAnsi="Times New Roman" w:cs="Times New Roman"/>
          <w:szCs w:val="22"/>
        </w:rPr>
        <w:t xml:space="preserve"> emissions, </w:t>
      </w:r>
      <w:r w:rsidRPr="002A73C5">
        <w:rPr>
          <w:rFonts w:ascii="Times New Roman" w:hAnsi="Times New Roman" w:cs="Times New Roman"/>
          <w:szCs w:val="22"/>
        </w:rPr>
        <w:t xml:space="preserve">the </w:t>
      </w:r>
      <w:r w:rsidR="00035615" w:rsidRPr="002A73C5">
        <w:rPr>
          <w:rFonts w:ascii="Times New Roman" w:hAnsi="Times New Roman" w:cs="Times New Roman"/>
          <w:szCs w:val="22"/>
        </w:rPr>
        <w:t xml:space="preserve">most relevant ash and </w:t>
      </w:r>
      <w:r w:rsidRPr="002A73C5">
        <w:rPr>
          <w:rFonts w:ascii="Times New Roman" w:hAnsi="Times New Roman" w:cs="Times New Roman"/>
          <w:szCs w:val="22"/>
        </w:rPr>
        <w:t xml:space="preserve">sulfur </w:t>
      </w:r>
      <w:r w:rsidR="00035615" w:rsidRPr="002A73C5">
        <w:rPr>
          <w:rFonts w:ascii="Times New Roman" w:hAnsi="Times New Roman" w:cs="Times New Roman"/>
          <w:szCs w:val="22"/>
        </w:rPr>
        <w:t>content for fuels used in India was used</w:t>
      </w:r>
      <w:r w:rsidR="00F92098" w:rsidRPr="002A73C5">
        <w:rPr>
          <w:rFonts w:ascii="Times New Roman" w:hAnsi="Times New Roman" w:cs="Times New Roman"/>
          <w:szCs w:val="22"/>
        </w:rPr>
        <w:t xml:space="preserve"> (CPCB, 2011)</w:t>
      </w:r>
      <w:r w:rsidR="00035615" w:rsidRPr="002A73C5">
        <w:rPr>
          <w:rFonts w:ascii="Times New Roman" w:hAnsi="Times New Roman" w:cs="Times New Roman"/>
          <w:szCs w:val="22"/>
        </w:rPr>
        <w:t xml:space="preserve">, as these emission factors are based on ash and </w:t>
      </w:r>
      <w:r w:rsidR="006F11C0" w:rsidRPr="002A73C5">
        <w:rPr>
          <w:rFonts w:ascii="Times New Roman" w:hAnsi="Times New Roman" w:cs="Times New Roman"/>
          <w:szCs w:val="22"/>
        </w:rPr>
        <w:t xml:space="preserve">sulfur </w:t>
      </w:r>
      <w:r w:rsidR="00035615" w:rsidRPr="002A73C5">
        <w:rPr>
          <w:rFonts w:ascii="Times New Roman" w:hAnsi="Times New Roman" w:cs="Times New Roman"/>
          <w:szCs w:val="22"/>
        </w:rPr>
        <w:t xml:space="preserve">content in fuel </w:t>
      </w:r>
      <w:r w:rsidR="00F92098" w:rsidRPr="002A73C5">
        <w:rPr>
          <w:rFonts w:ascii="Times New Roman" w:hAnsi="Times New Roman" w:cs="Times New Roman"/>
          <w:szCs w:val="22"/>
        </w:rPr>
        <w:t xml:space="preserve">(Shah and Nagpal, 1997; IPCC, 2006; UNEP, 2006;  NEERI, 2008; CEA, 2014; IOC, 2015)  </w:t>
      </w:r>
      <w:r w:rsidR="00035615" w:rsidRPr="002A73C5">
        <w:rPr>
          <w:rFonts w:ascii="Times New Roman" w:hAnsi="Times New Roman" w:cs="Times New Roman"/>
          <w:szCs w:val="22"/>
        </w:rPr>
        <w:t xml:space="preserve">. </w:t>
      </w:r>
    </w:p>
    <w:p w14:paraId="5077B392" w14:textId="685C57F5" w:rsidR="00035615" w:rsidRPr="002A73C5" w:rsidRDefault="00DA4C7E" w:rsidP="00AC18ED">
      <w:pPr>
        <w:autoSpaceDE w:val="0"/>
        <w:autoSpaceDN w:val="0"/>
        <w:adjustRightInd w:val="0"/>
        <w:spacing w:after="120" w:line="276" w:lineRule="auto"/>
        <w:jc w:val="both"/>
        <w:rPr>
          <w:rFonts w:ascii="Times New Roman" w:hAnsi="Times New Roman" w:cs="Times New Roman"/>
          <w:szCs w:val="22"/>
        </w:rPr>
      </w:pPr>
      <w:r>
        <w:rPr>
          <w:rFonts w:ascii="Times New Roman" w:hAnsi="Times New Roman" w:cs="Times New Roman"/>
          <w:color w:val="000000"/>
          <w:szCs w:val="22"/>
        </w:rPr>
        <w:t>To calculate</w:t>
      </w:r>
      <w:r w:rsidR="00035615" w:rsidRPr="00AC18ED">
        <w:rPr>
          <w:rFonts w:ascii="Times New Roman" w:hAnsi="Times New Roman" w:cs="Times New Roman"/>
          <w:color w:val="000000"/>
          <w:szCs w:val="22"/>
        </w:rPr>
        <w:t xml:space="preserve"> GHG emission</w:t>
      </w:r>
      <w:r>
        <w:rPr>
          <w:rFonts w:ascii="Times New Roman" w:hAnsi="Times New Roman" w:cs="Times New Roman"/>
          <w:color w:val="000000"/>
          <w:szCs w:val="22"/>
        </w:rPr>
        <w:t>s</w:t>
      </w:r>
      <w:r w:rsidR="00035615" w:rsidRPr="00AC18ED">
        <w:rPr>
          <w:rFonts w:ascii="Times New Roman" w:hAnsi="Times New Roman" w:cs="Times New Roman"/>
          <w:color w:val="000000"/>
          <w:szCs w:val="22"/>
        </w:rPr>
        <w:t xml:space="preserve"> from fuel combustion, </w:t>
      </w:r>
      <w:r w:rsidRPr="00AC18ED">
        <w:rPr>
          <w:rFonts w:ascii="Times New Roman" w:hAnsi="Times New Roman" w:cs="Times New Roman"/>
          <w:color w:val="000000"/>
          <w:szCs w:val="22"/>
        </w:rPr>
        <w:t>India</w:t>
      </w:r>
      <w:r>
        <w:rPr>
          <w:rFonts w:ascii="Times New Roman" w:hAnsi="Times New Roman" w:cs="Times New Roman"/>
          <w:color w:val="000000"/>
          <w:szCs w:val="22"/>
        </w:rPr>
        <w:t>-</w:t>
      </w:r>
      <w:r w:rsidR="00035615" w:rsidRPr="00AC18ED">
        <w:rPr>
          <w:rFonts w:ascii="Times New Roman" w:hAnsi="Times New Roman" w:cs="Times New Roman"/>
          <w:color w:val="000000"/>
          <w:szCs w:val="22"/>
        </w:rPr>
        <w:t xml:space="preserve">specific emission factors </w:t>
      </w:r>
      <w:r>
        <w:rPr>
          <w:rFonts w:ascii="Times New Roman" w:hAnsi="Times New Roman" w:cs="Times New Roman"/>
          <w:color w:val="000000"/>
          <w:szCs w:val="22"/>
        </w:rPr>
        <w:t>were</w:t>
      </w:r>
      <w:r w:rsidR="00035615" w:rsidRPr="00AC18ED">
        <w:rPr>
          <w:rFonts w:ascii="Times New Roman" w:hAnsi="Times New Roman" w:cs="Times New Roman"/>
          <w:color w:val="000000"/>
          <w:szCs w:val="22"/>
        </w:rPr>
        <w:t xml:space="preserve"> used, wherever available, or otherwise taken from the GAINS model for South </w:t>
      </w:r>
      <w:r w:rsidR="00035615" w:rsidRPr="002A73C5">
        <w:rPr>
          <w:rFonts w:ascii="Times New Roman" w:hAnsi="Times New Roman" w:cs="Times New Roman"/>
          <w:szCs w:val="22"/>
        </w:rPr>
        <w:t>Asia</w:t>
      </w:r>
      <w:r w:rsidR="00F92098" w:rsidRPr="002A73C5">
        <w:rPr>
          <w:rFonts w:ascii="Times New Roman" w:hAnsi="Times New Roman" w:cs="Times New Roman"/>
          <w:szCs w:val="22"/>
        </w:rPr>
        <w:t xml:space="preserve"> (Purohit et al., 2010)</w:t>
      </w:r>
      <w:r w:rsidR="00035615" w:rsidRPr="002A73C5">
        <w:rPr>
          <w:rFonts w:ascii="Times New Roman" w:hAnsi="Times New Roman" w:cs="Times New Roman"/>
          <w:szCs w:val="22"/>
        </w:rPr>
        <w:t xml:space="preserve">. </w:t>
      </w:r>
      <w:r w:rsidRPr="002A73C5">
        <w:rPr>
          <w:rFonts w:ascii="Times New Roman" w:hAnsi="Times New Roman" w:cs="Times New Roman"/>
          <w:szCs w:val="22"/>
        </w:rPr>
        <w:t xml:space="preserve">GAINS </w:t>
      </w:r>
      <w:r w:rsidRPr="00AC18ED">
        <w:rPr>
          <w:rFonts w:ascii="Times New Roman" w:hAnsi="Times New Roman" w:cs="Times New Roman"/>
          <w:color w:val="000000"/>
          <w:szCs w:val="22"/>
        </w:rPr>
        <w:t>emission factors were</w:t>
      </w:r>
      <w:r>
        <w:rPr>
          <w:rFonts w:ascii="Times New Roman" w:hAnsi="Times New Roman" w:cs="Times New Roman"/>
          <w:color w:val="000000"/>
          <w:szCs w:val="22"/>
        </w:rPr>
        <w:t xml:space="preserve"> also</w:t>
      </w:r>
      <w:r w:rsidRPr="00AC18ED">
        <w:rPr>
          <w:rFonts w:ascii="Times New Roman" w:hAnsi="Times New Roman" w:cs="Times New Roman"/>
          <w:color w:val="000000"/>
          <w:szCs w:val="22"/>
        </w:rPr>
        <w:t xml:space="preserve"> </w:t>
      </w:r>
      <w:r w:rsidRPr="002A73C5">
        <w:rPr>
          <w:rFonts w:ascii="Times New Roman" w:hAnsi="Times New Roman" w:cs="Times New Roman"/>
          <w:szCs w:val="22"/>
        </w:rPr>
        <w:t xml:space="preserve">used in this study for </w:t>
      </w:r>
      <w:r w:rsidR="00035615" w:rsidRPr="002A73C5">
        <w:rPr>
          <w:rFonts w:ascii="Times New Roman" w:hAnsi="Times New Roman" w:cs="Times New Roman"/>
          <w:szCs w:val="22"/>
        </w:rPr>
        <w:t>CO</w:t>
      </w:r>
      <w:r w:rsidR="00035615" w:rsidRPr="002A73C5">
        <w:rPr>
          <w:rFonts w:ascii="Times New Roman" w:hAnsi="Times New Roman" w:cs="Times New Roman"/>
          <w:szCs w:val="22"/>
          <w:vertAlign w:val="subscript"/>
        </w:rPr>
        <w:t>2</w:t>
      </w:r>
      <w:r w:rsidR="00035615" w:rsidRPr="002A73C5">
        <w:rPr>
          <w:rFonts w:ascii="Times New Roman" w:hAnsi="Times New Roman" w:cs="Times New Roman"/>
          <w:szCs w:val="22"/>
        </w:rPr>
        <w:t xml:space="preserve"> emissions. </w:t>
      </w:r>
      <w:r w:rsidRPr="002A73C5">
        <w:rPr>
          <w:rFonts w:ascii="Times New Roman" w:hAnsi="Times New Roman" w:cs="Times New Roman"/>
          <w:szCs w:val="22"/>
        </w:rPr>
        <w:t>To estimate</w:t>
      </w:r>
      <w:r w:rsidR="00035615" w:rsidRPr="002A73C5">
        <w:rPr>
          <w:rFonts w:ascii="Times New Roman" w:hAnsi="Times New Roman" w:cs="Times New Roman"/>
          <w:szCs w:val="22"/>
        </w:rPr>
        <w:t xml:space="preserve"> CH</w:t>
      </w:r>
      <w:r w:rsidR="00035615" w:rsidRPr="002A73C5">
        <w:rPr>
          <w:rFonts w:ascii="Times New Roman" w:hAnsi="Times New Roman" w:cs="Times New Roman"/>
          <w:szCs w:val="22"/>
          <w:vertAlign w:val="subscript"/>
        </w:rPr>
        <w:t>4</w:t>
      </w:r>
      <w:r w:rsidR="00035615" w:rsidRPr="002A73C5">
        <w:rPr>
          <w:rFonts w:ascii="Times New Roman" w:hAnsi="Times New Roman" w:cs="Times New Roman"/>
          <w:szCs w:val="22"/>
        </w:rPr>
        <w:t xml:space="preserve"> and N</w:t>
      </w:r>
      <w:r w:rsidR="00035615" w:rsidRPr="002A73C5">
        <w:rPr>
          <w:rFonts w:ascii="Times New Roman" w:hAnsi="Times New Roman" w:cs="Times New Roman"/>
          <w:szCs w:val="22"/>
          <w:vertAlign w:val="subscript"/>
        </w:rPr>
        <w:t>2</w:t>
      </w:r>
      <w:r w:rsidR="00035615" w:rsidRPr="002A73C5">
        <w:rPr>
          <w:rFonts w:ascii="Times New Roman" w:hAnsi="Times New Roman" w:cs="Times New Roman"/>
          <w:szCs w:val="22"/>
        </w:rPr>
        <w:t xml:space="preserve">O emissions, </w:t>
      </w:r>
      <w:r w:rsidRPr="002A73C5">
        <w:rPr>
          <w:rFonts w:ascii="Times New Roman" w:hAnsi="Times New Roman" w:cs="Times New Roman"/>
          <w:szCs w:val="22"/>
        </w:rPr>
        <w:t xml:space="preserve">and </w:t>
      </w:r>
      <w:r w:rsidR="00035615" w:rsidRPr="002A73C5">
        <w:rPr>
          <w:rFonts w:ascii="Times New Roman" w:hAnsi="Times New Roman" w:cs="Times New Roman"/>
          <w:szCs w:val="22"/>
        </w:rPr>
        <w:t>emission factors for waste and agricultural activities,</w:t>
      </w:r>
      <w:r w:rsidR="00774A64" w:rsidRPr="002A73C5">
        <w:rPr>
          <w:rFonts w:ascii="Times New Roman" w:hAnsi="Times New Roman" w:cs="Times New Roman"/>
          <w:szCs w:val="22"/>
        </w:rPr>
        <w:t xml:space="preserve"> </w:t>
      </w:r>
      <w:r w:rsidRPr="002A73C5">
        <w:rPr>
          <w:rFonts w:ascii="Times New Roman" w:hAnsi="Times New Roman" w:cs="Times New Roman"/>
          <w:szCs w:val="22"/>
        </w:rPr>
        <w:t xml:space="preserve">the </w:t>
      </w:r>
      <w:r w:rsidR="00035615" w:rsidRPr="002A73C5">
        <w:rPr>
          <w:rFonts w:ascii="Times New Roman" w:hAnsi="Times New Roman" w:cs="Times New Roman"/>
          <w:szCs w:val="22"/>
        </w:rPr>
        <w:t>IPCC Guidelines for National Greenhouse Gas Inventories</w:t>
      </w:r>
      <w:r w:rsidRPr="002A73C5">
        <w:rPr>
          <w:rFonts w:ascii="Times New Roman" w:hAnsi="Times New Roman" w:cs="Times New Roman"/>
          <w:szCs w:val="22"/>
        </w:rPr>
        <w:t>,</w:t>
      </w:r>
      <w:r w:rsidR="00035615" w:rsidRPr="002A73C5">
        <w:rPr>
          <w:rFonts w:ascii="Times New Roman" w:hAnsi="Times New Roman" w:cs="Times New Roman"/>
          <w:szCs w:val="22"/>
        </w:rPr>
        <w:t xml:space="preserve"> published in 2006</w:t>
      </w:r>
      <w:r w:rsidR="00F92098" w:rsidRPr="002A73C5">
        <w:rPr>
          <w:rFonts w:ascii="Times New Roman" w:hAnsi="Times New Roman" w:cs="Times New Roman"/>
          <w:szCs w:val="22"/>
        </w:rPr>
        <w:t xml:space="preserve"> (IPCC, 2006)</w:t>
      </w:r>
      <w:r w:rsidRPr="002A73C5">
        <w:rPr>
          <w:rFonts w:ascii="Times New Roman" w:hAnsi="Times New Roman" w:cs="Times New Roman"/>
          <w:szCs w:val="22"/>
        </w:rPr>
        <w:t>,</w:t>
      </w:r>
      <w:r w:rsidR="00035615" w:rsidRPr="002A73C5">
        <w:rPr>
          <w:rFonts w:ascii="Times New Roman" w:hAnsi="Times New Roman" w:cs="Times New Roman"/>
          <w:szCs w:val="22"/>
        </w:rPr>
        <w:t xml:space="preserve"> </w:t>
      </w:r>
      <w:r w:rsidRPr="002A73C5">
        <w:rPr>
          <w:rFonts w:ascii="Times New Roman" w:hAnsi="Times New Roman" w:cs="Times New Roman"/>
          <w:szCs w:val="22"/>
        </w:rPr>
        <w:t>were</w:t>
      </w:r>
      <w:r w:rsidR="00035615" w:rsidRPr="002A73C5">
        <w:rPr>
          <w:rFonts w:ascii="Times New Roman" w:hAnsi="Times New Roman" w:cs="Times New Roman"/>
          <w:szCs w:val="22"/>
        </w:rPr>
        <w:t xml:space="preserve"> used with </w:t>
      </w:r>
      <w:r w:rsidRPr="002A73C5">
        <w:rPr>
          <w:rFonts w:ascii="Times New Roman" w:hAnsi="Times New Roman" w:cs="Times New Roman"/>
          <w:szCs w:val="22"/>
        </w:rPr>
        <w:t>India-</w:t>
      </w:r>
      <w:r w:rsidR="00035615" w:rsidRPr="002A73C5">
        <w:rPr>
          <w:rFonts w:ascii="Times New Roman" w:hAnsi="Times New Roman" w:cs="Times New Roman"/>
          <w:szCs w:val="22"/>
        </w:rPr>
        <w:t>specific values</w:t>
      </w:r>
      <w:r w:rsidR="00774A64" w:rsidRPr="002A73C5">
        <w:rPr>
          <w:rFonts w:ascii="Times New Roman" w:hAnsi="Times New Roman" w:cs="Times New Roman"/>
          <w:szCs w:val="22"/>
        </w:rPr>
        <w:t xml:space="preserve"> </w:t>
      </w:r>
      <w:r w:rsidRPr="002A73C5">
        <w:rPr>
          <w:rFonts w:ascii="Times New Roman" w:hAnsi="Times New Roman" w:cs="Times New Roman"/>
          <w:szCs w:val="22"/>
        </w:rPr>
        <w:t>for each</w:t>
      </w:r>
      <w:r w:rsidR="00035615" w:rsidRPr="002A73C5">
        <w:rPr>
          <w:rFonts w:ascii="Times New Roman" w:hAnsi="Times New Roman" w:cs="Times New Roman"/>
          <w:szCs w:val="22"/>
        </w:rPr>
        <w:t xml:space="preserve"> activity.</w:t>
      </w:r>
    </w:p>
    <w:p w14:paraId="1B30C660" w14:textId="30166306" w:rsidR="00035615" w:rsidRPr="00AC18ED" w:rsidRDefault="00035615" w:rsidP="00AC18ED">
      <w:pPr>
        <w:autoSpaceDE w:val="0"/>
        <w:autoSpaceDN w:val="0"/>
        <w:adjustRightInd w:val="0"/>
        <w:spacing w:after="120" w:line="276" w:lineRule="auto"/>
        <w:jc w:val="both"/>
        <w:rPr>
          <w:rFonts w:ascii="Times New Roman" w:hAnsi="Times New Roman" w:cs="Times New Roman"/>
          <w:szCs w:val="22"/>
        </w:rPr>
      </w:pPr>
      <w:r w:rsidRPr="002A73C5">
        <w:rPr>
          <w:rFonts w:ascii="Times New Roman" w:hAnsi="Times New Roman" w:cs="Times New Roman"/>
          <w:szCs w:val="22"/>
        </w:rPr>
        <w:t xml:space="preserve">Vehicular pollution sources are not homogenous, as </w:t>
      </w:r>
      <w:r w:rsidRPr="00AC18ED">
        <w:rPr>
          <w:rFonts w:ascii="Times New Roman" w:hAnsi="Times New Roman" w:cs="Times New Roman"/>
          <w:color w:val="000000"/>
          <w:szCs w:val="22"/>
        </w:rPr>
        <w:t>there is a mix of fuel (gasoline, diesel, natural gas), engine type (2-stroke, 4-stroke) and controls (Bharat Stage (BS-I), BS-II, BS-III or BS-IV etc.). Emission factors developed</w:t>
      </w:r>
      <w:r w:rsidR="00774A64">
        <w:rPr>
          <w:rFonts w:ascii="Times New Roman" w:hAnsi="Times New Roman" w:cs="Times New Roman"/>
          <w:color w:val="000000"/>
          <w:szCs w:val="22"/>
        </w:rPr>
        <w:t xml:space="preserve"> </w:t>
      </w:r>
      <w:r w:rsidRPr="00AC18ED">
        <w:rPr>
          <w:rFonts w:ascii="Times New Roman" w:hAnsi="Times New Roman" w:cs="Times New Roman"/>
          <w:color w:val="000000"/>
          <w:szCs w:val="22"/>
        </w:rPr>
        <w:t xml:space="preserve">by the Automotive </w:t>
      </w:r>
      <w:r w:rsidRPr="00AC18ED">
        <w:rPr>
          <w:rFonts w:ascii="Times New Roman" w:hAnsi="Times New Roman" w:cs="Times New Roman"/>
          <w:szCs w:val="22"/>
        </w:rPr>
        <w:t>Research Association of India</w:t>
      </w:r>
      <w:r w:rsidR="00DA4C7E">
        <w:rPr>
          <w:rFonts w:ascii="Times New Roman" w:hAnsi="Times New Roman" w:cs="Times New Roman"/>
          <w:szCs w:val="22"/>
        </w:rPr>
        <w:t xml:space="preserve"> </w:t>
      </w:r>
      <w:r w:rsidR="00E83CB6">
        <w:rPr>
          <w:rFonts w:ascii="Times New Roman" w:hAnsi="Times New Roman" w:cs="Times New Roman"/>
          <w:szCs w:val="22"/>
        </w:rPr>
        <w:t xml:space="preserve">(ARAI) </w:t>
      </w:r>
      <w:r w:rsidR="00DA4C7E" w:rsidRPr="00AC18ED">
        <w:rPr>
          <w:rFonts w:ascii="Times New Roman" w:hAnsi="Times New Roman" w:cs="Times New Roman"/>
          <w:szCs w:val="22"/>
        </w:rPr>
        <w:t>are used in this study</w:t>
      </w:r>
      <w:r w:rsidR="00DA4C7E">
        <w:rPr>
          <w:rFonts w:ascii="Times New Roman" w:hAnsi="Times New Roman" w:cs="Times New Roman"/>
          <w:szCs w:val="22"/>
        </w:rPr>
        <w:t>; these</w:t>
      </w:r>
      <w:r w:rsidR="00774A64">
        <w:rPr>
          <w:rFonts w:ascii="Times New Roman" w:hAnsi="Times New Roman" w:cs="Times New Roman"/>
          <w:szCs w:val="22"/>
        </w:rPr>
        <w:t xml:space="preserve"> </w:t>
      </w:r>
      <w:r w:rsidR="00DA4C7E">
        <w:rPr>
          <w:rFonts w:ascii="Times New Roman" w:hAnsi="Times New Roman" w:cs="Times New Roman"/>
          <w:szCs w:val="22"/>
        </w:rPr>
        <w:t xml:space="preserve">include </w:t>
      </w:r>
      <w:r w:rsidRPr="00AC18ED">
        <w:rPr>
          <w:rFonts w:ascii="Times New Roman" w:hAnsi="Times New Roman" w:cs="Times New Roman"/>
          <w:szCs w:val="22"/>
        </w:rPr>
        <w:t xml:space="preserve">the Indian driving cycle, the age of vehicles, </w:t>
      </w:r>
      <w:r w:rsidR="00636695">
        <w:rPr>
          <w:rFonts w:ascii="Times New Roman" w:hAnsi="Times New Roman" w:cs="Times New Roman"/>
          <w:szCs w:val="22"/>
        </w:rPr>
        <w:t xml:space="preserve">and current </w:t>
      </w:r>
      <w:r w:rsidRPr="00AC18ED">
        <w:rPr>
          <w:rFonts w:ascii="Times New Roman" w:hAnsi="Times New Roman" w:cs="Times New Roman"/>
          <w:szCs w:val="22"/>
        </w:rPr>
        <w:t xml:space="preserve">engine </w:t>
      </w:r>
      <w:r w:rsidRPr="00B60570">
        <w:rPr>
          <w:rFonts w:ascii="Times New Roman" w:hAnsi="Times New Roman" w:cs="Times New Roman"/>
          <w:szCs w:val="22"/>
        </w:rPr>
        <w:t>technology</w:t>
      </w:r>
      <w:r w:rsidR="00F92098" w:rsidRPr="00B60570">
        <w:rPr>
          <w:rFonts w:ascii="Times New Roman" w:hAnsi="Times New Roman" w:cs="Times New Roman"/>
          <w:szCs w:val="22"/>
        </w:rPr>
        <w:t xml:space="preserve"> (ARAI, 2007; NEERI, 2008;  CPCB, 2011)</w:t>
      </w:r>
      <w:r w:rsidRPr="00B60570">
        <w:rPr>
          <w:rFonts w:ascii="Times New Roman" w:hAnsi="Times New Roman" w:cs="Times New Roman"/>
          <w:szCs w:val="22"/>
        </w:rPr>
        <w:t>. Emission factors for new control technologies (BS-IV, BS</w:t>
      </w:r>
      <w:r w:rsidRPr="00AC18ED">
        <w:rPr>
          <w:rFonts w:ascii="Times New Roman" w:hAnsi="Times New Roman" w:cs="Times New Roman"/>
          <w:szCs w:val="22"/>
        </w:rPr>
        <w:t xml:space="preserve">-VI) are taken from the GAINS model. </w:t>
      </w:r>
      <w:r w:rsidR="00636695">
        <w:rPr>
          <w:rFonts w:ascii="Times New Roman" w:hAnsi="Times New Roman" w:cs="Times New Roman"/>
          <w:szCs w:val="22"/>
        </w:rPr>
        <w:t>Emission</w:t>
      </w:r>
      <w:r w:rsidRPr="00AC18ED">
        <w:rPr>
          <w:rFonts w:ascii="Times New Roman" w:hAnsi="Times New Roman" w:cs="Times New Roman"/>
          <w:szCs w:val="22"/>
        </w:rPr>
        <w:t xml:space="preserve"> factors from </w:t>
      </w:r>
      <w:r w:rsidR="00636695">
        <w:rPr>
          <w:rFonts w:ascii="Times New Roman" w:hAnsi="Times New Roman" w:cs="Times New Roman"/>
          <w:szCs w:val="22"/>
        </w:rPr>
        <w:t xml:space="preserve">the </w:t>
      </w:r>
      <w:r w:rsidRPr="00AC18ED">
        <w:rPr>
          <w:rFonts w:ascii="Times New Roman" w:hAnsi="Times New Roman" w:cs="Times New Roman"/>
          <w:szCs w:val="22"/>
        </w:rPr>
        <w:t xml:space="preserve">GAINS model are </w:t>
      </w:r>
      <w:r w:rsidR="00636695">
        <w:rPr>
          <w:rFonts w:ascii="Times New Roman" w:hAnsi="Times New Roman" w:cs="Times New Roman"/>
          <w:szCs w:val="22"/>
        </w:rPr>
        <w:t xml:space="preserve">also </w:t>
      </w:r>
      <w:r w:rsidRPr="00AC18ED">
        <w:rPr>
          <w:rFonts w:ascii="Times New Roman" w:hAnsi="Times New Roman" w:cs="Times New Roman"/>
          <w:szCs w:val="22"/>
        </w:rPr>
        <w:t xml:space="preserve">used to estimate emissions from tyre wear, break wear, </w:t>
      </w:r>
      <w:r w:rsidR="00636695">
        <w:rPr>
          <w:rFonts w:ascii="Times New Roman" w:hAnsi="Times New Roman" w:cs="Times New Roman"/>
          <w:szCs w:val="22"/>
        </w:rPr>
        <w:t xml:space="preserve">and </w:t>
      </w:r>
      <w:r w:rsidRPr="00AC18ED">
        <w:rPr>
          <w:rFonts w:ascii="Times New Roman" w:hAnsi="Times New Roman" w:cs="Times New Roman"/>
          <w:szCs w:val="22"/>
        </w:rPr>
        <w:t>abrasion</w:t>
      </w:r>
      <w:r w:rsidR="00636695">
        <w:rPr>
          <w:rFonts w:ascii="Times New Roman" w:hAnsi="Times New Roman" w:cs="Times New Roman"/>
          <w:szCs w:val="22"/>
        </w:rPr>
        <w:t>—</w:t>
      </w:r>
      <w:r w:rsidR="00636695" w:rsidRPr="00B60570">
        <w:rPr>
          <w:rFonts w:ascii="Times New Roman" w:hAnsi="Times New Roman" w:cs="Times New Roman"/>
          <w:szCs w:val="22"/>
        </w:rPr>
        <w:t>the</w:t>
      </w:r>
      <w:r w:rsidR="00774A64" w:rsidRPr="00B60570">
        <w:rPr>
          <w:rFonts w:ascii="Times New Roman" w:hAnsi="Times New Roman" w:cs="Times New Roman"/>
          <w:szCs w:val="22"/>
        </w:rPr>
        <w:t xml:space="preserve"> </w:t>
      </w:r>
      <w:r w:rsidRPr="00B60570">
        <w:rPr>
          <w:rFonts w:ascii="Times New Roman" w:hAnsi="Times New Roman" w:cs="Times New Roman"/>
          <w:szCs w:val="22"/>
        </w:rPr>
        <w:t xml:space="preserve">resuspension of dust on roads </w:t>
      </w:r>
      <w:r w:rsidR="00636695" w:rsidRPr="00B60570">
        <w:rPr>
          <w:rFonts w:ascii="Times New Roman" w:hAnsi="Times New Roman" w:cs="Times New Roman"/>
          <w:szCs w:val="22"/>
        </w:rPr>
        <w:t xml:space="preserve">was </w:t>
      </w:r>
      <w:r w:rsidRPr="00B60570">
        <w:rPr>
          <w:rFonts w:ascii="Times New Roman" w:hAnsi="Times New Roman" w:cs="Times New Roman"/>
          <w:szCs w:val="22"/>
        </w:rPr>
        <w:t>estimated using the USEPA AP-42 methodology</w:t>
      </w:r>
      <w:r w:rsidR="00F92098" w:rsidRPr="00B60570">
        <w:rPr>
          <w:rFonts w:ascii="Times New Roman" w:hAnsi="Times New Roman" w:cs="Times New Roman"/>
          <w:szCs w:val="22"/>
        </w:rPr>
        <w:t xml:space="preserve"> (US EPA, 2006)</w:t>
      </w:r>
      <w:r w:rsidRPr="00B60570">
        <w:rPr>
          <w:rFonts w:ascii="Times New Roman" w:hAnsi="Times New Roman" w:cs="Times New Roman"/>
          <w:szCs w:val="22"/>
        </w:rPr>
        <w:t xml:space="preserve">  based on silt content</w:t>
      </w:r>
      <w:r w:rsidR="00F92098" w:rsidRPr="00B60570">
        <w:rPr>
          <w:rFonts w:ascii="Times New Roman" w:hAnsi="Times New Roman" w:cs="Times New Roman"/>
          <w:szCs w:val="22"/>
        </w:rPr>
        <w:t xml:space="preserve"> (NEERI, 2008; CPCB, 2011)</w:t>
      </w:r>
      <w:r w:rsidR="00636695" w:rsidRPr="00B60570">
        <w:rPr>
          <w:rFonts w:ascii="Times New Roman" w:hAnsi="Times New Roman" w:cs="Times New Roman"/>
          <w:szCs w:val="22"/>
        </w:rPr>
        <w:t>,</w:t>
      </w:r>
      <w:r w:rsidR="00774A64" w:rsidRPr="00B60570">
        <w:rPr>
          <w:rFonts w:ascii="Times New Roman" w:hAnsi="Times New Roman" w:cs="Times New Roman"/>
          <w:szCs w:val="22"/>
        </w:rPr>
        <w:t xml:space="preserve"> </w:t>
      </w:r>
      <w:r w:rsidRPr="00B60570">
        <w:rPr>
          <w:rFonts w:ascii="Times New Roman" w:hAnsi="Times New Roman" w:cs="Times New Roman"/>
          <w:szCs w:val="22"/>
        </w:rPr>
        <w:t>modified in consultation with IIASA</w:t>
      </w:r>
      <w:r w:rsidR="00636695" w:rsidRPr="00B60570">
        <w:rPr>
          <w:rFonts w:ascii="Times New Roman" w:hAnsi="Times New Roman" w:cs="Times New Roman"/>
          <w:szCs w:val="22"/>
        </w:rPr>
        <w:t>,</w:t>
      </w:r>
      <w:r w:rsidR="00774A64" w:rsidRPr="00B60570">
        <w:rPr>
          <w:rFonts w:ascii="Times New Roman" w:hAnsi="Times New Roman" w:cs="Times New Roman"/>
          <w:szCs w:val="22"/>
        </w:rPr>
        <w:t xml:space="preserve"> </w:t>
      </w:r>
      <w:r w:rsidRPr="00B60570">
        <w:rPr>
          <w:rFonts w:ascii="Times New Roman" w:hAnsi="Times New Roman" w:cs="Times New Roman"/>
          <w:szCs w:val="22"/>
        </w:rPr>
        <w:t>and</w:t>
      </w:r>
      <w:r w:rsidR="00636695" w:rsidRPr="00B60570">
        <w:rPr>
          <w:rFonts w:ascii="Times New Roman" w:hAnsi="Times New Roman" w:cs="Times New Roman"/>
          <w:szCs w:val="22"/>
        </w:rPr>
        <w:t xml:space="preserve"> then</w:t>
      </w:r>
      <w:r w:rsidR="00774A64" w:rsidRPr="00B60570">
        <w:rPr>
          <w:rFonts w:ascii="Times New Roman" w:hAnsi="Times New Roman" w:cs="Times New Roman"/>
          <w:szCs w:val="22"/>
        </w:rPr>
        <w:t xml:space="preserve"> </w:t>
      </w:r>
      <w:r w:rsidRPr="00B60570">
        <w:rPr>
          <w:rFonts w:ascii="Times New Roman" w:hAnsi="Times New Roman" w:cs="Times New Roman"/>
          <w:szCs w:val="22"/>
        </w:rPr>
        <w:t xml:space="preserve">added </w:t>
      </w:r>
      <w:r w:rsidRPr="00AC18ED">
        <w:rPr>
          <w:rFonts w:ascii="Times New Roman" w:hAnsi="Times New Roman" w:cs="Times New Roman"/>
          <w:szCs w:val="22"/>
        </w:rPr>
        <w:t>to abrasion emissions.</w:t>
      </w:r>
    </w:p>
    <w:p w14:paraId="0E894F2F" w14:textId="77777777" w:rsidR="00AC18ED" w:rsidRDefault="00AC18ED">
      <w:pPr>
        <w:rPr>
          <w:rFonts w:ascii="Times New Roman" w:eastAsiaTheme="majorEastAsia" w:hAnsi="Times New Roman" w:cs="Times New Roman"/>
          <w:b/>
          <w:color w:val="2E74B5" w:themeColor="accent1" w:themeShade="BF"/>
          <w:sz w:val="24"/>
          <w:szCs w:val="22"/>
        </w:rPr>
      </w:pPr>
      <w:r>
        <w:rPr>
          <w:rFonts w:ascii="Times New Roman" w:hAnsi="Times New Roman" w:cs="Times New Roman"/>
          <w:b/>
          <w:sz w:val="24"/>
          <w:szCs w:val="22"/>
        </w:rPr>
        <w:br w:type="page"/>
      </w:r>
    </w:p>
    <w:p w14:paraId="39371EA7" w14:textId="02B6AFD1" w:rsidR="00CE1AC6" w:rsidRPr="00AC18ED" w:rsidRDefault="00CE1AC6" w:rsidP="00AC18ED">
      <w:pPr>
        <w:pStyle w:val="Heading1"/>
        <w:numPr>
          <w:ilvl w:val="0"/>
          <w:numId w:val="11"/>
        </w:numPr>
        <w:spacing w:before="0" w:after="120" w:line="276" w:lineRule="auto"/>
        <w:rPr>
          <w:rFonts w:ascii="Times New Roman" w:hAnsi="Times New Roman" w:cs="Times New Roman"/>
          <w:b/>
          <w:sz w:val="24"/>
          <w:szCs w:val="22"/>
        </w:rPr>
      </w:pPr>
      <w:bookmarkStart w:id="28" w:name="_Toc22630745"/>
      <w:r w:rsidRPr="00AC18ED">
        <w:rPr>
          <w:rFonts w:ascii="Times New Roman" w:hAnsi="Times New Roman" w:cs="Times New Roman"/>
          <w:b/>
          <w:sz w:val="24"/>
          <w:szCs w:val="22"/>
        </w:rPr>
        <w:lastRenderedPageBreak/>
        <w:t xml:space="preserve">Drivers </w:t>
      </w:r>
      <w:r w:rsidR="00AC2E1B">
        <w:rPr>
          <w:rFonts w:ascii="Times New Roman" w:hAnsi="Times New Roman" w:cs="Times New Roman"/>
          <w:b/>
          <w:sz w:val="24"/>
          <w:szCs w:val="22"/>
        </w:rPr>
        <w:t>of</w:t>
      </w:r>
      <w:r w:rsidR="00AC2E1B" w:rsidRPr="00AC18ED">
        <w:rPr>
          <w:rFonts w:ascii="Times New Roman" w:hAnsi="Times New Roman" w:cs="Times New Roman"/>
          <w:b/>
          <w:sz w:val="24"/>
          <w:szCs w:val="22"/>
        </w:rPr>
        <w:t xml:space="preserve"> </w:t>
      </w:r>
      <w:r w:rsidR="005075A2" w:rsidRPr="00AC18ED">
        <w:rPr>
          <w:rFonts w:ascii="Times New Roman" w:hAnsi="Times New Roman" w:cs="Times New Roman"/>
          <w:b/>
          <w:sz w:val="24"/>
          <w:szCs w:val="22"/>
        </w:rPr>
        <w:t>f</w:t>
      </w:r>
      <w:r w:rsidRPr="00AC18ED">
        <w:rPr>
          <w:rFonts w:ascii="Times New Roman" w:hAnsi="Times New Roman" w:cs="Times New Roman"/>
          <w:b/>
          <w:sz w:val="24"/>
          <w:szCs w:val="22"/>
        </w:rPr>
        <w:t>uture projections for Kolkata</w:t>
      </w:r>
      <w:bookmarkEnd w:id="28"/>
      <w:r w:rsidRPr="00AC18ED">
        <w:rPr>
          <w:rFonts w:ascii="Times New Roman" w:hAnsi="Times New Roman" w:cs="Times New Roman"/>
          <w:b/>
          <w:sz w:val="24"/>
          <w:szCs w:val="22"/>
        </w:rPr>
        <w:t xml:space="preserve"> </w:t>
      </w:r>
    </w:p>
    <w:p w14:paraId="129FB4FA" w14:textId="1B62D897" w:rsidR="00CE1AC6" w:rsidRPr="00AC18ED" w:rsidRDefault="00CE1AC6" w:rsidP="00AC18ED">
      <w:pPr>
        <w:autoSpaceDE w:val="0"/>
        <w:autoSpaceDN w:val="0"/>
        <w:adjustRightInd w:val="0"/>
        <w:spacing w:after="120" w:line="276" w:lineRule="auto"/>
        <w:jc w:val="both"/>
        <w:rPr>
          <w:rFonts w:ascii="Times New Roman" w:hAnsi="Times New Roman" w:cs="Times New Roman"/>
          <w:szCs w:val="22"/>
        </w:rPr>
      </w:pPr>
      <w:r w:rsidRPr="00AC18ED">
        <w:rPr>
          <w:rFonts w:ascii="Times New Roman" w:hAnsi="Times New Roman" w:cs="Times New Roman"/>
          <w:szCs w:val="22"/>
        </w:rPr>
        <w:t>The growth of population</w:t>
      </w:r>
      <w:r w:rsidR="00CF7A4E">
        <w:rPr>
          <w:rFonts w:ascii="Times New Roman" w:hAnsi="Times New Roman" w:cs="Times New Roman"/>
          <w:szCs w:val="22"/>
        </w:rPr>
        <w:t xml:space="preserve"> in</w:t>
      </w:r>
      <w:r w:rsidR="00774A64">
        <w:rPr>
          <w:rFonts w:ascii="Times New Roman" w:hAnsi="Times New Roman" w:cs="Times New Roman"/>
          <w:szCs w:val="22"/>
        </w:rPr>
        <w:t xml:space="preserve"> </w:t>
      </w:r>
      <w:r w:rsidR="00A7166F">
        <w:rPr>
          <w:rFonts w:ascii="Times New Roman" w:hAnsi="Times New Roman" w:cs="Times New Roman"/>
          <w:szCs w:val="22"/>
        </w:rPr>
        <w:t>KMC</w:t>
      </w:r>
      <w:r w:rsidR="006F11C0">
        <w:rPr>
          <w:rFonts w:ascii="Times New Roman" w:hAnsi="Times New Roman" w:cs="Times New Roman"/>
          <w:szCs w:val="22"/>
        </w:rPr>
        <w:t xml:space="preserve"> </w:t>
      </w:r>
      <w:r w:rsidR="00CF7A4E">
        <w:rPr>
          <w:rFonts w:ascii="Times New Roman" w:hAnsi="Times New Roman" w:cs="Times New Roman"/>
          <w:szCs w:val="22"/>
        </w:rPr>
        <w:t>from</w:t>
      </w:r>
      <w:r w:rsidRPr="00AC18ED">
        <w:rPr>
          <w:rFonts w:ascii="Times New Roman" w:hAnsi="Times New Roman" w:cs="Times New Roman"/>
          <w:szCs w:val="22"/>
        </w:rPr>
        <w:t xml:space="preserve"> 1950 </w:t>
      </w:r>
      <w:r w:rsidR="00CF7A4E">
        <w:rPr>
          <w:rFonts w:ascii="Times New Roman" w:hAnsi="Times New Roman" w:cs="Times New Roman"/>
          <w:szCs w:val="22"/>
        </w:rPr>
        <w:t xml:space="preserve">to </w:t>
      </w:r>
      <w:r w:rsidRPr="00AC18ED">
        <w:rPr>
          <w:rFonts w:ascii="Times New Roman" w:hAnsi="Times New Roman" w:cs="Times New Roman"/>
          <w:szCs w:val="22"/>
        </w:rPr>
        <w:t xml:space="preserve">2015 and projected </w:t>
      </w:r>
      <w:r w:rsidR="00CF7A4E">
        <w:rPr>
          <w:rFonts w:ascii="Times New Roman" w:hAnsi="Times New Roman" w:cs="Times New Roman"/>
          <w:szCs w:val="22"/>
        </w:rPr>
        <w:t xml:space="preserve">to </w:t>
      </w:r>
      <w:r w:rsidRPr="00AC18ED">
        <w:rPr>
          <w:rFonts w:ascii="Times New Roman" w:hAnsi="Times New Roman" w:cs="Times New Roman"/>
          <w:szCs w:val="22"/>
        </w:rPr>
        <w:t xml:space="preserve">2030 is adopted from </w:t>
      </w:r>
      <w:r w:rsidR="00CF7A4E" w:rsidRPr="00CB153D">
        <w:rPr>
          <w:rFonts w:ascii="Times New Roman" w:hAnsi="Times New Roman" w:cs="Times New Roman"/>
          <w:szCs w:val="22"/>
        </w:rPr>
        <w:t xml:space="preserve">the </w:t>
      </w:r>
      <w:r w:rsidR="00C8541C" w:rsidRPr="00CB153D">
        <w:rPr>
          <w:rFonts w:ascii="Times New Roman" w:hAnsi="Times New Roman"/>
        </w:rPr>
        <w:t>20</w:t>
      </w:r>
      <w:r w:rsidR="00C8541C" w:rsidRPr="002A73C5">
        <w:rPr>
          <w:rFonts w:ascii="Times New Roman" w:hAnsi="Times New Roman"/>
        </w:rPr>
        <w:t>11</w:t>
      </w:r>
      <w:r w:rsidR="00C8541C" w:rsidRPr="00CB153D">
        <w:rPr>
          <w:rFonts w:ascii="Times New Roman" w:hAnsi="Times New Roman"/>
        </w:rPr>
        <w:t xml:space="preserve"> </w:t>
      </w:r>
      <w:r w:rsidR="00CF7A4E" w:rsidRPr="00CB153D">
        <w:rPr>
          <w:rFonts w:ascii="Times New Roman" w:hAnsi="Times New Roman"/>
        </w:rPr>
        <w:t>census</w:t>
      </w:r>
      <w:r w:rsidR="00774A64" w:rsidRPr="00CB153D">
        <w:rPr>
          <w:rFonts w:ascii="Times New Roman" w:hAnsi="Times New Roman" w:cs="Times New Roman"/>
          <w:szCs w:val="22"/>
        </w:rPr>
        <w:t xml:space="preserve"> </w:t>
      </w:r>
      <w:r w:rsidR="00CB153D">
        <w:rPr>
          <w:rFonts w:ascii="Times New Roman" w:hAnsi="Times New Roman" w:cs="Times New Roman"/>
          <w:szCs w:val="22"/>
        </w:rPr>
        <w:t>(</w:t>
      </w:r>
      <w:r w:rsidR="00CB153D" w:rsidRPr="00B60570">
        <w:rPr>
          <w:rFonts w:ascii="Times New Roman" w:hAnsi="Times New Roman" w:cs="Times New Roman"/>
          <w:szCs w:val="22"/>
        </w:rPr>
        <w:t xml:space="preserve">GoI 2011) </w:t>
      </w:r>
      <w:r w:rsidRPr="00B60570">
        <w:rPr>
          <w:rFonts w:ascii="Times New Roman" w:hAnsi="Times New Roman" w:cs="Times New Roman"/>
          <w:szCs w:val="22"/>
        </w:rPr>
        <w:t xml:space="preserve">and Banerjee </w:t>
      </w:r>
      <w:r w:rsidR="005075A2" w:rsidRPr="00B60570">
        <w:rPr>
          <w:rFonts w:ascii="Times New Roman" w:hAnsi="Times New Roman" w:cs="Times New Roman"/>
          <w:szCs w:val="22"/>
        </w:rPr>
        <w:t>(</w:t>
      </w:r>
      <w:r w:rsidRPr="00B60570">
        <w:rPr>
          <w:rFonts w:ascii="Times New Roman" w:hAnsi="Times New Roman" w:cs="Times New Roman"/>
          <w:szCs w:val="22"/>
        </w:rPr>
        <w:t>2018</w:t>
      </w:r>
      <w:r w:rsidR="005075A2" w:rsidRPr="002A73C5">
        <w:rPr>
          <w:rFonts w:ascii="Times New Roman" w:hAnsi="Times New Roman" w:cs="Times New Roman"/>
          <w:color w:val="2F5496" w:themeColor="accent5" w:themeShade="BF"/>
          <w:szCs w:val="22"/>
        </w:rPr>
        <w:t>)</w:t>
      </w:r>
      <w:r w:rsidRPr="00CB153D">
        <w:rPr>
          <w:rFonts w:ascii="Times New Roman" w:hAnsi="Times New Roman" w:cs="Times New Roman"/>
          <w:szCs w:val="22"/>
        </w:rPr>
        <w:t>.</w:t>
      </w:r>
    </w:p>
    <w:p w14:paraId="13EE992A" w14:textId="3A1BE416" w:rsidR="00CE1AC6" w:rsidRPr="00AC18ED" w:rsidRDefault="00CE1AC6" w:rsidP="00AC18ED">
      <w:pPr>
        <w:spacing w:after="120" w:line="276" w:lineRule="auto"/>
        <w:jc w:val="center"/>
        <w:rPr>
          <w:rFonts w:ascii="Times New Roman" w:hAnsi="Times New Roman" w:cs="Times New Roman"/>
          <w:szCs w:val="22"/>
        </w:rPr>
      </w:pPr>
    </w:p>
    <w:p w14:paraId="43769887" w14:textId="51D99F89" w:rsidR="005075A2" w:rsidRPr="00AC18ED" w:rsidRDefault="002C593A" w:rsidP="00AC18ED">
      <w:pPr>
        <w:autoSpaceDE w:val="0"/>
        <w:autoSpaceDN w:val="0"/>
        <w:adjustRightInd w:val="0"/>
        <w:spacing w:after="120" w:line="276" w:lineRule="auto"/>
        <w:jc w:val="both"/>
        <w:rPr>
          <w:rFonts w:ascii="Times New Roman" w:hAnsi="Times New Roman" w:cs="Times New Roman"/>
          <w:b/>
          <w:szCs w:val="22"/>
        </w:rPr>
      </w:pPr>
      <w:r>
        <w:rPr>
          <w:rFonts w:ascii="Times New Roman" w:hAnsi="Times New Roman" w:cs="Times New Roman"/>
          <w:b/>
          <w:noProof/>
          <w:szCs w:val="22"/>
          <w:lang w:eastAsia="en-IN" w:bidi="ar-SA"/>
        </w:rPr>
        <w:drawing>
          <wp:inline distT="0" distB="0" distL="0" distR="0" wp14:anchorId="75A9E44A" wp14:editId="62E27C7E">
            <wp:extent cx="5663565" cy="2834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3565" cy="2834640"/>
                    </a:xfrm>
                    <a:prstGeom prst="rect">
                      <a:avLst/>
                    </a:prstGeom>
                    <a:noFill/>
                  </pic:spPr>
                </pic:pic>
              </a:graphicData>
            </a:graphic>
          </wp:inline>
        </w:drawing>
      </w:r>
      <w:r w:rsidR="005075A2" w:rsidRPr="00AC18ED">
        <w:rPr>
          <w:rFonts w:ascii="Times New Roman" w:hAnsi="Times New Roman" w:cs="Times New Roman"/>
          <w:b/>
          <w:szCs w:val="22"/>
        </w:rPr>
        <w:t xml:space="preserve">Figure S4: Population </w:t>
      </w:r>
      <w:r w:rsidR="001003EB">
        <w:rPr>
          <w:rFonts w:ascii="Times New Roman" w:hAnsi="Times New Roman" w:cs="Times New Roman"/>
          <w:b/>
          <w:szCs w:val="22"/>
        </w:rPr>
        <w:t>g</w:t>
      </w:r>
      <w:r w:rsidR="005075A2" w:rsidRPr="00AC18ED">
        <w:rPr>
          <w:rFonts w:ascii="Times New Roman" w:hAnsi="Times New Roman" w:cs="Times New Roman"/>
          <w:b/>
          <w:szCs w:val="22"/>
        </w:rPr>
        <w:t xml:space="preserve">rowth for </w:t>
      </w:r>
      <w:r w:rsidR="00A7166F">
        <w:rPr>
          <w:rFonts w:ascii="Times New Roman" w:hAnsi="Times New Roman" w:cs="Times New Roman"/>
          <w:b/>
          <w:szCs w:val="22"/>
        </w:rPr>
        <w:t>KMC</w:t>
      </w:r>
      <w:r w:rsidR="005075A2" w:rsidRPr="00AC18ED">
        <w:rPr>
          <w:rFonts w:ascii="Times New Roman" w:hAnsi="Times New Roman" w:cs="Times New Roman"/>
          <w:b/>
          <w:szCs w:val="22"/>
        </w:rPr>
        <w:t xml:space="preserve"> from 1950 to 2010 and projected population till 2030</w:t>
      </w:r>
    </w:p>
    <w:p w14:paraId="4FDED07C" w14:textId="0767471B" w:rsidR="00CE1AC6" w:rsidRPr="00AC18ED" w:rsidRDefault="0043229D" w:rsidP="002A73C5">
      <w:pPr>
        <w:spacing w:after="120" w:line="276" w:lineRule="auto"/>
        <w:jc w:val="both"/>
        <w:rPr>
          <w:rFonts w:ascii="Times New Roman" w:hAnsi="Times New Roman" w:cs="Times New Roman"/>
          <w:szCs w:val="22"/>
        </w:rPr>
      </w:pPr>
      <w:r>
        <w:rPr>
          <w:rFonts w:ascii="Times New Roman" w:hAnsi="Times New Roman" w:cs="Times New Roman"/>
          <w:szCs w:val="22"/>
        </w:rPr>
        <w:t>The g</w:t>
      </w:r>
      <w:r w:rsidRPr="00AC18ED">
        <w:rPr>
          <w:rFonts w:ascii="Times New Roman" w:hAnsi="Times New Roman" w:cs="Times New Roman"/>
          <w:szCs w:val="22"/>
        </w:rPr>
        <w:t xml:space="preserve">ross </w:t>
      </w:r>
      <w:r w:rsidR="00CE1AC6" w:rsidRPr="00AC18ED">
        <w:rPr>
          <w:rFonts w:ascii="Times New Roman" w:hAnsi="Times New Roman" w:cs="Times New Roman"/>
          <w:szCs w:val="22"/>
        </w:rPr>
        <w:t xml:space="preserve">domestic product </w:t>
      </w:r>
      <w:r w:rsidR="00E504DC">
        <w:rPr>
          <w:rFonts w:ascii="Times New Roman" w:hAnsi="Times New Roman" w:cs="Times New Roman"/>
          <w:szCs w:val="22"/>
        </w:rPr>
        <w:t xml:space="preserve">(GDP) </w:t>
      </w:r>
      <w:r w:rsidR="00CE1AC6" w:rsidRPr="00AC18ED">
        <w:rPr>
          <w:rFonts w:ascii="Times New Roman" w:hAnsi="Times New Roman" w:cs="Times New Roman"/>
          <w:szCs w:val="22"/>
        </w:rPr>
        <w:t xml:space="preserve">of Kolkata city is obtained from </w:t>
      </w:r>
      <w:r w:rsidR="00ED022A" w:rsidRPr="00A27FF8">
        <w:rPr>
          <w:rFonts w:ascii="Times New Roman" w:hAnsi="Times New Roman" w:cs="Times New Roman"/>
          <w:szCs w:val="22"/>
        </w:rPr>
        <w:t xml:space="preserve">the </w:t>
      </w:r>
      <w:r w:rsidR="00CE1AC6" w:rsidRPr="00A27FF8">
        <w:rPr>
          <w:rFonts w:ascii="Times New Roman" w:hAnsi="Times New Roman" w:cs="Times New Roman"/>
          <w:szCs w:val="22"/>
        </w:rPr>
        <w:t xml:space="preserve">GoWB Report </w:t>
      </w:r>
      <w:r w:rsidRPr="00A27FF8">
        <w:rPr>
          <w:rFonts w:ascii="Times New Roman" w:hAnsi="Times New Roman" w:cs="Times New Roman"/>
          <w:szCs w:val="22"/>
        </w:rPr>
        <w:t>(</w:t>
      </w:r>
      <w:r w:rsidR="00CE1AC6" w:rsidRPr="00A27FF8">
        <w:rPr>
          <w:rFonts w:ascii="Times New Roman" w:hAnsi="Times New Roman" w:cs="Times New Roman"/>
          <w:szCs w:val="22"/>
        </w:rPr>
        <w:t>2015</w:t>
      </w:r>
      <w:r w:rsidRPr="00A27FF8">
        <w:rPr>
          <w:rFonts w:ascii="Times New Roman" w:hAnsi="Times New Roman" w:cs="Times New Roman"/>
          <w:szCs w:val="22"/>
        </w:rPr>
        <w:t xml:space="preserve">) </w:t>
      </w:r>
      <w:r w:rsidR="00CE1AC6" w:rsidRPr="00A27FF8">
        <w:rPr>
          <w:rFonts w:ascii="Times New Roman" w:hAnsi="Times New Roman" w:cs="Times New Roman"/>
          <w:szCs w:val="22"/>
        </w:rPr>
        <w:t>at</w:t>
      </w:r>
      <w:r w:rsidR="00774A64" w:rsidRPr="00A27FF8">
        <w:rPr>
          <w:rFonts w:ascii="Times New Roman" w:hAnsi="Times New Roman" w:cs="Times New Roman"/>
          <w:szCs w:val="22"/>
        </w:rPr>
        <w:t xml:space="preserve"> </w:t>
      </w:r>
      <w:r w:rsidR="00CE1AC6" w:rsidRPr="00AC18ED">
        <w:rPr>
          <w:rFonts w:ascii="Times New Roman" w:hAnsi="Times New Roman" w:cs="Times New Roman"/>
          <w:szCs w:val="22"/>
        </w:rPr>
        <w:t>2004</w:t>
      </w:r>
      <w:r w:rsidR="006F11C0">
        <w:rPr>
          <w:rFonts w:ascii="Times New Roman" w:hAnsi="Times New Roman" w:cs="Times New Roman"/>
          <w:szCs w:val="22"/>
        </w:rPr>
        <w:t>–</w:t>
      </w:r>
      <w:r>
        <w:rPr>
          <w:rFonts w:ascii="Times New Roman" w:hAnsi="Times New Roman" w:cs="Times New Roman"/>
          <w:szCs w:val="22"/>
        </w:rPr>
        <w:t>20</w:t>
      </w:r>
      <w:r w:rsidR="00CE1AC6" w:rsidRPr="00AC18ED">
        <w:rPr>
          <w:rFonts w:ascii="Times New Roman" w:hAnsi="Times New Roman" w:cs="Times New Roman"/>
          <w:szCs w:val="22"/>
        </w:rPr>
        <w:t>05</w:t>
      </w:r>
      <w:r w:rsidRPr="0043229D">
        <w:rPr>
          <w:rFonts w:ascii="Times New Roman" w:hAnsi="Times New Roman" w:cs="Times New Roman"/>
          <w:szCs w:val="22"/>
        </w:rPr>
        <w:t xml:space="preserve"> </w:t>
      </w:r>
      <w:r w:rsidRPr="00AC18ED">
        <w:rPr>
          <w:rFonts w:ascii="Times New Roman" w:hAnsi="Times New Roman" w:cs="Times New Roman"/>
          <w:szCs w:val="22"/>
        </w:rPr>
        <w:t>constant price</w:t>
      </w:r>
      <w:r>
        <w:rPr>
          <w:rFonts w:ascii="Times New Roman" w:hAnsi="Times New Roman" w:cs="Times New Roman"/>
          <w:szCs w:val="22"/>
        </w:rPr>
        <w:t>s</w:t>
      </w:r>
      <w:r w:rsidR="00CE1AC6" w:rsidRPr="00AC18ED">
        <w:rPr>
          <w:rFonts w:ascii="Times New Roman" w:hAnsi="Times New Roman" w:cs="Times New Roman"/>
          <w:szCs w:val="22"/>
        </w:rPr>
        <w:t xml:space="preserve">. </w:t>
      </w:r>
      <w:r>
        <w:rPr>
          <w:rFonts w:ascii="Times New Roman" w:hAnsi="Times New Roman" w:cs="Times New Roman"/>
          <w:szCs w:val="22"/>
        </w:rPr>
        <w:t>The e</w:t>
      </w:r>
      <w:r w:rsidRPr="00AC18ED">
        <w:rPr>
          <w:rFonts w:ascii="Times New Roman" w:hAnsi="Times New Roman" w:cs="Times New Roman"/>
          <w:szCs w:val="22"/>
        </w:rPr>
        <w:t xml:space="preserve">stimate </w:t>
      </w:r>
      <w:r w:rsidR="00CE1AC6" w:rsidRPr="00AC18ED">
        <w:rPr>
          <w:rFonts w:ascii="Times New Roman" w:hAnsi="Times New Roman" w:cs="Times New Roman"/>
          <w:szCs w:val="22"/>
        </w:rPr>
        <w:t xml:space="preserve">of </w:t>
      </w:r>
      <w:r w:rsidRPr="00AC18ED">
        <w:rPr>
          <w:rFonts w:ascii="Times New Roman" w:hAnsi="Times New Roman" w:cs="Times New Roman"/>
          <w:szCs w:val="22"/>
        </w:rPr>
        <w:t>city</w:t>
      </w:r>
      <w:r>
        <w:rPr>
          <w:rFonts w:ascii="Times New Roman" w:hAnsi="Times New Roman" w:cs="Times New Roman"/>
          <w:szCs w:val="22"/>
        </w:rPr>
        <w:t>-</w:t>
      </w:r>
      <w:r w:rsidR="00CE1AC6" w:rsidRPr="00AC18ED">
        <w:rPr>
          <w:rFonts w:ascii="Times New Roman" w:hAnsi="Times New Roman" w:cs="Times New Roman"/>
          <w:szCs w:val="22"/>
        </w:rPr>
        <w:t>specific</w:t>
      </w:r>
      <w:r>
        <w:rPr>
          <w:rFonts w:ascii="Times New Roman" w:hAnsi="Times New Roman" w:cs="Times New Roman"/>
          <w:szCs w:val="22"/>
        </w:rPr>
        <w:t xml:space="preserve"> per</w:t>
      </w:r>
      <w:r w:rsidR="00CE1AC6" w:rsidRPr="00AC18ED">
        <w:rPr>
          <w:rFonts w:ascii="Times New Roman" w:hAnsi="Times New Roman" w:cs="Times New Roman"/>
          <w:szCs w:val="22"/>
        </w:rPr>
        <w:t xml:space="preserve"> capita GDP is then used to derive </w:t>
      </w:r>
      <w:r>
        <w:rPr>
          <w:rFonts w:ascii="Times New Roman" w:hAnsi="Times New Roman" w:cs="Times New Roman"/>
          <w:szCs w:val="22"/>
        </w:rPr>
        <w:t xml:space="preserve">the </w:t>
      </w:r>
      <w:r w:rsidR="00CE1AC6" w:rsidRPr="00AC18ED">
        <w:rPr>
          <w:rFonts w:ascii="Times New Roman" w:hAnsi="Times New Roman" w:cs="Times New Roman"/>
          <w:szCs w:val="22"/>
        </w:rPr>
        <w:t xml:space="preserve">GDP of </w:t>
      </w:r>
      <w:r w:rsidR="000477FA">
        <w:rPr>
          <w:rFonts w:ascii="Times New Roman" w:hAnsi="Times New Roman" w:cs="Times New Roman"/>
          <w:szCs w:val="22"/>
        </w:rPr>
        <w:t>KM</w:t>
      </w:r>
      <w:r w:rsidR="00DA4D0D">
        <w:rPr>
          <w:rFonts w:ascii="Times New Roman" w:hAnsi="Times New Roman" w:cs="Times New Roman"/>
          <w:szCs w:val="22"/>
        </w:rPr>
        <w:t>C</w:t>
      </w:r>
      <w:r w:rsidR="00CE1AC6" w:rsidRPr="00AC18ED">
        <w:rPr>
          <w:rFonts w:ascii="Times New Roman" w:hAnsi="Times New Roman" w:cs="Times New Roman"/>
          <w:szCs w:val="22"/>
        </w:rPr>
        <w:t xml:space="preserve">. </w:t>
      </w:r>
      <w:r>
        <w:rPr>
          <w:rFonts w:ascii="Times New Roman" w:hAnsi="Times New Roman" w:cs="Times New Roman"/>
          <w:szCs w:val="22"/>
        </w:rPr>
        <w:t xml:space="preserve">The </w:t>
      </w:r>
      <w:r w:rsidR="00CE1AC6" w:rsidRPr="00AC18ED">
        <w:rPr>
          <w:rFonts w:ascii="Times New Roman" w:hAnsi="Times New Roman" w:cs="Times New Roman"/>
          <w:szCs w:val="22"/>
        </w:rPr>
        <w:t xml:space="preserve">GDP of </w:t>
      </w:r>
      <w:r w:rsidR="00A7166F">
        <w:rPr>
          <w:rFonts w:ascii="Times New Roman" w:hAnsi="Times New Roman" w:cs="Times New Roman"/>
          <w:szCs w:val="22"/>
        </w:rPr>
        <w:t>KMC</w:t>
      </w:r>
      <w:r w:rsidR="00CE1AC6" w:rsidRPr="00AC18ED">
        <w:rPr>
          <w:rFonts w:ascii="Times New Roman" w:hAnsi="Times New Roman" w:cs="Times New Roman"/>
          <w:szCs w:val="22"/>
        </w:rPr>
        <w:t xml:space="preserve"> for 2010</w:t>
      </w:r>
      <w:r w:rsidR="006F11C0">
        <w:rPr>
          <w:rFonts w:ascii="Times New Roman" w:hAnsi="Times New Roman" w:cs="Times New Roman"/>
          <w:szCs w:val="22"/>
        </w:rPr>
        <w:t>–</w:t>
      </w:r>
      <w:r>
        <w:rPr>
          <w:rFonts w:ascii="Times New Roman" w:hAnsi="Times New Roman" w:cs="Times New Roman"/>
          <w:szCs w:val="22"/>
        </w:rPr>
        <w:t>20</w:t>
      </w:r>
      <w:r w:rsidR="00CE1AC6" w:rsidRPr="00AC18ED">
        <w:rPr>
          <w:rFonts w:ascii="Times New Roman" w:hAnsi="Times New Roman" w:cs="Times New Roman"/>
          <w:szCs w:val="22"/>
        </w:rPr>
        <w:t xml:space="preserve">11 is estimated to be </w:t>
      </w:r>
      <w:r>
        <w:rPr>
          <w:rFonts w:ascii="Times New Roman" w:hAnsi="Times New Roman" w:cs="Times New Roman"/>
          <w:szCs w:val="22"/>
        </w:rPr>
        <w:t>€</w:t>
      </w:r>
      <w:r w:rsidR="00CE1AC6" w:rsidRPr="00AC18ED">
        <w:rPr>
          <w:rFonts w:ascii="Times New Roman" w:hAnsi="Times New Roman" w:cs="Times New Roman"/>
          <w:szCs w:val="22"/>
        </w:rPr>
        <w:t>14.9 billion</w:t>
      </w:r>
      <w:r w:rsidR="00774A64">
        <w:rPr>
          <w:rFonts w:ascii="Times New Roman" w:hAnsi="Times New Roman" w:cs="Times New Roman"/>
          <w:szCs w:val="22"/>
        </w:rPr>
        <w:t xml:space="preserve"> </w:t>
      </w:r>
      <w:r w:rsidRPr="00AC18ED">
        <w:rPr>
          <w:rFonts w:ascii="Times New Roman" w:hAnsi="Times New Roman" w:cs="Times New Roman"/>
          <w:szCs w:val="22"/>
        </w:rPr>
        <w:t xml:space="preserve"> </w:t>
      </w:r>
      <w:r w:rsidR="00CE1AC6" w:rsidRPr="00AC18ED">
        <w:rPr>
          <w:rFonts w:ascii="Times New Roman" w:hAnsi="Times New Roman" w:cs="Times New Roman"/>
          <w:szCs w:val="22"/>
        </w:rPr>
        <w:t>(</w:t>
      </w:r>
      <w:r w:rsidRPr="00AC18ED">
        <w:rPr>
          <w:rFonts w:ascii="Times New Roman" w:hAnsi="Times New Roman" w:cs="Times New Roman"/>
          <w:szCs w:val="22"/>
        </w:rPr>
        <w:t>a</w:t>
      </w:r>
      <w:r>
        <w:rPr>
          <w:rFonts w:ascii="Times New Roman" w:hAnsi="Times New Roman" w:cs="Times New Roman"/>
          <w:szCs w:val="22"/>
        </w:rPr>
        <w:t>t</w:t>
      </w:r>
      <w:r w:rsidRPr="00AC18ED">
        <w:rPr>
          <w:rFonts w:ascii="Times New Roman" w:hAnsi="Times New Roman" w:cs="Times New Roman"/>
          <w:szCs w:val="22"/>
        </w:rPr>
        <w:t xml:space="preserve"> </w:t>
      </w:r>
      <w:r>
        <w:rPr>
          <w:rFonts w:ascii="Times New Roman" w:hAnsi="Times New Roman" w:cs="Times New Roman"/>
          <w:szCs w:val="22"/>
        </w:rPr>
        <w:t xml:space="preserve">an </w:t>
      </w:r>
      <w:r w:rsidR="00CE1AC6" w:rsidRPr="00AC18ED">
        <w:rPr>
          <w:rFonts w:ascii="Times New Roman" w:hAnsi="Times New Roman" w:cs="Times New Roman"/>
          <w:szCs w:val="22"/>
        </w:rPr>
        <w:t xml:space="preserve">average INR to </w:t>
      </w:r>
      <w:r>
        <w:rPr>
          <w:rFonts w:ascii="Times New Roman" w:hAnsi="Times New Roman" w:cs="Times New Roman"/>
          <w:szCs w:val="22"/>
        </w:rPr>
        <w:t>e</w:t>
      </w:r>
      <w:r w:rsidRPr="00AC18ED">
        <w:rPr>
          <w:rFonts w:ascii="Times New Roman" w:hAnsi="Times New Roman" w:cs="Times New Roman"/>
          <w:szCs w:val="22"/>
        </w:rPr>
        <w:t xml:space="preserve">uro </w:t>
      </w:r>
      <w:r w:rsidR="00CE1AC6" w:rsidRPr="00AC18ED">
        <w:rPr>
          <w:rFonts w:ascii="Times New Roman" w:hAnsi="Times New Roman" w:cs="Times New Roman"/>
          <w:szCs w:val="22"/>
        </w:rPr>
        <w:t>exchange rate of 2010</w:t>
      </w:r>
      <w:r>
        <w:rPr>
          <w:rFonts w:ascii="Times New Roman" w:hAnsi="Times New Roman" w:cs="Times New Roman"/>
          <w:szCs w:val="22"/>
        </w:rPr>
        <w:t>,</w:t>
      </w:r>
      <w:r w:rsidR="00CE1AC6" w:rsidRPr="00AC18ED">
        <w:rPr>
          <w:rFonts w:ascii="Times New Roman" w:hAnsi="Times New Roman" w:cs="Times New Roman"/>
          <w:szCs w:val="22"/>
        </w:rPr>
        <w:t xml:space="preserve"> i.e.</w:t>
      </w:r>
      <w:r>
        <w:rPr>
          <w:rFonts w:ascii="Times New Roman" w:hAnsi="Times New Roman" w:cs="Times New Roman"/>
          <w:szCs w:val="22"/>
        </w:rPr>
        <w:t>,</w:t>
      </w:r>
      <w:r w:rsidR="00CE1AC6" w:rsidRPr="00AC18ED">
        <w:rPr>
          <w:rFonts w:ascii="Times New Roman" w:hAnsi="Times New Roman" w:cs="Times New Roman"/>
          <w:szCs w:val="22"/>
        </w:rPr>
        <w:t xml:space="preserve"> 60.59</w:t>
      </w:r>
      <w:r>
        <w:rPr>
          <w:rFonts w:ascii="Times New Roman" w:hAnsi="Times New Roman" w:cs="Times New Roman"/>
          <w:szCs w:val="22"/>
        </w:rPr>
        <w:t>,</w:t>
      </w:r>
      <w:r w:rsidR="00CE1AC6" w:rsidRPr="00AC18ED">
        <w:rPr>
          <w:rFonts w:ascii="Times New Roman" w:hAnsi="Times New Roman" w:cs="Times New Roman"/>
          <w:szCs w:val="22"/>
        </w:rPr>
        <w:t xml:space="preserve"> and at 2004</w:t>
      </w:r>
      <w:r w:rsidR="006F11C0">
        <w:rPr>
          <w:rFonts w:ascii="Times New Roman" w:hAnsi="Times New Roman" w:cs="Times New Roman"/>
          <w:szCs w:val="22"/>
        </w:rPr>
        <w:t>–</w:t>
      </w:r>
      <w:r>
        <w:rPr>
          <w:rFonts w:ascii="Times New Roman" w:hAnsi="Times New Roman" w:cs="Times New Roman"/>
          <w:szCs w:val="22"/>
        </w:rPr>
        <w:t>20</w:t>
      </w:r>
      <w:r w:rsidR="00CE1AC6" w:rsidRPr="00AC18ED">
        <w:rPr>
          <w:rFonts w:ascii="Times New Roman" w:hAnsi="Times New Roman" w:cs="Times New Roman"/>
          <w:szCs w:val="22"/>
        </w:rPr>
        <w:t>05 constant prices)</w:t>
      </w:r>
      <w:r w:rsidR="00E504DC">
        <w:rPr>
          <w:rFonts w:ascii="Times New Roman" w:hAnsi="Times New Roman" w:cs="Times New Roman"/>
          <w:szCs w:val="22"/>
        </w:rPr>
        <w:t xml:space="preserve">. </w:t>
      </w:r>
      <w:r w:rsidR="00CE1AC6" w:rsidRPr="00AC18ED">
        <w:rPr>
          <w:rFonts w:ascii="Times New Roman" w:hAnsi="Times New Roman" w:cs="Times New Roman"/>
          <w:szCs w:val="22"/>
        </w:rPr>
        <w:t>Various published documents were referred to</w:t>
      </w:r>
      <w:r>
        <w:rPr>
          <w:rFonts w:ascii="Times New Roman" w:hAnsi="Times New Roman" w:cs="Times New Roman"/>
          <w:szCs w:val="22"/>
        </w:rPr>
        <w:t>, including</w:t>
      </w:r>
      <w:r w:rsidR="00774A64">
        <w:rPr>
          <w:rFonts w:ascii="Times New Roman" w:hAnsi="Times New Roman" w:cs="Times New Roman"/>
          <w:szCs w:val="22"/>
        </w:rPr>
        <w:t xml:space="preserve"> </w:t>
      </w:r>
      <w:r w:rsidRPr="00AC18ED">
        <w:rPr>
          <w:rFonts w:ascii="Times New Roman" w:hAnsi="Times New Roman" w:cs="Times New Roman"/>
          <w:szCs w:val="22"/>
        </w:rPr>
        <w:t xml:space="preserve">government </w:t>
      </w:r>
      <w:r w:rsidR="00CE1AC6" w:rsidRPr="00AC18ED">
        <w:rPr>
          <w:rFonts w:ascii="Times New Roman" w:hAnsi="Times New Roman" w:cs="Times New Roman"/>
          <w:szCs w:val="22"/>
        </w:rPr>
        <w:t>project planning, development strategies</w:t>
      </w:r>
      <w:r>
        <w:rPr>
          <w:rFonts w:ascii="Times New Roman" w:hAnsi="Times New Roman" w:cs="Times New Roman"/>
          <w:szCs w:val="22"/>
        </w:rPr>
        <w:t>, and</w:t>
      </w:r>
      <w:r w:rsidR="00774A64">
        <w:rPr>
          <w:rFonts w:ascii="Times New Roman" w:hAnsi="Times New Roman" w:cs="Times New Roman"/>
          <w:szCs w:val="22"/>
        </w:rPr>
        <w:t xml:space="preserve"> </w:t>
      </w:r>
      <w:r w:rsidR="00CE1AC6" w:rsidRPr="00AC18ED">
        <w:rPr>
          <w:rFonts w:ascii="Times New Roman" w:hAnsi="Times New Roman" w:cs="Times New Roman"/>
          <w:szCs w:val="22"/>
        </w:rPr>
        <w:t>long</w:t>
      </w:r>
      <w:r>
        <w:rPr>
          <w:rFonts w:ascii="Times New Roman" w:hAnsi="Times New Roman" w:cs="Times New Roman"/>
          <w:szCs w:val="22"/>
        </w:rPr>
        <w:t>-</w:t>
      </w:r>
      <w:r w:rsidR="00CE1AC6" w:rsidRPr="00AC18ED">
        <w:rPr>
          <w:rFonts w:ascii="Times New Roman" w:hAnsi="Times New Roman" w:cs="Times New Roman"/>
          <w:szCs w:val="22"/>
        </w:rPr>
        <w:t xml:space="preserve">term objectives </w:t>
      </w:r>
      <w:r>
        <w:rPr>
          <w:rFonts w:ascii="Times New Roman" w:hAnsi="Times New Roman" w:cs="Times New Roman"/>
          <w:szCs w:val="22"/>
        </w:rPr>
        <w:t xml:space="preserve">of </w:t>
      </w:r>
      <w:r w:rsidR="00CE1AC6" w:rsidRPr="00AC18ED">
        <w:rPr>
          <w:rFonts w:ascii="Times New Roman" w:hAnsi="Times New Roman" w:cs="Times New Roman"/>
          <w:szCs w:val="22"/>
        </w:rPr>
        <w:t xml:space="preserve">national </w:t>
      </w:r>
      <w:r>
        <w:rPr>
          <w:rFonts w:ascii="Times New Roman" w:hAnsi="Times New Roman" w:cs="Times New Roman"/>
          <w:szCs w:val="22"/>
        </w:rPr>
        <w:t>and</w:t>
      </w:r>
      <w:r w:rsidR="00CE1AC6" w:rsidRPr="00AC18ED">
        <w:rPr>
          <w:rFonts w:ascii="Times New Roman" w:hAnsi="Times New Roman" w:cs="Times New Roman"/>
          <w:szCs w:val="22"/>
        </w:rPr>
        <w:t xml:space="preserve"> </w:t>
      </w:r>
      <w:r w:rsidRPr="00AC18ED">
        <w:rPr>
          <w:rFonts w:ascii="Times New Roman" w:hAnsi="Times New Roman" w:cs="Times New Roman"/>
          <w:szCs w:val="22"/>
        </w:rPr>
        <w:t>city</w:t>
      </w:r>
      <w:r>
        <w:rPr>
          <w:rFonts w:ascii="Times New Roman" w:hAnsi="Times New Roman" w:cs="Times New Roman"/>
          <w:szCs w:val="22"/>
        </w:rPr>
        <w:t>-</w:t>
      </w:r>
      <w:r w:rsidR="00CE1AC6" w:rsidRPr="00AC18ED">
        <w:rPr>
          <w:rFonts w:ascii="Times New Roman" w:hAnsi="Times New Roman" w:cs="Times New Roman"/>
          <w:szCs w:val="22"/>
        </w:rPr>
        <w:t xml:space="preserve">specific policies in place for </w:t>
      </w:r>
      <w:r w:rsidR="00A7166F">
        <w:rPr>
          <w:rFonts w:ascii="Times New Roman" w:hAnsi="Times New Roman" w:cs="Times New Roman"/>
          <w:szCs w:val="22"/>
        </w:rPr>
        <w:t>KMC</w:t>
      </w:r>
      <w:r w:rsidR="00ED022A">
        <w:rPr>
          <w:rFonts w:ascii="Times New Roman" w:hAnsi="Times New Roman" w:cs="Times New Roman"/>
          <w:szCs w:val="22"/>
        </w:rPr>
        <w:t>.</w:t>
      </w:r>
    </w:p>
    <w:p w14:paraId="074966CD" w14:textId="1AE13B89" w:rsidR="00CE1AC6" w:rsidRPr="00AC18ED" w:rsidRDefault="00443E60" w:rsidP="00AC18ED">
      <w:pPr>
        <w:adjustRightInd w:val="0"/>
        <w:spacing w:after="120" w:line="276" w:lineRule="auto"/>
        <w:jc w:val="both"/>
        <w:rPr>
          <w:rFonts w:ascii="Times New Roman" w:hAnsi="Times New Roman" w:cs="Times New Roman"/>
          <w:szCs w:val="22"/>
        </w:rPr>
      </w:pPr>
      <w:r w:rsidRPr="00C35D33">
        <w:rPr>
          <w:rFonts w:ascii="Times New Roman" w:hAnsi="Times New Roman" w:cs="Times New Roman"/>
          <w:szCs w:val="22"/>
        </w:rPr>
        <w:t>Projections of</w:t>
      </w:r>
      <w:r w:rsidRPr="00D51E0F">
        <w:rPr>
          <w:rFonts w:ascii="Times New Roman" w:hAnsi="Times New Roman" w:cs="Times New Roman"/>
          <w:szCs w:val="22"/>
        </w:rPr>
        <w:t xml:space="preserve"> </w:t>
      </w:r>
      <w:r w:rsidRPr="00C35D33">
        <w:rPr>
          <w:rFonts w:ascii="Times New Roman" w:hAnsi="Times New Roman" w:cs="Times New Roman"/>
          <w:szCs w:val="22"/>
        </w:rPr>
        <w:t>f</w:t>
      </w:r>
      <w:r w:rsidR="00CE1AC6" w:rsidRPr="00D51E0F">
        <w:rPr>
          <w:rFonts w:ascii="Times New Roman" w:hAnsi="Times New Roman" w:cs="Times New Roman"/>
          <w:szCs w:val="22"/>
        </w:rPr>
        <w:t xml:space="preserve">uture </w:t>
      </w:r>
      <w:r w:rsidRPr="00C35D33">
        <w:rPr>
          <w:rFonts w:ascii="Times New Roman" w:hAnsi="Times New Roman" w:cs="Times New Roman"/>
          <w:szCs w:val="22"/>
        </w:rPr>
        <w:t xml:space="preserve">activity </w:t>
      </w:r>
      <w:r w:rsidR="00CE1AC6" w:rsidRPr="00D51E0F">
        <w:rPr>
          <w:rFonts w:ascii="Times New Roman" w:hAnsi="Times New Roman" w:cs="Times New Roman"/>
          <w:szCs w:val="22"/>
        </w:rPr>
        <w:t xml:space="preserve">for </w:t>
      </w:r>
      <w:r w:rsidR="00941640" w:rsidRPr="00481400">
        <w:rPr>
          <w:rFonts w:ascii="Times New Roman" w:hAnsi="Times New Roman" w:cs="Times New Roman"/>
          <w:szCs w:val="22"/>
        </w:rPr>
        <w:t xml:space="preserve">business </w:t>
      </w:r>
      <w:r w:rsidR="00CE1AC6" w:rsidRPr="00481400">
        <w:rPr>
          <w:rFonts w:ascii="Times New Roman" w:hAnsi="Times New Roman" w:cs="Times New Roman"/>
          <w:szCs w:val="22"/>
        </w:rPr>
        <w:t xml:space="preserve">as </w:t>
      </w:r>
      <w:r w:rsidR="00941640" w:rsidRPr="00481400">
        <w:rPr>
          <w:rFonts w:ascii="Times New Roman" w:hAnsi="Times New Roman" w:cs="Times New Roman"/>
          <w:szCs w:val="22"/>
        </w:rPr>
        <w:t xml:space="preserve">usual </w:t>
      </w:r>
      <w:r w:rsidR="00CE1AC6" w:rsidRPr="00481400">
        <w:rPr>
          <w:rFonts w:ascii="Times New Roman" w:hAnsi="Times New Roman" w:cs="Times New Roman"/>
          <w:szCs w:val="22"/>
        </w:rPr>
        <w:t xml:space="preserve">(BAU) </w:t>
      </w:r>
      <w:r w:rsidRPr="00481400">
        <w:rPr>
          <w:rFonts w:ascii="Times New Roman" w:hAnsi="Times New Roman" w:cs="Times New Roman"/>
          <w:szCs w:val="22"/>
        </w:rPr>
        <w:t>scenario</w:t>
      </w:r>
      <w:r>
        <w:rPr>
          <w:rFonts w:ascii="Times New Roman" w:hAnsi="Times New Roman" w:cs="Times New Roman"/>
          <w:bCs/>
          <w:szCs w:val="22"/>
        </w:rPr>
        <w:t xml:space="preserve"> </w:t>
      </w:r>
      <w:r w:rsidR="006F11C0">
        <w:rPr>
          <w:rFonts w:ascii="Times New Roman" w:hAnsi="Times New Roman" w:cs="Times New Roman"/>
          <w:bCs/>
          <w:szCs w:val="22"/>
        </w:rPr>
        <w:t>was</w:t>
      </w:r>
      <w:r w:rsidR="00CE1AC6" w:rsidRPr="00AC18ED">
        <w:rPr>
          <w:rFonts w:ascii="Times New Roman" w:hAnsi="Times New Roman" w:cs="Times New Roman"/>
          <w:bCs/>
          <w:szCs w:val="22"/>
        </w:rPr>
        <w:t xml:space="preserve"> </w:t>
      </w:r>
      <w:r w:rsidR="004E553F">
        <w:rPr>
          <w:rFonts w:ascii="Times New Roman" w:hAnsi="Times New Roman" w:cs="Times New Roman"/>
          <w:bCs/>
          <w:szCs w:val="22"/>
        </w:rPr>
        <w:t xml:space="preserve">carried out </w:t>
      </w:r>
      <w:r w:rsidR="00CE1AC6" w:rsidRPr="00AC18ED">
        <w:rPr>
          <w:rFonts w:ascii="Times New Roman" w:hAnsi="Times New Roman" w:cs="Times New Roman"/>
          <w:bCs/>
          <w:szCs w:val="22"/>
        </w:rPr>
        <w:t>for different sector</w:t>
      </w:r>
      <w:r w:rsidR="004E553F">
        <w:rPr>
          <w:rFonts w:ascii="Times New Roman" w:hAnsi="Times New Roman" w:cs="Times New Roman"/>
          <w:bCs/>
          <w:szCs w:val="22"/>
        </w:rPr>
        <w:t>s</w:t>
      </w:r>
      <w:r w:rsidR="00CE1AC6" w:rsidRPr="00AC18ED">
        <w:rPr>
          <w:rFonts w:ascii="Times New Roman" w:hAnsi="Times New Roman" w:cs="Times New Roman"/>
          <w:bCs/>
          <w:szCs w:val="22"/>
        </w:rPr>
        <w:t xml:space="preserve">. </w:t>
      </w:r>
      <w:r w:rsidR="004E553F">
        <w:rPr>
          <w:rFonts w:ascii="Times New Roman" w:hAnsi="Times New Roman" w:cs="Times New Roman"/>
          <w:bCs/>
          <w:szCs w:val="22"/>
        </w:rPr>
        <w:t>There has been</w:t>
      </w:r>
      <w:r w:rsidR="00774A64">
        <w:rPr>
          <w:rFonts w:ascii="Times New Roman" w:hAnsi="Times New Roman" w:cs="Times New Roman"/>
          <w:bCs/>
          <w:szCs w:val="22"/>
        </w:rPr>
        <w:t xml:space="preserve"> </w:t>
      </w:r>
      <w:r w:rsidR="004E553F" w:rsidRPr="00AC18ED">
        <w:rPr>
          <w:rFonts w:ascii="Times New Roman" w:hAnsi="Times New Roman" w:cs="Times New Roman"/>
          <w:szCs w:val="22"/>
        </w:rPr>
        <w:t>appreciable population growth</w:t>
      </w:r>
      <w:r w:rsidR="004E553F">
        <w:rPr>
          <w:rFonts w:ascii="Times New Roman" w:hAnsi="Times New Roman" w:cs="Times New Roman"/>
          <w:szCs w:val="22"/>
        </w:rPr>
        <w:t xml:space="preserve"> in the</w:t>
      </w:r>
      <w:r w:rsidR="004E553F" w:rsidRPr="00AC18ED">
        <w:rPr>
          <w:rFonts w:ascii="Times New Roman" w:hAnsi="Times New Roman" w:cs="Times New Roman"/>
          <w:szCs w:val="22"/>
        </w:rPr>
        <w:t xml:space="preserve"> </w:t>
      </w:r>
      <w:r w:rsidR="00A7166F">
        <w:rPr>
          <w:rFonts w:ascii="Times New Roman" w:hAnsi="Times New Roman" w:cs="Times New Roman"/>
          <w:szCs w:val="22"/>
        </w:rPr>
        <w:t>KMC</w:t>
      </w:r>
      <w:r w:rsidR="00CE1AC6" w:rsidRPr="00AC18ED">
        <w:rPr>
          <w:rFonts w:ascii="Times New Roman" w:hAnsi="Times New Roman" w:cs="Times New Roman"/>
          <w:szCs w:val="22"/>
        </w:rPr>
        <w:t xml:space="preserve"> area</w:t>
      </w:r>
      <w:r w:rsidR="00774A64">
        <w:rPr>
          <w:rFonts w:ascii="Times New Roman" w:hAnsi="Times New Roman" w:cs="Times New Roman"/>
          <w:szCs w:val="22"/>
        </w:rPr>
        <w:t xml:space="preserve"> </w:t>
      </w:r>
      <w:r w:rsidR="00CE1AC6" w:rsidRPr="00AC18ED">
        <w:rPr>
          <w:rFonts w:ascii="Times New Roman" w:hAnsi="Times New Roman" w:cs="Times New Roman"/>
          <w:szCs w:val="22"/>
        </w:rPr>
        <w:t xml:space="preserve">in </w:t>
      </w:r>
      <w:r w:rsidR="004E553F">
        <w:rPr>
          <w:rFonts w:ascii="Times New Roman" w:hAnsi="Times New Roman" w:cs="Times New Roman"/>
          <w:szCs w:val="22"/>
        </w:rPr>
        <w:t xml:space="preserve">the </w:t>
      </w:r>
      <w:r w:rsidR="00CE1AC6" w:rsidRPr="00AC18ED">
        <w:rPr>
          <w:rFonts w:ascii="Times New Roman" w:hAnsi="Times New Roman" w:cs="Times New Roman"/>
          <w:szCs w:val="22"/>
        </w:rPr>
        <w:t>past few decades</w:t>
      </w:r>
      <w:r w:rsidR="004E553F">
        <w:rPr>
          <w:rFonts w:ascii="Times New Roman" w:hAnsi="Times New Roman" w:cs="Times New Roman"/>
          <w:szCs w:val="22"/>
        </w:rPr>
        <w:t>: this</w:t>
      </w:r>
      <w:r w:rsidR="00774A64">
        <w:rPr>
          <w:rFonts w:ascii="Times New Roman" w:hAnsi="Times New Roman" w:cs="Times New Roman"/>
          <w:szCs w:val="22"/>
        </w:rPr>
        <w:t xml:space="preserve"> </w:t>
      </w:r>
      <w:r w:rsidR="004E553F">
        <w:rPr>
          <w:rFonts w:ascii="Times New Roman" w:hAnsi="Times New Roman" w:cs="Times New Roman"/>
          <w:szCs w:val="22"/>
        </w:rPr>
        <w:t xml:space="preserve"> has</w:t>
      </w:r>
      <w:r w:rsidR="00774A64">
        <w:rPr>
          <w:rFonts w:ascii="Times New Roman" w:hAnsi="Times New Roman" w:cs="Times New Roman"/>
          <w:szCs w:val="22"/>
        </w:rPr>
        <w:t xml:space="preserve"> </w:t>
      </w:r>
      <w:r w:rsidR="00CE1AC6" w:rsidRPr="00AC18ED">
        <w:rPr>
          <w:rFonts w:ascii="Times New Roman" w:hAnsi="Times New Roman" w:cs="Times New Roman"/>
          <w:szCs w:val="22"/>
        </w:rPr>
        <w:t>increase</w:t>
      </w:r>
      <w:r w:rsidR="004E553F">
        <w:rPr>
          <w:rFonts w:ascii="Times New Roman" w:hAnsi="Times New Roman" w:cs="Times New Roman"/>
          <w:szCs w:val="22"/>
        </w:rPr>
        <w:t>d</w:t>
      </w:r>
      <w:r w:rsidR="00774A64">
        <w:rPr>
          <w:rFonts w:ascii="Times New Roman" w:hAnsi="Times New Roman" w:cs="Times New Roman"/>
          <w:szCs w:val="22"/>
        </w:rPr>
        <w:t xml:space="preserve"> </w:t>
      </w:r>
      <w:r w:rsidR="004E553F" w:rsidRPr="00AC18ED">
        <w:rPr>
          <w:rFonts w:ascii="Times New Roman" w:hAnsi="Times New Roman" w:cs="Times New Roman"/>
          <w:szCs w:val="22"/>
        </w:rPr>
        <w:t xml:space="preserve"> </w:t>
      </w:r>
      <w:r w:rsidR="000258AE">
        <w:rPr>
          <w:rFonts w:ascii="Times New Roman" w:hAnsi="Times New Roman" w:cs="Times New Roman"/>
          <w:szCs w:val="22"/>
        </w:rPr>
        <w:t xml:space="preserve">i) </w:t>
      </w:r>
      <w:r w:rsidR="00CE1AC6" w:rsidRPr="00AC18ED">
        <w:rPr>
          <w:rFonts w:ascii="Times New Roman" w:hAnsi="Times New Roman" w:cs="Times New Roman"/>
          <w:szCs w:val="22"/>
        </w:rPr>
        <w:t xml:space="preserve">infrastructure </w:t>
      </w:r>
      <w:r w:rsidR="004E553F">
        <w:rPr>
          <w:rFonts w:ascii="Times New Roman" w:hAnsi="Times New Roman" w:cs="Times New Roman"/>
          <w:szCs w:val="22"/>
        </w:rPr>
        <w:t>and</w:t>
      </w:r>
      <w:r w:rsidR="00774A64">
        <w:rPr>
          <w:rFonts w:ascii="Times New Roman" w:hAnsi="Times New Roman" w:cs="Times New Roman"/>
          <w:szCs w:val="22"/>
        </w:rPr>
        <w:t xml:space="preserve"> </w:t>
      </w:r>
      <w:r w:rsidR="00CE1AC6" w:rsidRPr="00AC18ED">
        <w:rPr>
          <w:rFonts w:ascii="Times New Roman" w:hAnsi="Times New Roman" w:cs="Times New Roman"/>
          <w:szCs w:val="22"/>
        </w:rPr>
        <w:t>urban development</w:t>
      </w:r>
      <w:r w:rsidR="000258AE">
        <w:rPr>
          <w:rFonts w:ascii="Times New Roman" w:hAnsi="Times New Roman" w:cs="Times New Roman"/>
          <w:szCs w:val="22"/>
        </w:rPr>
        <w:t>; ii)</w:t>
      </w:r>
      <w:r w:rsidR="00774A64">
        <w:rPr>
          <w:rFonts w:ascii="Times New Roman" w:hAnsi="Times New Roman" w:cs="Times New Roman"/>
          <w:szCs w:val="22"/>
        </w:rPr>
        <w:t xml:space="preserve"> </w:t>
      </w:r>
      <w:r w:rsidR="00CE1AC6" w:rsidRPr="00AC18ED">
        <w:rPr>
          <w:rFonts w:ascii="Times New Roman" w:hAnsi="Times New Roman" w:cs="Times New Roman"/>
          <w:szCs w:val="22"/>
        </w:rPr>
        <w:t xml:space="preserve">demand in </w:t>
      </w:r>
      <w:r w:rsidR="004E553F">
        <w:rPr>
          <w:rFonts w:ascii="Times New Roman" w:hAnsi="Times New Roman" w:cs="Times New Roman"/>
          <w:szCs w:val="22"/>
        </w:rPr>
        <w:t xml:space="preserve">the </w:t>
      </w:r>
      <w:r w:rsidR="00CE1AC6" w:rsidRPr="00AC18ED">
        <w:rPr>
          <w:rFonts w:ascii="Times New Roman" w:hAnsi="Times New Roman" w:cs="Times New Roman"/>
          <w:szCs w:val="22"/>
        </w:rPr>
        <w:t xml:space="preserve">service </w:t>
      </w:r>
      <w:r w:rsidR="004E553F">
        <w:rPr>
          <w:rFonts w:ascii="Times New Roman" w:hAnsi="Times New Roman" w:cs="Times New Roman"/>
          <w:szCs w:val="22"/>
        </w:rPr>
        <w:t>sector</w:t>
      </w:r>
      <w:r w:rsidR="000258AE">
        <w:rPr>
          <w:rFonts w:ascii="Times New Roman" w:hAnsi="Times New Roman" w:cs="Times New Roman"/>
          <w:szCs w:val="22"/>
        </w:rPr>
        <w:t>; and</w:t>
      </w:r>
      <w:r w:rsidR="004E553F">
        <w:rPr>
          <w:rFonts w:ascii="Times New Roman" w:hAnsi="Times New Roman" w:cs="Times New Roman"/>
          <w:szCs w:val="22"/>
        </w:rPr>
        <w:t>, in turn,</w:t>
      </w:r>
      <w:r w:rsidR="00774A64">
        <w:rPr>
          <w:rFonts w:ascii="Times New Roman" w:hAnsi="Times New Roman" w:cs="Times New Roman"/>
          <w:szCs w:val="22"/>
        </w:rPr>
        <w:t xml:space="preserve"> </w:t>
      </w:r>
      <w:r w:rsidR="000258AE">
        <w:rPr>
          <w:rFonts w:ascii="Times New Roman" w:hAnsi="Times New Roman" w:cs="Times New Roman"/>
          <w:szCs w:val="22"/>
        </w:rPr>
        <w:t>iii)</w:t>
      </w:r>
      <w:r w:rsidR="00CE1AC6" w:rsidRPr="00AC18ED">
        <w:rPr>
          <w:rFonts w:ascii="Times New Roman" w:hAnsi="Times New Roman" w:cs="Times New Roman"/>
          <w:szCs w:val="22"/>
        </w:rPr>
        <w:t xml:space="preserve"> energy demand.</w:t>
      </w:r>
      <w:r w:rsidR="00774A64">
        <w:rPr>
          <w:rFonts w:ascii="Times New Roman" w:hAnsi="Times New Roman" w:cs="Times New Roman"/>
          <w:szCs w:val="22"/>
        </w:rPr>
        <w:t xml:space="preserve"> </w:t>
      </w:r>
      <w:r w:rsidR="00CE1AC6" w:rsidRPr="00AC18ED">
        <w:rPr>
          <w:rFonts w:ascii="Times New Roman" w:hAnsi="Times New Roman" w:cs="Times New Roman"/>
          <w:szCs w:val="22"/>
        </w:rPr>
        <w:t>In making future projection</w:t>
      </w:r>
      <w:r w:rsidR="004E553F">
        <w:rPr>
          <w:rFonts w:ascii="Times New Roman" w:hAnsi="Times New Roman" w:cs="Times New Roman"/>
          <w:szCs w:val="22"/>
        </w:rPr>
        <w:t>s,</w:t>
      </w:r>
      <w:r w:rsidR="00774A64">
        <w:rPr>
          <w:rFonts w:ascii="Times New Roman" w:hAnsi="Times New Roman" w:cs="Times New Roman"/>
          <w:szCs w:val="22"/>
        </w:rPr>
        <w:t xml:space="preserve"> </w:t>
      </w:r>
      <w:r w:rsidR="00CE1AC6" w:rsidRPr="00AC18ED">
        <w:rPr>
          <w:rFonts w:ascii="Times New Roman" w:hAnsi="Times New Roman" w:cs="Times New Roman"/>
          <w:szCs w:val="22"/>
        </w:rPr>
        <w:t xml:space="preserve">various </w:t>
      </w:r>
      <w:r w:rsidR="00E504DC">
        <w:rPr>
          <w:rFonts w:ascii="Times New Roman" w:hAnsi="Times New Roman" w:cs="Times New Roman"/>
          <w:szCs w:val="22"/>
        </w:rPr>
        <w:t>national</w:t>
      </w:r>
      <w:r w:rsidR="00E504DC" w:rsidRPr="00AC18ED">
        <w:rPr>
          <w:rFonts w:ascii="Times New Roman" w:hAnsi="Times New Roman" w:cs="Times New Roman"/>
          <w:szCs w:val="22"/>
        </w:rPr>
        <w:t xml:space="preserve"> </w:t>
      </w:r>
      <w:r w:rsidR="00CE1AC6" w:rsidRPr="00AC18ED">
        <w:rPr>
          <w:rFonts w:ascii="Times New Roman" w:hAnsi="Times New Roman" w:cs="Times New Roman"/>
          <w:szCs w:val="22"/>
        </w:rPr>
        <w:t xml:space="preserve">and </w:t>
      </w:r>
      <w:r w:rsidR="004E553F" w:rsidRPr="00AC18ED">
        <w:rPr>
          <w:rFonts w:ascii="Times New Roman" w:hAnsi="Times New Roman" w:cs="Times New Roman"/>
          <w:szCs w:val="22"/>
        </w:rPr>
        <w:t>state</w:t>
      </w:r>
      <w:r w:rsidR="004E553F">
        <w:rPr>
          <w:rFonts w:ascii="Times New Roman" w:hAnsi="Times New Roman" w:cs="Times New Roman"/>
          <w:szCs w:val="22"/>
        </w:rPr>
        <w:t>-</w:t>
      </w:r>
      <w:r w:rsidR="00CE1AC6" w:rsidRPr="00AC18ED">
        <w:rPr>
          <w:rFonts w:ascii="Times New Roman" w:hAnsi="Times New Roman" w:cs="Times New Roman"/>
          <w:szCs w:val="22"/>
        </w:rPr>
        <w:t>level planning and projection document</w:t>
      </w:r>
      <w:r w:rsidR="004E553F">
        <w:rPr>
          <w:rFonts w:ascii="Times New Roman" w:hAnsi="Times New Roman" w:cs="Times New Roman"/>
          <w:szCs w:val="22"/>
        </w:rPr>
        <w:t>s</w:t>
      </w:r>
      <w:r w:rsidR="000258AE">
        <w:rPr>
          <w:rFonts w:ascii="Times New Roman" w:hAnsi="Times New Roman" w:cs="Times New Roman"/>
          <w:szCs w:val="22"/>
        </w:rPr>
        <w:t>,</w:t>
      </w:r>
      <w:r w:rsidR="00CE1AC6" w:rsidRPr="00AC18ED">
        <w:rPr>
          <w:rFonts w:ascii="Times New Roman" w:hAnsi="Times New Roman" w:cs="Times New Roman"/>
          <w:szCs w:val="22"/>
        </w:rPr>
        <w:t xml:space="preserve"> as well as </w:t>
      </w:r>
      <w:r w:rsidR="004E553F" w:rsidRPr="00AC18ED">
        <w:rPr>
          <w:rFonts w:ascii="Times New Roman" w:hAnsi="Times New Roman" w:cs="Times New Roman"/>
          <w:szCs w:val="22"/>
        </w:rPr>
        <w:t>sector</w:t>
      </w:r>
      <w:r w:rsidR="004E553F">
        <w:rPr>
          <w:rFonts w:ascii="Times New Roman" w:hAnsi="Times New Roman" w:cs="Times New Roman"/>
          <w:szCs w:val="22"/>
        </w:rPr>
        <w:t>-</w:t>
      </w:r>
      <w:r w:rsidR="00CE1AC6" w:rsidRPr="00AC18ED">
        <w:rPr>
          <w:rFonts w:ascii="Times New Roman" w:hAnsi="Times New Roman" w:cs="Times New Roman"/>
          <w:szCs w:val="22"/>
        </w:rPr>
        <w:t>specific policy document</w:t>
      </w:r>
      <w:r w:rsidR="004E553F">
        <w:rPr>
          <w:rFonts w:ascii="Times New Roman" w:hAnsi="Times New Roman" w:cs="Times New Roman"/>
          <w:szCs w:val="22"/>
        </w:rPr>
        <w:t>s</w:t>
      </w:r>
      <w:r w:rsidR="000258AE">
        <w:rPr>
          <w:rFonts w:ascii="Times New Roman" w:hAnsi="Times New Roman" w:cs="Times New Roman"/>
          <w:szCs w:val="22"/>
        </w:rPr>
        <w:t>,</w:t>
      </w:r>
      <w:r w:rsidR="00CE1AC6" w:rsidRPr="00AC18ED">
        <w:rPr>
          <w:rFonts w:ascii="Times New Roman" w:hAnsi="Times New Roman" w:cs="Times New Roman"/>
          <w:szCs w:val="22"/>
        </w:rPr>
        <w:t xml:space="preserve"> were considered.</w:t>
      </w:r>
      <w:r w:rsidR="00774A64">
        <w:rPr>
          <w:rFonts w:ascii="Times New Roman" w:hAnsi="Times New Roman" w:cs="Times New Roman"/>
          <w:szCs w:val="22"/>
        </w:rPr>
        <w:t xml:space="preserve"> </w:t>
      </w:r>
    </w:p>
    <w:p w14:paraId="25F98411" w14:textId="096EA71B" w:rsidR="00CE1AC6" w:rsidRPr="00AC18ED" w:rsidRDefault="004E553F" w:rsidP="00AC18ED">
      <w:pPr>
        <w:adjustRightInd w:val="0"/>
        <w:spacing w:after="120" w:line="276" w:lineRule="auto"/>
        <w:jc w:val="both"/>
        <w:rPr>
          <w:rFonts w:ascii="Times New Roman" w:hAnsi="Times New Roman" w:cs="Times New Roman"/>
          <w:szCs w:val="22"/>
        </w:rPr>
      </w:pPr>
      <w:r>
        <w:rPr>
          <w:rFonts w:ascii="Times New Roman" w:hAnsi="Times New Roman" w:cs="Times New Roman"/>
          <w:szCs w:val="22"/>
        </w:rPr>
        <w:t>The f</w:t>
      </w:r>
      <w:r w:rsidRPr="00AC18ED">
        <w:rPr>
          <w:rFonts w:ascii="Times New Roman" w:hAnsi="Times New Roman" w:cs="Times New Roman"/>
          <w:szCs w:val="22"/>
        </w:rPr>
        <w:t xml:space="preserve">ollowing </w:t>
      </w:r>
      <w:r w:rsidR="00CE1AC6" w:rsidRPr="00AC18ED">
        <w:rPr>
          <w:rFonts w:ascii="Times New Roman" w:hAnsi="Times New Roman" w:cs="Times New Roman"/>
          <w:szCs w:val="22"/>
        </w:rPr>
        <w:t xml:space="preserve">assumptions </w:t>
      </w:r>
      <w:r w:rsidR="000258AE">
        <w:rPr>
          <w:rFonts w:ascii="Times New Roman" w:hAnsi="Times New Roman" w:cs="Times New Roman"/>
          <w:szCs w:val="22"/>
        </w:rPr>
        <w:t>were</w:t>
      </w:r>
      <w:r w:rsidR="00CE1AC6" w:rsidRPr="00AC18ED">
        <w:rPr>
          <w:rFonts w:ascii="Times New Roman" w:hAnsi="Times New Roman" w:cs="Times New Roman"/>
          <w:szCs w:val="22"/>
        </w:rPr>
        <w:t xml:space="preserve"> made to estimate emissions under </w:t>
      </w:r>
      <w:r>
        <w:rPr>
          <w:rFonts w:ascii="Times New Roman" w:hAnsi="Times New Roman" w:cs="Times New Roman"/>
          <w:szCs w:val="22"/>
        </w:rPr>
        <w:t xml:space="preserve">the </w:t>
      </w:r>
      <w:r w:rsidR="000258AE" w:rsidRPr="00481400">
        <w:rPr>
          <w:rFonts w:ascii="Times New Roman" w:hAnsi="Times New Roman" w:cs="Times New Roman"/>
          <w:szCs w:val="22"/>
        </w:rPr>
        <w:t>b</w:t>
      </w:r>
      <w:r w:rsidRPr="00481400">
        <w:rPr>
          <w:rFonts w:ascii="Times New Roman" w:hAnsi="Times New Roman" w:cs="Times New Roman"/>
          <w:szCs w:val="22"/>
        </w:rPr>
        <w:t>usiness-as-</w:t>
      </w:r>
      <w:r w:rsidR="00CE1AC6" w:rsidRPr="00481400">
        <w:rPr>
          <w:rFonts w:ascii="Times New Roman" w:hAnsi="Times New Roman" w:cs="Times New Roman"/>
          <w:szCs w:val="22"/>
        </w:rPr>
        <w:t>usual (BAU)</w:t>
      </w:r>
      <w:r w:rsidR="00CE1AC6" w:rsidRPr="00AC18ED">
        <w:rPr>
          <w:rFonts w:ascii="Times New Roman" w:hAnsi="Times New Roman" w:cs="Times New Roman"/>
          <w:szCs w:val="22"/>
        </w:rPr>
        <w:t xml:space="preserve"> scenario up</w:t>
      </w:r>
      <w:r>
        <w:rPr>
          <w:rFonts w:ascii="Times New Roman" w:hAnsi="Times New Roman" w:cs="Times New Roman"/>
          <w:szCs w:val="22"/>
        </w:rPr>
        <w:t xml:space="preserve"> </w:t>
      </w:r>
      <w:r w:rsidR="00CE1AC6" w:rsidRPr="00AC18ED">
        <w:rPr>
          <w:rFonts w:ascii="Times New Roman" w:hAnsi="Times New Roman" w:cs="Times New Roman"/>
          <w:szCs w:val="22"/>
        </w:rPr>
        <w:t xml:space="preserve">to 2030 in </w:t>
      </w:r>
      <w:r w:rsidR="000258AE">
        <w:rPr>
          <w:rFonts w:ascii="Times New Roman" w:hAnsi="Times New Roman" w:cs="Times New Roman"/>
          <w:szCs w:val="22"/>
        </w:rPr>
        <w:t>intervals of</w:t>
      </w:r>
      <w:r w:rsidR="00CE1AC6" w:rsidRPr="00AC18ED">
        <w:rPr>
          <w:rFonts w:ascii="Times New Roman" w:hAnsi="Times New Roman" w:cs="Times New Roman"/>
          <w:szCs w:val="22"/>
        </w:rPr>
        <w:t xml:space="preserve"> 5 years:</w:t>
      </w:r>
    </w:p>
    <w:p w14:paraId="704C3F7D" w14:textId="77777777" w:rsidR="00CE1AC6" w:rsidRPr="00AC18ED" w:rsidRDefault="00CE1AC6" w:rsidP="002A73C5">
      <w:pPr>
        <w:pStyle w:val="Heading2"/>
        <w:numPr>
          <w:ilvl w:val="1"/>
          <w:numId w:val="11"/>
        </w:numPr>
        <w:spacing w:before="120" w:after="120" w:line="276" w:lineRule="auto"/>
        <w:contextualSpacing/>
        <w:rPr>
          <w:rFonts w:ascii="Times New Roman" w:hAnsi="Times New Roman" w:cs="Times New Roman"/>
          <w:sz w:val="22"/>
          <w:szCs w:val="22"/>
        </w:rPr>
      </w:pPr>
      <w:bookmarkStart w:id="29" w:name="_Toc22630746"/>
      <w:r w:rsidRPr="00AC18ED">
        <w:rPr>
          <w:rFonts w:ascii="Times New Roman" w:hAnsi="Times New Roman" w:cs="Times New Roman"/>
          <w:sz w:val="22"/>
          <w:szCs w:val="22"/>
        </w:rPr>
        <w:t>General assumptions:</w:t>
      </w:r>
      <w:bookmarkEnd w:id="29"/>
    </w:p>
    <w:p w14:paraId="382C8AE8" w14:textId="1F207F48" w:rsidR="00CE1AC6" w:rsidRPr="00AC18ED" w:rsidRDefault="004E553F" w:rsidP="002A73C5">
      <w:pPr>
        <w:numPr>
          <w:ilvl w:val="0"/>
          <w:numId w:val="1"/>
        </w:numPr>
        <w:autoSpaceDE w:val="0"/>
        <w:autoSpaceDN w:val="0"/>
        <w:adjustRightInd w:val="0"/>
        <w:spacing w:after="0" w:line="276" w:lineRule="auto"/>
        <w:ind w:left="720" w:hanging="283"/>
        <w:jc w:val="both"/>
        <w:rPr>
          <w:rFonts w:ascii="Times New Roman" w:hAnsi="Times New Roman" w:cs="Times New Roman"/>
          <w:szCs w:val="22"/>
        </w:rPr>
      </w:pPr>
      <w:r>
        <w:rPr>
          <w:rFonts w:ascii="Times New Roman" w:hAnsi="Times New Roman" w:cs="Times New Roman"/>
          <w:szCs w:val="22"/>
        </w:rPr>
        <w:t>The n</w:t>
      </w:r>
      <w:r w:rsidRPr="00AC18ED">
        <w:rPr>
          <w:rFonts w:ascii="Times New Roman" w:hAnsi="Times New Roman" w:cs="Times New Roman"/>
          <w:szCs w:val="22"/>
        </w:rPr>
        <w:t xml:space="preserve">ormal </w:t>
      </w:r>
      <w:r w:rsidR="00CE1AC6" w:rsidRPr="00AC18ED">
        <w:rPr>
          <w:rFonts w:ascii="Times New Roman" w:hAnsi="Times New Roman" w:cs="Times New Roman"/>
          <w:szCs w:val="22"/>
        </w:rPr>
        <w:t>growth rate in population would result in</w:t>
      </w:r>
      <w:r>
        <w:rPr>
          <w:rFonts w:ascii="Times New Roman" w:hAnsi="Times New Roman" w:cs="Times New Roman"/>
          <w:szCs w:val="22"/>
        </w:rPr>
        <w:t xml:space="preserve"> a</w:t>
      </w:r>
      <w:r w:rsidR="00CE1AC6" w:rsidRPr="00AC18ED">
        <w:rPr>
          <w:rFonts w:ascii="Times New Roman" w:hAnsi="Times New Roman" w:cs="Times New Roman"/>
          <w:szCs w:val="22"/>
        </w:rPr>
        <w:t xml:space="preserve"> proportionate increase in different sectors, </w:t>
      </w:r>
      <w:r>
        <w:rPr>
          <w:rFonts w:ascii="Times New Roman" w:hAnsi="Times New Roman" w:cs="Times New Roman"/>
          <w:szCs w:val="22"/>
        </w:rPr>
        <w:t>and</w:t>
      </w:r>
      <w:r w:rsidRPr="00AC18ED">
        <w:rPr>
          <w:rFonts w:ascii="Times New Roman" w:hAnsi="Times New Roman" w:cs="Times New Roman"/>
          <w:szCs w:val="22"/>
        </w:rPr>
        <w:t xml:space="preserve"> </w:t>
      </w:r>
      <w:r w:rsidR="00CE1AC6" w:rsidRPr="00AC18ED">
        <w:rPr>
          <w:rFonts w:ascii="Times New Roman" w:hAnsi="Times New Roman" w:cs="Times New Roman"/>
          <w:szCs w:val="22"/>
        </w:rPr>
        <w:t>also in fuel consumption.</w:t>
      </w:r>
    </w:p>
    <w:p w14:paraId="1FD9C0B9" w14:textId="4ABFD854" w:rsidR="00CE1AC6" w:rsidRPr="00A27FF8" w:rsidRDefault="00CE1AC6" w:rsidP="002A73C5">
      <w:pPr>
        <w:numPr>
          <w:ilvl w:val="0"/>
          <w:numId w:val="1"/>
        </w:numPr>
        <w:autoSpaceDE w:val="0"/>
        <w:autoSpaceDN w:val="0"/>
        <w:adjustRightInd w:val="0"/>
        <w:spacing w:after="0" w:line="276" w:lineRule="auto"/>
        <w:ind w:left="720" w:hanging="283"/>
        <w:jc w:val="both"/>
        <w:rPr>
          <w:rFonts w:ascii="Times New Roman" w:hAnsi="Times New Roman" w:cs="Times New Roman"/>
          <w:szCs w:val="22"/>
        </w:rPr>
      </w:pPr>
      <w:r w:rsidRPr="00AC18ED">
        <w:rPr>
          <w:rFonts w:ascii="Times New Roman" w:hAnsi="Times New Roman" w:cs="Times New Roman"/>
          <w:szCs w:val="22"/>
        </w:rPr>
        <w:t>The average annual growth rate for West Bengal during 2005</w:t>
      </w:r>
      <w:r w:rsidR="004E553F">
        <w:rPr>
          <w:rFonts w:ascii="Times New Roman" w:hAnsi="Times New Roman" w:cs="Times New Roman"/>
          <w:szCs w:val="22"/>
        </w:rPr>
        <w:t>–20</w:t>
      </w:r>
      <w:r w:rsidRPr="00AC18ED">
        <w:rPr>
          <w:rFonts w:ascii="Times New Roman" w:hAnsi="Times New Roman" w:cs="Times New Roman"/>
          <w:szCs w:val="22"/>
        </w:rPr>
        <w:t>06 to 2012</w:t>
      </w:r>
      <w:r w:rsidR="004E553F">
        <w:rPr>
          <w:rFonts w:ascii="Times New Roman" w:hAnsi="Times New Roman" w:cs="Times New Roman"/>
          <w:szCs w:val="22"/>
        </w:rPr>
        <w:t>–20</w:t>
      </w:r>
      <w:r w:rsidRPr="00AC18ED">
        <w:rPr>
          <w:rFonts w:ascii="Times New Roman" w:hAnsi="Times New Roman" w:cs="Times New Roman"/>
          <w:szCs w:val="22"/>
        </w:rPr>
        <w:t>13 is reported to be 6.59</w:t>
      </w:r>
      <w:r w:rsidR="00E504DC" w:rsidRPr="00A27FF8">
        <w:rPr>
          <w:rFonts w:ascii="Times New Roman" w:hAnsi="Times New Roman" w:cs="Times New Roman"/>
          <w:szCs w:val="22"/>
        </w:rPr>
        <w:t>%</w:t>
      </w:r>
      <w:r w:rsidRPr="00A27FF8">
        <w:rPr>
          <w:rFonts w:ascii="Times New Roman" w:hAnsi="Times New Roman" w:cs="Times New Roman"/>
          <w:szCs w:val="22"/>
        </w:rPr>
        <w:t xml:space="preserve"> (GoWB</w:t>
      </w:r>
      <w:r w:rsidR="00F61B78" w:rsidRPr="00A27FF8">
        <w:rPr>
          <w:rFonts w:ascii="Times New Roman" w:hAnsi="Times New Roman" w:cs="Times New Roman"/>
          <w:szCs w:val="22"/>
        </w:rPr>
        <w:t>,</w:t>
      </w:r>
      <w:r w:rsidRPr="00A27FF8">
        <w:rPr>
          <w:rFonts w:ascii="Times New Roman" w:hAnsi="Times New Roman" w:cs="Times New Roman"/>
          <w:szCs w:val="22"/>
        </w:rPr>
        <w:t xml:space="preserve"> 2015). </w:t>
      </w:r>
      <w:r w:rsidR="004E553F" w:rsidRPr="00A27FF8">
        <w:rPr>
          <w:rFonts w:ascii="Times New Roman" w:hAnsi="Times New Roman" w:cs="Times New Roman"/>
          <w:szCs w:val="22"/>
        </w:rPr>
        <w:t>This rate</w:t>
      </w:r>
      <w:r w:rsidR="00774A64" w:rsidRPr="00A27FF8">
        <w:rPr>
          <w:rFonts w:ascii="Times New Roman" w:hAnsi="Times New Roman" w:cs="Times New Roman"/>
          <w:szCs w:val="22"/>
        </w:rPr>
        <w:t xml:space="preserve"> </w:t>
      </w:r>
      <w:r w:rsidRPr="00A27FF8">
        <w:rPr>
          <w:rFonts w:ascii="Times New Roman" w:hAnsi="Times New Roman" w:cs="Times New Roman"/>
          <w:szCs w:val="22"/>
        </w:rPr>
        <w:t xml:space="preserve">is used to project the GDP of Kolkata </w:t>
      </w:r>
      <w:r w:rsidR="004E553F" w:rsidRPr="00A27FF8">
        <w:rPr>
          <w:rFonts w:ascii="Times New Roman" w:hAnsi="Times New Roman" w:cs="Times New Roman"/>
          <w:szCs w:val="22"/>
        </w:rPr>
        <w:t xml:space="preserve">to </w:t>
      </w:r>
      <w:r w:rsidRPr="00A27FF8">
        <w:rPr>
          <w:rFonts w:ascii="Times New Roman" w:hAnsi="Times New Roman" w:cs="Times New Roman"/>
          <w:szCs w:val="22"/>
        </w:rPr>
        <w:t>2030.</w:t>
      </w:r>
    </w:p>
    <w:p w14:paraId="7FC335E5" w14:textId="4DB5C1D9" w:rsidR="00CE1AC6" w:rsidRPr="00AC18ED" w:rsidRDefault="004E553F" w:rsidP="002A73C5">
      <w:pPr>
        <w:numPr>
          <w:ilvl w:val="0"/>
          <w:numId w:val="1"/>
        </w:numPr>
        <w:autoSpaceDE w:val="0"/>
        <w:autoSpaceDN w:val="0"/>
        <w:adjustRightInd w:val="0"/>
        <w:spacing w:after="0" w:line="276" w:lineRule="auto"/>
        <w:ind w:left="720" w:hanging="283"/>
        <w:jc w:val="both"/>
        <w:rPr>
          <w:rFonts w:ascii="Times New Roman" w:hAnsi="Times New Roman" w:cs="Times New Roman"/>
          <w:szCs w:val="22"/>
        </w:rPr>
      </w:pPr>
      <w:r w:rsidRPr="00A27FF8">
        <w:rPr>
          <w:rFonts w:ascii="Times New Roman" w:hAnsi="Times New Roman" w:cs="Times New Roman"/>
          <w:szCs w:val="22"/>
        </w:rPr>
        <w:t xml:space="preserve">The share </w:t>
      </w:r>
      <w:r w:rsidR="00CE1AC6" w:rsidRPr="00A27FF8">
        <w:rPr>
          <w:rFonts w:ascii="Times New Roman" w:hAnsi="Times New Roman" w:cs="Times New Roman"/>
          <w:szCs w:val="22"/>
        </w:rPr>
        <w:t>of</w:t>
      </w:r>
      <w:r w:rsidR="00774A64" w:rsidRPr="00A27FF8">
        <w:rPr>
          <w:rFonts w:ascii="Times New Roman" w:hAnsi="Times New Roman" w:cs="Times New Roman"/>
          <w:szCs w:val="22"/>
        </w:rPr>
        <w:t xml:space="preserve"> </w:t>
      </w:r>
      <w:r w:rsidR="00CE1AC6" w:rsidRPr="00A27FF8">
        <w:rPr>
          <w:rFonts w:ascii="Times New Roman" w:hAnsi="Times New Roman" w:cs="Times New Roman"/>
          <w:szCs w:val="22"/>
        </w:rPr>
        <w:t xml:space="preserve">various economic sectors </w:t>
      </w:r>
      <w:r w:rsidRPr="00A27FF8">
        <w:rPr>
          <w:rFonts w:ascii="Times New Roman" w:hAnsi="Times New Roman" w:cs="Times New Roman"/>
          <w:szCs w:val="22"/>
        </w:rPr>
        <w:t xml:space="preserve">in </w:t>
      </w:r>
      <w:r w:rsidR="00CE1AC6" w:rsidRPr="00A27FF8">
        <w:rPr>
          <w:rFonts w:ascii="Times New Roman" w:hAnsi="Times New Roman" w:cs="Times New Roman"/>
          <w:szCs w:val="22"/>
        </w:rPr>
        <w:t xml:space="preserve">the city’s GDP </w:t>
      </w:r>
      <w:r w:rsidRPr="00A27FF8">
        <w:rPr>
          <w:rFonts w:ascii="Times New Roman" w:hAnsi="Times New Roman" w:cs="Times New Roman"/>
          <w:szCs w:val="22"/>
        </w:rPr>
        <w:t xml:space="preserve">is </w:t>
      </w:r>
      <w:r w:rsidR="00CE1AC6" w:rsidRPr="00A27FF8">
        <w:rPr>
          <w:rFonts w:ascii="Times New Roman" w:hAnsi="Times New Roman" w:cs="Times New Roman"/>
          <w:szCs w:val="22"/>
        </w:rPr>
        <w:t>obtained from GoWB</w:t>
      </w:r>
      <w:r w:rsidRPr="00A27FF8">
        <w:rPr>
          <w:rFonts w:ascii="Times New Roman" w:hAnsi="Times New Roman" w:cs="Times New Roman"/>
          <w:szCs w:val="22"/>
        </w:rPr>
        <w:t xml:space="preserve"> (</w:t>
      </w:r>
      <w:r w:rsidR="00CE1AC6" w:rsidRPr="00A27FF8">
        <w:rPr>
          <w:rFonts w:ascii="Times New Roman" w:hAnsi="Times New Roman" w:cs="Times New Roman"/>
          <w:szCs w:val="22"/>
        </w:rPr>
        <w:t>2015</w:t>
      </w:r>
      <w:r w:rsidRPr="00A27FF8">
        <w:rPr>
          <w:rFonts w:ascii="Times New Roman" w:hAnsi="Times New Roman" w:cs="Times New Roman"/>
          <w:szCs w:val="22"/>
        </w:rPr>
        <w:t>).</w:t>
      </w:r>
      <w:r w:rsidR="00774A64" w:rsidRPr="00A27FF8">
        <w:rPr>
          <w:rFonts w:ascii="Times New Roman" w:hAnsi="Times New Roman" w:cs="Times New Roman"/>
          <w:szCs w:val="22"/>
        </w:rPr>
        <w:t xml:space="preserve"> </w:t>
      </w:r>
      <w:r w:rsidR="00CE1AC6" w:rsidRPr="00A27FF8">
        <w:rPr>
          <w:rFonts w:ascii="Times New Roman" w:hAnsi="Times New Roman" w:cs="Times New Roman"/>
          <w:szCs w:val="22"/>
        </w:rPr>
        <w:t xml:space="preserve">To project the future GDP in different sectors of </w:t>
      </w:r>
      <w:r w:rsidRPr="00A27FF8">
        <w:rPr>
          <w:rFonts w:ascii="Times New Roman" w:hAnsi="Times New Roman" w:cs="Times New Roman"/>
          <w:szCs w:val="22"/>
        </w:rPr>
        <w:t xml:space="preserve">the </w:t>
      </w:r>
      <w:r w:rsidR="00CE1AC6" w:rsidRPr="00A27FF8">
        <w:rPr>
          <w:rFonts w:ascii="Times New Roman" w:hAnsi="Times New Roman" w:cs="Times New Roman"/>
          <w:szCs w:val="22"/>
        </w:rPr>
        <w:t>economy</w:t>
      </w:r>
      <w:r w:rsidRPr="00A27FF8">
        <w:rPr>
          <w:rFonts w:ascii="Times New Roman" w:hAnsi="Times New Roman" w:cs="Times New Roman"/>
          <w:szCs w:val="22"/>
        </w:rPr>
        <w:t>,</w:t>
      </w:r>
      <w:r w:rsidR="00CE1AC6" w:rsidRPr="00A27FF8">
        <w:rPr>
          <w:rFonts w:ascii="Times New Roman" w:hAnsi="Times New Roman" w:cs="Times New Roman"/>
          <w:szCs w:val="22"/>
        </w:rPr>
        <w:t xml:space="preserve"> the annual average growth rates (for 2005</w:t>
      </w:r>
      <w:r w:rsidRPr="00A27FF8">
        <w:rPr>
          <w:rFonts w:ascii="Times New Roman" w:hAnsi="Times New Roman" w:cs="Times New Roman"/>
          <w:szCs w:val="22"/>
        </w:rPr>
        <w:t>–</w:t>
      </w:r>
      <w:r w:rsidR="00CE1AC6" w:rsidRPr="00A27FF8">
        <w:rPr>
          <w:rFonts w:ascii="Times New Roman" w:hAnsi="Times New Roman" w:cs="Times New Roman"/>
          <w:szCs w:val="22"/>
        </w:rPr>
        <w:t xml:space="preserve">2013) of </w:t>
      </w:r>
      <w:r w:rsidRPr="00A27FF8">
        <w:rPr>
          <w:rFonts w:ascii="Times New Roman" w:hAnsi="Times New Roman" w:cs="Times New Roman"/>
          <w:szCs w:val="22"/>
        </w:rPr>
        <w:t xml:space="preserve">the </w:t>
      </w:r>
      <w:r w:rsidR="00E504DC" w:rsidRPr="00A27FF8">
        <w:rPr>
          <w:rFonts w:ascii="Times New Roman" w:hAnsi="Times New Roman" w:cs="Times New Roman"/>
          <w:szCs w:val="22"/>
        </w:rPr>
        <w:t>GDP</w:t>
      </w:r>
      <w:r w:rsidR="000258AE" w:rsidRPr="00A27FF8">
        <w:rPr>
          <w:rFonts w:ascii="Times New Roman" w:hAnsi="Times New Roman" w:cs="Times New Roman"/>
          <w:szCs w:val="22"/>
        </w:rPr>
        <w:t xml:space="preserve"> </w:t>
      </w:r>
      <w:r w:rsidR="00CE1AC6" w:rsidRPr="00A27FF8">
        <w:rPr>
          <w:rFonts w:ascii="Times New Roman" w:hAnsi="Times New Roman" w:cs="Times New Roman"/>
          <w:szCs w:val="22"/>
        </w:rPr>
        <w:t xml:space="preserve">of </w:t>
      </w:r>
      <w:r w:rsidR="000258AE" w:rsidRPr="00A27FF8">
        <w:rPr>
          <w:rFonts w:ascii="Times New Roman" w:hAnsi="Times New Roman" w:cs="Times New Roman"/>
          <w:szCs w:val="22"/>
        </w:rPr>
        <w:t xml:space="preserve">the state of </w:t>
      </w:r>
      <w:r w:rsidR="00CE1AC6" w:rsidRPr="00A27FF8">
        <w:rPr>
          <w:rFonts w:ascii="Times New Roman" w:hAnsi="Times New Roman" w:cs="Times New Roman"/>
          <w:szCs w:val="22"/>
        </w:rPr>
        <w:t xml:space="preserve">West Bengal by </w:t>
      </w:r>
      <w:r w:rsidR="000258AE" w:rsidRPr="00A27FF8">
        <w:rPr>
          <w:rFonts w:ascii="Times New Roman" w:hAnsi="Times New Roman" w:cs="Times New Roman"/>
          <w:szCs w:val="22"/>
        </w:rPr>
        <w:t xml:space="preserve">industry </w:t>
      </w:r>
      <w:r w:rsidR="00CE1AC6" w:rsidRPr="00A27FF8">
        <w:rPr>
          <w:rFonts w:ascii="Times New Roman" w:hAnsi="Times New Roman" w:cs="Times New Roman"/>
          <w:szCs w:val="22"/>
        </w:rPr>
        <w:t xml:space="preserve">of </w:t>
      </w:r>
      <w:r w:rsidR="000258AE" w:rsidRPr="00A27FF8">
        <w:rPr>
          <w:rFonts w:ascii="Times New Roman" w:hAnsi="Times New Roman" w:cs="Times New Roman"/>
          <w:szCs w:val="22"/>
        </w:rPr>
        <w:t xml:space="preserve">origin </w:t>
      </w:r>
      <w:r w:rsidR="00CE1AC6" w:rsidRPr="00A27FF8">
        <w:rPr>
          <w:rFonts w:ascii="Times New Roman" w:hAnsi="Times New Roman" w:cs="Times New Roman"/>
          <w:szCs w:val="22"/>
        </w:rPr>
        <w:t xml:space="preserve">at </w:t>
      </w:r>
      <w:r w:rsidR="000258AE" w:rsidRPr="00A27FF8">
        <w:rPr>
          <w:rFonts w:ascii="Times New Roman" w:hAnsi="Times New Roman" w:cs="Times New Roman"/>
          <w:szCs w:val="22"/>
        </w:rPr>
        <w:t xml:space="preserve">constant </w:t>
      </w:r>
      <w:r w:rsidR="00CE1AC6" w:rsidRPr="00A27FF8">
        <w:rPr>
          <w:rFonts w:ascii="Times New Roman" w:hAnsi="Times New Roman" w:cs="Times New Roman"/>
          <w:szCs w:val="22"/>
        </w:rPr>
        <w:t>(2004</w:t>
      </w:r>
      <w:r w:rsidR="00A855A6" w:rsidRPr="00A27FF8">
        <w:rPr>
          <w:rFonts w:ascii="Times New Roman" w:hAnsi="Times New Roman" w:cs="Times New Roman"/>
          <w:szCs w:val="22"/>
        </w:rPr>
        <w:t>–20</w:t>
      </w:r>
      <w:r w:rsidR="00CE1AC6" w:rsidRPr="00A27FF8">
        <w:rPr>
          <w:rFonts w:ascii="Times New Roman" w:hAnsi="Times New Roman" w:cs="Times New Roman"/>
          <w:szCs w:val="22"/>
        </w:rPr>
        <w:t xml:space="preserve">05) </w:t>
      </w:r>
      <w:r w:rsidR="000258AE" w:rsidRPr="00A27FF8">
        <w:rPr>
          <w:rFonts w:ascii="Times New Roman" w:hAnsi="Times New Roman" w:cs="Times New Roman"/>
          <w:szCs w:val="22"/>
        </w:rPr>
        <w:t xml:space="preserve">prices </w:t>
      </w:r>
      <w:r w:rsidR="00CE1AC6" w:rsidRPr="00A27FF8">
        <w:rPr>
          <w:rFonts w:ascii="Times New Roman" w:hAnsi="Times New Roman" w:cs="Times New Roman"/>
          <w:szCs w:val="22"/>
        </w:rPr>
        <w:t xml:space="preserve">used </w:t>
      </w:r>
      <w:r w:rsidR="00A855A6" w:rsidRPr="00A27FF8">
        <w:rPr>
          <w:rFonts w:ascii="Times New Roman" w:hAnsi="Times New Roman" w:cs="Times New Roman"/>
          <w:szCs w:val="22"/>
        </w:rPr>
        <w:t xml:space="preserve">were </w:t>
      </w:r>
      <w:r w:rsidR="000258AE" w:rsidRPr="00A27FF8">
        <w:rPr>
          <w:rFonts w:ascii="Times New Roman" w:hAnsi="Times New Roman" w:cs="Times New Roman"/>
          <w:szCs w:val="22"/>
        </w:rPr>
        <w:t xml:space="preserve">taken </w:t>
      </w:r>
      <w:r w:rsidR="00A855A6" w:rsidRPr="00A27FF8">
        <w:rPr>
          <w:rFonts w:ascii="Times New Roman" w:hAnsi="Times New Roman" w:cs="Times New Roman"/>
          <w:szCs w:val="22"/>
        </w:rPr>
        <w:t xml:space="preserve">from </w:t>
      </w:r>
      <w:r w:rsidR="00CE1AC6" w:rsidRPr="00A27FF8">
        <w:rPr>
          <w:rFonts w:ascii="Times New Roman" w:hAnsi="Times New Roman" w:cs="Times New Roman"/>
          <w:szCs w:val="22"/>
        </w:rPr>
        <w:t>GoWB</w:t>
      </w:r>
      <w:r w:rsidR="00A855A6" w:rsidRPr="00A27FF8">
        <w:rPr>
          <w:rFonts w:ascii="Times New Roman" w:hAnsi="Times New Roman" w:cs="Times New Roman"/>
          <w:szCs w:val="22"/>
        </w:rPr>
        <w:t xml:space="preserve"> (</w:t>
      </w:r>
      <w:r w:rsidR="00CE1AC6" w:rsidRPr="00A27FF8">
        <w:rPr>
          <w:rFonts w:ascii="Times New Roman" w:hAnsi="Times New Roman" w:cs="Times New Roman"/>
          <w:szCs w:val="22"/>
        </w:rPr>
        <w:t xml:space="preserve">2015). </w:t>
      </w:r>
      <w:r w:rsidR="00A855A6" w:rsidRPr="00A27FF8">
        <w:rPr>
          <w:rFonts w:ascii="Times New Roman" w:hAnsi="Times New Roman" w:cs="Times New Roman"/>
          <w:szCs w:val="22"/>
        </w:rPr>
        <w:t>Moreover, for</w:t>
      </w:r>
      <w:r w:rsidR="00CE1AC6" w:rsidRPr="00A27FF8">
        <w:rPr>
          <w:rFonts w:ascii="Times New Roman" w:hAnsi="Times New Roman" w:cs="Times New Roman"/>
          <w:szCs w:val="22"/>
        </w:rPr>
        <w:t xml:space="preserve"> sectoral growth projection it is assumed that </w:t>
      </w:r>
      <w:r w:rsidR="00A855A6" w:rsidRPr="00A27FF8">
        <w:rPr>
          <w:rFonts w:ascii="Times New Roman" w:hAnsi="Times New Roman" w:cs="Times New Roman"/>
          <w:szCs w:val="22"/>
        </w:rPr>
        <w:t xml:space="preserve">the construction </w:t>
      </w:r>
      <w:r w:rsidR="00CE1AC6" w:rsidRPr="00A27FF8">
        <w:rPr>
          <w:rFonts w:ascii="Times New Roman" w:hAnsi="Times New Roman" w:cs="Times New Roman"/>
          <w:szCs w:val="22"/>
        </w:rPr>
        <w:t xml:space="preserve">and transport sector </w:t>
      </w:r>
      <w:r w:rsidR="00CE1AC6" w:rsidRPr="00AC18ED">
        <w:rPr>
          <w:rFonts w:ascii="Times New Roman" w:hAnsi="Times New Roman" w:cs="Times New Roman"/>
          <w:szCs w:val="22"/>
        </w:rPr>
        <w:t>within</w:t>
      </w:r>
      <w:r w:rsidR="00A855A6">
        <w:rPr>
          <w:rFonts w:ascii="Times New Roman" w:hAnsi="Times New Roman" w:cs="Times New Roman"/>
          <w:szCs w:val="22"/>
        </w:rPr>
        <w:t xml:space="preserve"> the</w:t>
      </w:r>
      <w:r w:rsidR="00CE1AC6" w:rsidRPr="00AC18ED">
        <w:rPr>
          <w:rFonts w:ascii="Times New Roman" w:hAnsi="Times New Roman" w:cs="Times New Roman"/>
          <w:szCs w:val="22"/>
        </w:rPr>
        <w:t xml:space="preserve"> </w:t>
      </w:r>
      <w:r w:rsidR="00A7166F">
        <w:rPr>
          <w:rFonts w:ascii="Times New Roman" w:hAnsi="Times New Roman" w:cs="Times New Roman"/>
          <w:szCs w:val="22"/>
        </w:rPr>
        <w:t>KMC</w:t>
      </w:r>
      <w:r w:rsidR="00CE1AC6" w:rsidRPr="00AC18ED">
        <w:rPr>
          <w:rFonts w:ascii="Times New Roman" w:hAnsi="Times New Roman" w:cs="Times New Roman"/>
          <w:szCs w:val="22"/>
        </w:rPr>
        <w:t xml:space="preserve"> area will have 25% more </w:t>
      </w:r>
      <w:r w:rsidR="00CE1AC6" w:rsidRPr="00AC18ED">
        <w:rPr>
          <w:rFonts w:ascii="Times New Roman" w:hAnsi="Times New Roman" w:cs="Times New Roman"/>
          <w:szCs w:val="22"/>
        </w:rPr>
        <w:lastRenderedPageBreak/>
        <w:t xml:space="preserve">growth than </w:t>
      </w:r>
      <w:r w:rsidR="000258AE">
        <w:rPr>
          <w:rFonts w:ascii="Times New Roman" w:hAnsi="Times New Roman" w:cs="Times New Roman"/>
          <w:szCs w:val="22"/>
        </w:rPr>
        <w:t xml:space="preserve">the </w:t>
      </w:r>
      <w:r w:rsidR="00CE1AC6" w:rsidRPr="00AC18ED">
        <w:rPr>
          <w:rFonts w:ascii="Times New Roman" w:hAnsi="Times New Roman" w:cs="Times New Roman"/>
          <w:szCs w:val="22"/>
        </w:rPr>
        <w:t xml:space="preserve">rest of West Bengal. </w:t>
      </w:r>
      <w:r w:rsidR="00A855A6">
        <w:rPr>
          <w:rFonts w:ascii="Times New Roman" w:hAnsi="Times New Roman" w:cs="Times New Roman"/>
          <w:szCs w:val="22"/>
        </w:rPr>
        <w:t>In the</w:t>
      </w:r>
      <w:r w:rsidR="00774A64">
        <w:rPr>
          <w:rFonts w:ascii="Times New Roman" w:hAnsi="Times New Roman" w:cs="Times New Roman"/>
          <w:szCs w:val="22"/>
        </w:rPr>
        <w:t xml:space="preserve"> </w:t>
      </w:r>
      <w:r w:rsidR="00CE1AC6" w:rsidRPr="00AC18ED">
        <w:rPr>
          <w:rFonts w:ascii="Times New Roman" w:hAnsi="Times New Roman" w:cs="Times New Roman"/>
          <w:szCs w:val="22"/>
        </w:rPr>
        <w:t>industrial sector (</w:t>
      </w:r>
      <w:r w:rsidR="00A855A6">
        <w:rPr>
          <w:rFonts w:ascii="Times New Roman" w:hAnsi="Times New Roman" w:cs="Times New Roman"/>
          <w:szCs w:val="22"/>
        </w:rPr>
        <w:t>m</w:t>
      </w:r>
      <w:r w:rsidR="00A855A6" w:rsidRPr="00AC18ED">
        <w:rPr>
          <w:rFonts w:ascii="Times New Roman" w:hAnsi="Times New Roman" w:cs="Times New Roman"/>
          <w:szCs w:val="22"/>
        </w:rPr>
        <w:t>anufacturing</w:t>
      </w:r>
      <w:r w:rsidR="00CE1AC6" w:rsidRPr="00AC18ED">
        <w:rPr>
          <w:rFonts w:ascii="Times New Roman" w:hAnsi="Times New Roman" w:cs="Times New Roman"/>
          <w:szCs w:val="22"/>
        </w:rPr>
        <w:t xml:space="preserve">) owing to </w:t>
      </w:r>
      <w:r w:rsidR="000258AE">
        <w:rPr>
          <w:rFonts w:ascii="Times New Roman" w:hAnsi="Times New Roman" w:cs="Times New Roman"/>
          <w:szCs w:val="22"/>
        </w:rPr>
        <w:t xml:space="preserve">the decision of the </w:t>
      </w:r>
      <w:r w:rsidR="00CE1AC6" w:rsidRPr="00AC18ED">
        <w:rPr>
          <w:rFonts w:ascii="Times New Roman" w:hAnsi="Times New Roman" w:cs="Times New Roman"/>
          <w:szCs w:val="22"/>
        </w:rPr>
        <w:t xml:space="preserve">authority </w:t>
      </w:r>
      <w:r w:rsidR="000258AE">
        <w:rPr>
          <w:rFonts w:ascii="Times New Roman" w:hAnsi="Times New Roman" w:cs="Times New Roman"/>
          <w:szCs w:val="22"/>
        </w:rPr>
        <w:t>not to permit</w:t>
      </w:r>
      <w:r w:rsidR="00CE1AC6" w:rsidRPr="00AC18ED">
        <w:rPr>
          <w:rFonts w:ascii="Times New Roman" w:hAnsi="Times New Roman" w:cs="Times New Roman"/>
          <w:szCs w:val="22"/>
        </w:rPr>
        <w:t xml:space="preserve"> any more industry to open within </w:t>
      </w:r>
      <w:r w:rsidR="000258AE">
        <w:rPr>
          <w:rFonts w:ascii="Times New Roman" w:hAnsi="Times New Roman" w:cs="Times New Roman"/>
          <w:szCs w:val="22"/>
        </w:rPr>
        <w:t xml:space="preserve">the </w:t>
      </w:r>
      <w:r w:rsidR="00A7166F">
        <w:rPr>
          <w:rFonts w:ascii="Times New Roman" w:hAnsi="Times New Roman" w:cs="Times New Roman"/>
          <w:szCs w:val="22"/>
        </w:rPr>
        <w:t>KMC</w:t>
      </w:r>
      <w:r w:rsidR="00CE1AC6" w:rsidRPr="00AC18ED">
        <w:rPr>
          <w:rFonts w:ascii="Times New Roman" w:hAnsi="Times New Roman" w:cs="Times New Roman"/>
          <w:szCs w:val="22"/>
        </w:rPr>
        <w:t xml:space="preserve"> area</w:t>
      </w:r>
      <w:r w:rsidR="00A855A6">
        <w:rPr>
          <w:rFonts w:ascii="Times New Roman" w:hAnsi="Times New Roman" w:cs="Times New Roman"/>
          <w:szCs w:val="22"/>
        </w:rPr>
        <w:t>,</w:t>
      </w:r>
      <w:r w:rsidR="00774A64">
        <w:rPr>
          <w:rFonts w:ascii="Times New Roman" w:hAnsi="Times New Roman" w:cs="Times New Roman"/>
          <w:szCs w:val="22"/>
        </w:rPr>
        <w:t xml:space="preserve"> </w:t>
      </w:r>
      <w:r w:rsidR="00CE1AC6" w:rsidRPr="00AC18ED">
        <w:rPr>
          <w:rFonts w:ascii="Times New Roman" w:hAnsi="Times New Roman" w:cs="Times New Roman"/>
          <w:szCs w:val="22"/>
        </w:rPr>
        <w:t xml:space="preserve">a nominal 1% annual growth is assumed compared to 5.59% projected growth for rest of </w:t>
      </w:r>
      <w:r w:rsidR="00A855A6">
        <w:rPr>
          <w:rFonts w:ascii="Times New Roman" w:hAnsi="Times New Roman" w:cs="Times New Roman"/>
          <w:szCs w:val="22"/>
        </w:rPr>
        <w:t>W</w:t>
      </w:r>
      <w:r w:rsidR="00A855A6" w:rsidRPr="00AC18ED">
        <w:rPr>
          <w:rFonts w:ascii="Times New Roman" w:hAnsi="Times New Roman" w:cs="Times New Roman"/>
          <w:szCs w:val="22"/>
        </w:rPr>
        <w:t xml:space="preserve">est </w:t>
      </w:r>
      <w:r w:rsidR="00CE1AC6" w:rsidRPr="00AC18ED">
        <w:rPr>
          <w:rFonts w:ascii="Times New Roman" w:hAnsi="Times New Roman" w:cs="Times New Roman"/>
          <w:szCs w:val="22"/>
        </w:rPr>
        <w:t>Bengal.</w:t>
      </w:r>
      <w:r w:rsidR="00774A64">
        <w:rPr>
          <w:rFonts w:ascii="Times New Roman" w:hAnsi="Times New Roman" w:cs="Times New Roman"/>
          <w:szCs w:val="22"/>
        </w:rPr>
        <w:t xml:space="preserve"> </w:t>
      </w:r>
    </w:p>
    <w:p w14:paraId="7EF79756" w14:textId="77777777" w:rsidR="00CE1AC6" w:rsidRPr="00AC18ED" w:rsidRDefault="00CE1AC6" w:rsidP="002A73C5">
      <w:pPr>
        <w:pStyle w:val="Heading2"/>
        <w:numPr>
          <w:ilvl w:val="1"/>
          <w:numId w:val="11"/>
        </w:numPr>
        <w:spacing w:before="120" w:after="120" w:line="276" w:lineRule="auto"/>
        <w:contextualSpacing/>
        <w:rPr>
          <w:rFonts w:ascii="Times New Roman" w:hAnsi="Times New Roman" w:cs="Times New Roman"/>
          <w:sz w:val="22"/>
          <w:szCs w:val="22"/>
        </w:rPr>
      </w:pPr>
      <w:bookmarkStart w:id="30" w:name="_Toc22630747"/>
      <w:r w:rsidRPr="00AC18ED">
        <w:rPr>
          <w:rFonts w:ascii="Times New Roman" w:hAnsi="Times New Roman" w:cs="Times New Roman"/>
          <w:sz w:val="22"/>
          <w:szCs w:val="22"/>
        </w:rPr>
        <w:t>Area sources</w:t>
      </w:r>
      <w:bookmarkEnd w:id="30"/>
    </w:p>
    <w:p w14:paraId="6FE3B3A0" w14:textId="3DC0D364" w:rsidR="00A855A6" w:rsidRPr="00481400" w:rsidRDefault="00CE1AC6" w:rsidP="002A73C5">
      <w:pPr>
        <w:numPr>
          <w:ilvl w:val="0"/>
          <w:numId w:val="1"/>
        </w:numPr>
        <w:autoSpaceDE w:val="0"/>
        <w:autoSpaceDN w:val="0"/>
        <w:adjustRightInd w:val="0"/>
        <w:spacing w:after="0" w:line="276" w:lineRule="auto"/>
        <w:ind w:left="720" w:hanging="283"/>
        <w:jc w:val="both"/>
        <w:rPr>
          <w:rFonts w:ascii="Times New Roman" w:hAnsi="Times New Roman" w:cs="Times New Roman"/>
          <w:szCs w:val="22"/>
        </w:rPr>
      </w:pPr>
      <w:r w:rsidRPr="00AC18ED">
        <w:rPr>
          <w:rFonts w:ascii="Times New Roman" w:hAnsi="Times New Roman" w:cs="Times New Roman"/>
          <w:szCs w:val="22"/>
        </w:rPr>
        <w:t>For the year 2010 to 2030</w:t>
      </w:r>
      <w:r w:rsidR="00A855A6">
        <w:rPr>
          <w:rFonts w:ascii="Times New Roman" w:hAnsi="Times New Roman" w:cs="Times New Roman"/>
          <w:szCs w:val="22"/>
        </w:rPr>
        <w:t xml:space="preserve"> the</w:t>
      </w:r>
      <w:r w:rsidRPr="00AC18ED">
        <w:rPr>
          <w:rFonts w:ascii="Times New Roman" w:hAnsi="Times New Roman" w:cs="Times New Roman"/>
          <w:szCs w:val="22"/>
        </w:rPr>
        <w:t xml:space="preserve"> total fuel requirement for domestic cooking and heating purpose</w:t>
      </w:r>
      <w:r w:rsidR="00A855A6">
        <w:rPr>
          <w:rFonts w:ascii="Times New Roman" w:hAnsi="Times New Roman" w:cs="Times New Roman"/>
          <w:szCs w:val="22"/>
        </w:rPr>
        <w:t>s</w:t>
      </w:r>
      <w:r w:rsidRPr="00AC18ED">
        <w:rPr>
          <w:rFonts w:ascii="Times New Roman" w:hAnsi="Times New Roman" w:cs="Times New Roman"/>
          <w:szCs w:val="22"/>
        </w:rPr>
        <w:t xml:space="preserve"> is projected based on </w:t>
      </w:r>
      <w:r w:rsidR="000258AE">
        <w:rPr>
          <w:rFonts w:ascii="Times New Roman" w:hAnsi="Times New Roman" w:cs="Times New Roman"/>
          <w:szCs w:val="22"/>
        </w:rPr>
        <w:t xml:space="preserve">the </w:t>
      </w:r>
      <w:r w:rsidRPr="00481400">
        <w:rPr>
          <w:rFonts w:ascii="Times New Roman" w:hAnsi="Times New Roman" w:cs="Times New Roman"/>
          <w:szCs w:val="22"/>
        </w:rPr>
        <w:t xml:space="preserve">projected population. </w:t>
      </w:r>
    </w:p>
    <w:p w14:paraId="7B910425" w14:textId="2DB40B57" w:rsidR="00334B7B" w:rsidRPr="00A27FF8" w:rsidRDefault="00CE1AC6" w:rsidP="002A73C5">
      <w:pPr>
        <w:numPr>
          <w:ilvl w:val="0"/>
          <w:numId w:val="1"/>
        </w:numPr>
        <w:autoSpaceDE w:val="0"/>
        <w:autoSpaceDN w:val="0"/>
        <w:adjustRightInd w:val="0"/>
        <w:spacing w:after="0" w:line="276" w:lineRule="auto"/>
        <w:ind w:left="720" w:hanging="283"/>
        <w:jc w:val="both"/>
        <w:rPr>
          <w:rFonts w:ascii="Times New Roman" w:hAnsi="Times New Roman" w:cs="Times New Roman"/>
          <w:szCs w:val="22"/>
        </w:rPr>
      </w:pPr>
      <w:r w:rsidRPr="00481400">
        <w:rPr>
          <w:rFonts w:ascii="Times New Roman" w:hAnsi="Times New Roman" w:cs="Times New Roman"/>
        </w:rPr>
        <w:t xml:space="preserve">It has been assumed that in </w:t>
      </w:r>
      <w:r w:rsidR="00A855A6" w:rsidRPr="00481400">
        <w:rPr>
          <w:rFonts w:ascii="Times New Roman" w:hAnsi="Times New Roman" w:cs="Times New Roman"/>
        </w:rPr>
        <w:t xml:space="preserve">the </w:t>
      </w:r>
      <w:r w:rsidR="00A855A6" w:rsidRPr="00481400">
        <w:rPr>
          <w:rFonts w:ascii="Times New Roman" w:hAnsi="Times New Roman"/>
        </w:rPr>
        <w:t>business-as-</w:t>
      </w:r>
      <w:r w:rsidRPr="00481400">
        <w:rPr>
          <w:rFonts w:ascii="Times New Roman" w:hAnsi="Times New Roman"/>
        </w:rPr>
        <w:t>usual scenario</w:t>
      </w:r>
      <w:r w:rsidRPr="00481400">
        <w:rPr>
          <w:rFonts w:ascii="Times New Roman" w:hAnsi="Times New Roman" w:cs="Times New Roman"/>
        </w:rPr>
        <w:t xml:space="preserve"> there will be a shift toward LPG use for domestic cooking (</w:t>
      </w:r>
      <w:r w:rsidR="00A855A6" w:rsidRPr="00481400">
        <w:rPr>
          <w:rFonts w:ascii="Times New Roman" w:hAnsi="Times New Roman" w:cs="Times New Roman"/>
        </w:rPr>
        <w:t xml:space="preserve">yearly </w:t>
      </w:r>
      <w:r w:rsidRPr="00481400">
        <w:rPr>
          <w:rFonts w:ascii="Times New Roman" w:hAnsi="Times New Roman" w:cs="Times New Roman"/>
        </w:rPr>
        <w:t>increase of 2%</w:t>
      </w:r>
      <w:r w:rsidR="00D3333A" w:rsidRPr="00481400">
        <w:rPr>
          <w:rFonts w:ascii="Times New Roman" w:hAnsi="Times New Roman" w:cs="Times New Roman"/>
        </w:rPr>
        <w:t>, based on primary survey</w:t>
      </w:r>
      <w:r w:rsidR="00601C01" w:rsidRPr="00481400">
        <w:rPr>
          <w:rFonts w:ascii="Times New Roman" w:hAnsi="Times New Roman" w:cs="Times New Roman"/>
        </w:rPr>
        <w:t xml:space="preserve"> undertaken as a part of this study</w:t>
      </w:r>
      <w:r w:rsidRPr="00481400">
        <w:rPr>
          <w:rFonts w:ascii="Times New Roman" w:hAnsi="Times New Roman" w:cs="Times New Roman"/>
        </w:rPr>
        <w:t xml:space="preserve">) which leads to </w:t>
      </w:r>
      <w:r w:rsidR="00A855A6" w:rsidRPr="00481400">
        <w:rPr>
          <w:rFonts w:ascii="Times New Roman" w:hAnsi="Times New Roman" w:cs="Times New Roman"/>
        </w:rPr>
        <w:t xml:space="preserve">LPG having </w:t>
      </w:r>
      <w:r w:rsidRPr="00481400">
        <w:rPr>
          <w:rFonts w:ascii="Times New Roman" w:hAnsi="Times New Roman" w:cs="Times New Roman"/>
        </w:rPr>
        <w:t xml:space="preserve">a projected share of 89% </w:t>
      </w:r>
      <w:r w:rsidR="00A855A6" w:rsidRPr="00481400">
        <w:rPr>
          <w:rFonts w:ascii="Times New Roman" w:hAnsi="Times New Roman" w:cs="Times New Roman"/>
        </w:rPr>
        <w:t xml:space="preserve">in </w:t>
      </w:r>
      <w:r w:rsidRPr="00481400">
        <w:rPr>
          <w:rFonts w:ascii="Times New Roman" w:hAnsi="Times New Roman" w:cs="Times New Roman"/>
        </w:rPr>
        <w:t>domestic fuel</w:t>
      </w:r>
      <w:r w:rsidR="00A855A6" w:rsidRPr="00481400">
        <w:rPr>
          <w:rFonts w:ascii="Times New Roman" w:hAnsi="Times New Roman" w:cs="Times New Roman"/>
        </w:rPr>
        <w:t xml:space="preserve"> by</w:t>
      </w:r>
      <w:r w:rsidRPr="00481400">
        <w:rPr>
          <w:rFonts w:ascii="Times New Roman" w:hAnsi="Times New Roman" w:cs="Times New Roman"/>
        </w:rPr>
        <w:t xml:space="preserve"> 2030. This was assumed in view of </w:t>
      </w:r>
      <w:r w:rsidR="00A855A6" w:rsidRPr="00481400">
        <w:rPr>
          <w:rFonts w:ascii="Times New Roman" w:hAnsi="Times New Roman" w:cs="Times New Roman"/>
        </w:rPr>
        <w:t xml:space="preserve">the </w:t>
      </w:r>
      <w:r w:rsidRPr="00481400">
        <w:rPr>
          <w:rFonts w:ascii="Times New Roman" w:hAnsi="Times New Roman" w:cs="Times New Roman"/>
        </w:rPr>
        <w:t xml:space="preserve">increased GDP as well as </w:t>
      </w:r>
      <w:r w:rsidR="00A855A6" w:rsidRPr="00481400">
        <w:rPr>
          <w:rFonts w:ascii="Times New Roman" w:hAnsi="Times New Roman" w:cs="Times New Roman"/>
        </w:rPr>
        <w:t xml:space="preserve">the </w:t>
      </w:r>
      <w:r w:rsidRPr="00481400">
        <w:rPr>
          <w:rFonts w:ascii="Times New Roman" w:hAnsi="Times New Roman" w:cs="Times New Roman"/>
        </w:rPr>
        <w:t>national program</w:t>
      </w:r>
      <w:r w:rsidR="00A855A6" w:rsidRPr="00481400">
        <w:rPr>
          <w:rFonts w:ascii="Times New Roman" w:hAnsi="Times New Roman" w:cs="Times New Roman"/>
        </w:rPr>
        <w:t>s</w:t>
      </w:r>
      <w:r w:rsidRPr="00481400">
        <w:rPr>
          <w:rFonts w:ascii="Times New Roman" w:hAnsi="Times New Roman" w:cs="Times New Roman"/>
        </w:rPr>
        <w:t xml:space="preserve"> such as Pradhan Mantry Ujjwala Yojana </w:t>
      </w:r>
      <w:r w:rsidR="00601C01" w:rsidRPr="00481400">
        <w:rPr>
          <w:rFonts w:ascii="Times New Roman" w:hAnsi="Times New Roman" w:cs="Times New Roman"/>
        </w:rPr>
        <w:t xml:space="preserve">(PMUY) </w:t>
      </w:r>
      <w:r w:rsidR="00A855A6" w:rsidRPr="00481400">
        <w:rPr>
          <w:rFonts w:ascii="Times New Roman" w:hAnsi="Times New Roman" w:cs="Times New Roman"/>
          <w:color w:val="222222"/>
          <w:shd w:val="clear" w:color="auto" w:fill="FFFFFF"/>
        </w:rPr>
        <w:t xml:space="preserve">to distribute </w:t>
      </w:r>
      <w:r w:rsidR="00601C01" w:rsidRPr="00481400">
        <w:rPr>
          <w:rFonts w:ascii="Times New Roman" w:hAnsi="Times New Roman" w:cs="Times New Roman"/>
          <w:color w:val="222222"/>
          <w:shd w:val="clear" w:color="auto" w:fill="FFFFFF"/>
        </w:rPr>
        <w:t xml:space="preserve">80 </w:t>
      </w:r>
      <w:r w:rsidR="00A855A6" w:rsidRPr="00481400">
        <w:rPr>
          <w:rFonts w:ascii="Times New Roman" w:hAnsi="Times New Roman" w:cs="Times New Roman"/>
          <w:color w:val="222222"/>
          <w:shd w:val="clear" w:color="auto" w:fill="FFFFFF"/>
        </w:rPr>
        <w:t>million LPG connections to women of families living below the poverty line</w:t>
      </w:r>
      <w:r w:rsidR="000258AE" w:rsidRPr="00481400">
        <w:rPr>
          <w:rFonts w:ascii="Times New Roman" w:hAnsi="Times New Roman" w:cs="Times New Roman"/>
          <w:color w:val="222222"/>
          <w:shd w:val="clear" w:color="auto" w:fill="FFFFFF"/>
        </w:rPr>
        <w:t xml:space="preserve"> </w:t>
      </w:r>
      <w:r w:rsidR="00601C01" w:rsidRPr="00481400">
        <w:rPr>
          <w:rFonts w:ascii="Times New Roman" w:hAnsi="Times New Roman" w:cs="Times New Roman"/>
          <w:color w:val="222222"/>
          <w:shd w:val="clear" w:color="auto" w:fill="FFFFFF"/>
        </w:rPr>
        <w:t>(</w:t>
      </w:r>
      <w:r w:rsidR="000258AE" w:rsidRPr="00481400">
        <w:rPr>
          <w:rFonts w:ascii="Times New Roman" w:hAnsi="Times New Roman" w:cs="Times New Roman"/>
          <w:color w:val="222222"/>
          <w:shd w:val="clear" w:color="auto" w:fill="FFFFFF"/>
        </w:rPr>
        <w:t>BPL</w:t>
      </w:r>
      <w:r w:rsidR="00A855A6" w:rsidRPr="00481400">
        <w:rPr>
          <w:rFonts w:ascii="Times New Roman" w:hAnsi="Times New Roman" w:cs="Times New Roman"/>
          <w:color w:val="222222"/>
          <w:shd w:val="clear" w:color="auto" w:fill="FFFFFF"/>
        </w:rPr>
        <w:t>)</w:t>
      </w:r>
      <w:r w:rsidR="00A855A6" w:rsidRPr="00481400">
        <w:rPr>
          <w:rFonts w:ascii="Times New Roman" w:hAnsi="Times New Roman" w:cs="Times New Roman"/>
          <w:lang w:bidi="ar-SA"/>
        </w:rPr>
        <w:t xml:space="preserve"> </w:t>
      </w:r>
      <w:r w:rsidRPr="00481400">
        <w:rPr>
          <w:rFonts w:ascii="Times New Roman" w:hAnsi="Times New Roman" w:cs="Times New Roman"/>
          <w:szCs w:val="22"/>
        </w:rPr>
        <w:t xml:space="preserve">and subsidies in </w:t>
      </w:r>
      <w:r w:rsidR="00A855A6" w:rsidRPr="00481400">
        <w:rPr>
          <w:rFonts w:ascii="Times New Roman" w:hAnsi="Times New Roman" w:cs="Times New Roman"/>
          <w:szCs w:val="22"/>
        </w:rPr>
        <w:t xml:space="preserve">the </w:t>
      </w:r>
      <w:r w:rsidRPr="00481400">
        <w:rPr>
          <w:rFonts w:ascii="Times New Roman" w:hAnsi="Times New Roman" w:cs="Times New Roman"/>
          <w:szCs w:val="22"/>
        </w:rPr>
        <w:t xml:space="preserve">LPG price for </w:t>
      </w:r>
      <w:r w:rsidR="000258AE" w:rsidRPr="00481400">
        <w:rPr>
          <w:rFonts w:ascii="Times New Roman" w:hAnsi="Times New Roman" w:cs="Times New Roman"/>
          <w:szCs w:val="22"/>
        </w:rPr>
        <w:t xml:space="preserve">BLP </w:t>
      </w:r>
      <w:r w:rsidRPr="00481400">
        <w:rPr>
          <w:rFonts w:ascii="Times New Roman" w:hAnsi="Times New Roman" w:cs="Times New Roman"/>
          <w:szCs w:val="22"/>
        </w:rPr>
        <w:t xml:space="preserve">users. The shift is projected to be </w:t>
      </w:r>
      <w:r w:rsidR="00A855A6" w:rsidRPr="00481400">
        <w:rPr>
          <w:rFonts w:ascii="Times New Roman" w:hAnsi="Times New Roman" w:cs="Times New Roman"/>
          <w:szCs w:val="22"/>
        </w:rPr>
        <w:t xml:space="preserve">away </w:t>
      </w:r>
      <w:r w:rsidRPr="00481400">
        <w:rPr>
          <w:rFonts w:ascii="Times New Roman" w:hAnsi="Times New Roman" w:cs="Times New Roman"/>
          <w:szCs w:val="22"/>
        </w:rPr>
        <w:t xml:space="preserve">from firewood and kerosene (yearly decrease of 1% </w:t>
      </w:r>
      <w:r w:rsidR="00A855A6" w:rsidRPr="00481400">
        <w:rPr>
          <w:rFonts w:ascii="Times New Roman" w:hAnsi="Times New Roman" w:cs="Times New Roman"/>
          <w:szCs w:val="22"/>
        </w:rPr>
        <w:t xml:space="preserve">in use of </w:t>
      </w:r>
      <w:r w:rsidRPr="00481400">
        <w:rPr>
          <w:rFonts w:ascii="Times New Roman" w:hAnsi="Times New Roman" w:cs="Times New Roman"/>
          <w:szCs w:val="22"/>
        </w:rPr>
        <w:t xml:space="preserve">each fuel type) </w:t>
      </w:r>
      <w:r w:rsidR="000258AE" w:rsidRPr="00481400">
        <w:rPr>
          <w:rFonts w:ascii="Times New Roman" w:hAnsi="Times New Roman" w:cs="Times New Roman"/>
          <w:szCs w:val="22"/>
        </w:rPr>
        <w:t xml:space="preserve">with a contribution of </w:t>
      </w:r>
      <w:r w:rsidRPr="00481400">
        <w:rPr>
          <w:rFonts w:ascii="Times New Roman" w:hAnsi="Times New Roman" w:cs="Times New Roman"/>
          <w:szCs w:val="22"/>
        </w:rPr>
        <w:t>2.3% and 3.2%</w:t>
      </w:r>
      <w:r w:rsidR="000258AE" w:rsidRPr="00481400">
        <w:rPr>
          <w:rFonts w:ascii="Times New Roman" w:hAnsi="Times New Roman" w:cs="Times New Roman"/>
          <w:szCs w:val="22"/>
        </w:rPr>
        <w:t>,</w:t>
      </w:r>
      <w:r w:rsidRPr="00481400">
        <w:rPr>
          <w:rFonts w:ascii="Times New Roman" w:hAnsi="Times New Roman" w:cs="Times New Roman"/>
          <w:szCs w:val="22"/>
        </w:rPr>
        <w:t xml:space="preserve"> respectively</w:t>
      </w:r>
      <w:r w:rsidR="000258AE" w:rsidRPr="00481400">
        <w:rPr>
          <w:rFonts w:ascii="Times New Roman" w:hAnsi="Times New Roman" w:cs="Times New Roman"/>
          <w:szCs w:val="22"/>
        </w:rPr>
        <w:t>,</w:t>
      </w:r>
      <w:r w:rsidRPr="00481400">
        <w:rPr>
          <w:rFonts w:ascii="Times New Roman" w:hAnsi="Times New Roman" w:cs="Times New Roman"/>
          <w:szCs w:val="22"/>
        </w:rPr>
        <w:t xml:space="preserve"> </w:t>
      </w:r>
      <w:r w:rsidR="00D066B9" w:rsidRPr="00481400">
        <w:rPr>
          <w:rFonts w:ascii="Times New Roman" w:hAnsi="Times New Roman" w:cs="Times New Roman"/>
          <w:szCs w:val="22"/>
        </w:rPr>
        <w:t>toward</w:t>
      </w:r>
      <w:r w:rsidRPr="00481400">
        <w:rPr>
          <w:rFonts w:ascii="Times New Roman" w:hAnsi="Times New Roman" w:cs="Times New Roman"/>
          <w:szCs w:val="22"/>
        </w:rPr>
        <w:t xml:space="preserve"> total fuel by 2030.</w:t>
      </w:r>
      <w:r w:rsidR="00774A64" w:rsidRPr="00481400">
        <w:rPr>
          <w:rFonts w:ascii="Times New Roman" w:hAnsi="Times New Roman" w:cs="Times New Roman"/>
          <w:szCs w:val="22"/>
        </w:rPr>
        <w:t xml:space="preserve"> </w:t>
      </w:r>
      <w:r w:rsidR="00A855A6" w:rsidRPr="00481400">
        <w:rPr>
          <w:rFonts w:ascii="Times New Roman" w:hAnsi="Times New Roman" w:cs="Times New Roman"/>
          <w:szCs w:val="22"/>
        </w:rPr>
        <w:t>The burning of</w:t>
      </w:r>
      <w:r w:rsidR="00774A64" w:rsidRPr="00481400">
        <w:rPr>
          <w:rFonts w:ascii="Times New Roman" w:hAnsi="Times New Roman" w:cs="Times New Roman"/>
          <w:szCs w:val="22"/>
        </w:rPr>
        <w:t xml:space="preserve"> </w:t>
      </w:r>
      <w:r w:rsidR="00A855A6" w:rsidRPr="00481400">
        <w:rPr>
          <w:rFonts w:ascii="Times New Roman" w:hAnsi="Times New Roman" w:cs="Times New Roman"/>
          <w:szCs w:val="22"/>
        </w:rPr>
        <w:t xml:space="preserve">coal </w:t>
      </w:r>
      <w:r w:rsidRPr="00481400">
        <w:rPr>
          <w:rFonts w:ascii="Times New Roman" w:hAnsi="Times New Roman" w:cs="Times New Roman"/>
          <w:szCs w:val="22"/>
        </w:rPr>
        <w:t xml:space="preserve">and cow-dung </w:t>
      </w:r>
      <w:r w:rsidR="00A855A6" w:rsidRPr="00481400">
        <w:rPr>
          <w:rFonts w:ascii="Times New Roman" w:hAnsi="Times New Roman" w:cs="Times New Roman"/>
          <w:szCs w:val="22"/>
        </w:rPr>
        <w:t>for domestic cooking is</w:t>
      </w:r>
      <w:r w:rsidR="00774A64" w:rsidRPr="00481400">
        <w:rPr>
          <w:rFonts w:ascii="Times New Roman" w:hAnsi="Times New Roman" w:cs="Times New Roman"/>
          <w:szCs w:val="22"/>
        </w:rPr>
        <w:t xml:space="preserve"> </w:t>
      </w:r>
      <w:r w:rsidRPr="00481400">
        <w:rPr>
          <w:rFonts w:ascii="Times New Roman" w:hAnsi="Times New Roman" w:cs="Times New Roman"/>
          <w:szCs w:val="22"/>
        </w:rPr>
        <w:t xml:space="preserve">also projected to be replaced by </w:t>
      </w:r>
      <w:r w:rsidR="000258AE" w:rsidRPr="00481400">
        <w:rPr>
          <w:rFonts w:ascii="Times New Roman" w:hAnsi="Times New Roman" w:cs="Times New Roman"/>
          <w:szCs w:val="22"/>
        </w:rPr>
        <w:t xml:space="preserve">cleaner </w:t>
      </w:r>
      <w:r w:rsidRPr="00481400">
        <w:rPr>
          <w:rFonts w:ascii="Times New Roman" w:hAnsi="Times New Roman" w:cs="Times New Roman"/>
          <w:szCs w:val="22"/>
        </w:rPr>
        <w:t xml:space="preserve">fuel within </w:t>
      </w:r>
      <w:r w:rsidR="00A855A6" w:rsidRPr="00481400">
        <w:rPr>
          <w:rFonts w:ascii="Times New Roman" w:hAnsi="Times New Roman" w:cs="Times New Roman"/>
          <w:szCs w:val="22"/>
        </w:rPr>
        <w:t xml:space="preserve">the </w:t>
      </w:r>
      <w:r w:rsidR="00A7166F" w:rsidRPr="00481400">
        <w:rPr>
          <w:rFonts w:ascii="Times New Roman" w:hAnsi="Times New Roman" w:cs="Times New Roman"/>
          <w:szCs w:val="22"/>
        </w:rPr>
        <w:t>KMC</w:t>
      </w:r>
      <w:r w:rsidRPr="00481400">
        <w:rPr>
          <w:rFonts w:ascii="Times New Roman" w:hAnsi="Times New Roman" w:cs="Times New Roman"/>
          <w:szCs w:val="22"/>
        </w:rPr>
        <w:t>.</w:t>
      </w:r>
      <w:r w:rsidR="00BC5B70" w:rsidRPr="00481400">
        <w:rPr>
          <w:rFonts w:ascii="Times New Roman" w:hAnsi="Times New Roman" w:cs="Times New Roman"/>
          <w:szCs w:val="22"/>
        </w:rPr>
        <w:t xml:space="preserve"> </w:t>
      </w:r>
      <w:r w:rsidR="00334B7B" w:rsidRPr="00481400">
        <w:rPr>
          <w:rFonts w:ascii="Times New Roman" w:hAnsi="Times New Roman" w:cs="Times New Roman"/>
          <w:szCs w:val="22"/>
        </w:rPr>
        <w:t xml:space="preserve">The electricity demands in residential sector were projected based on India’s domestic growth in consumption published </w:t>
      </w:r>
      <w:r w:rsidR="00334B7B" w:rsidRPr="00A27FF8">
        <w:rPr>
          <w:rFonts w:ascii="Times New Roman" w:hAnsi="Times New Roman" w:cs="Times New Roman"/>
          <w:szCs w:val="22"/>
        </w:rPr>
        <w:t>by the World Bank (2008).</w:t>
      </w:r>
    </w:p>
    <w:p w14:paraId="6896F6CA" w14:textId="2EA62E4E" w:rsidR="00CE1AC6" w:rsidRPr="00481400" w:rsidRDefault="00CE1AC6" w:rsidP="002A73C5">
      <w:pPr>
        <w:numPr>
          <w:ilvl w:val="0"/>
          <w:numId w:val="1"/>
        </w:numPr>
        <w:autoSpaceDE w:val="0"/>
        <w:autoSpaceDN w:val="0"/>
        <w:adjustRightInd w:val="0"/>
        <w:spacing w:after="0" w:line="276" w:lineRule="auto"/>
        <w:ind w:left="720" w:hanging="283"/>
        <w:jc w:val="both"/>
        <w:rPr>
          <w:rFonts w:ascii="Times New Roman" w:hAnsi="Times New Roman" w:cs="Times New Roman"/>
          <w:szCs w:val="22"/>
        </w:rPr>
      </w:pPr>
      <w:r w:rsidRPr="00481400">
        <w:rPr>
          <w:rFonts w:ascii="Times New Roman" w:hAnsi="Times New Roman" w:cs="Times New Roman"/>
          <w:szCs w:val="22"/>
        </w:rPr>
        <w:t>As</w:t>
      </w:r>
      <w:r w:rsidR="00D066B9" w:rsidRPr="00481400">
        <w:rPr>
          <w:rFonts w:ascii="Times New Roman" w:hAnsi="Times New Roman" w:cs="Times New Roman"/>
          <w:szCs w:val="22"/>
        </w:rPr>
        <w:t>, so far,</w:t>
      </w:r>
      <w:r w:rsidR="00774A64" w:rsidRPr="00481400">
        <w:rPr>
          <w:rFonts w:ascii="Times New Roman" w:hAnsi="Times New Roman" w:cs="Times New Roman"/>
          <w:szCs w:val="22"/>
        </w:rPr>
        <w:t xml:space="preserve"> </w:t>
      </w:r>
      <w:r w:rsidRPr="00481400">
        <w:rPr>
          <w:rFonts w:ascii="Times New Roman" w:hAnsi="Times New Roman" w:cs="Times New Roman"/>
          <w:szCs w:val="22"/>
        </w:rPr>
        <w:t>there</w:t>
      </w:r>
      <w:r w:rsidR="00A855A6" w:rsidRPr="00481400">
        <w:rPr>
          <w:rFonts w:ascii="Times New Roman" w:hAnsi="Times New Roman" w:cs="Times New Roman"/>
          <w:szCs w:val="22"/>
        </w:rPr>
        <w:t xml:space="preserve"> has been</w:t>
      </w:r>
      <w:r w:rsidRPr="00481400">
        <w:rPr>
          <w:rFonts w:ascii="Times New Roman" w:hAnsi="Times New Roman" w:cs="Times New Roman"/>
          <w:szCs w:val="22"/>
        </w:rPr>
        <w:t xml:space="preserve"> no drive </w:t>
      </w:r>
      <w:r w:rsidR="00A855A6" w:rsidRPr="00481400">
        <w:rPr>
          <w:rFonts w:ascii="Times New Roman" w:hAnsi="Times New Roman" w:cs="Times New Roman"/>
          <w:szCs w:val="22"/>
        </w:rPr>
        <w:t xml:space="preserve">toward </w:t>
      </w:r>
      <w:r w:rsidRPr="00481400">
        <w:rPr>
          <w:rFonts w:ascii="Times New Roman" w:hAnsi="Times New Roman" w:cs="Times New Roman"/>
          <w:szCs w:val="22"/>
        </w:rPr>
        <w:t xml:space="preserve">biogas generation and </w:t>
      </w:r>
      <w:r w:rsidR="00A855A6" w:rsidRPr="00481400">
        <w:rPr>
          <w:rFonts w:ascii="Times New Roman" w:hAnsi="Times New Roman" w:cs="Times New Roman"/>
          <w:szCs w:val="22"/>
        </w:rPr>
        <w:t>use</w:t>
      </w:r>
      <w:r w:rsidRPr="00481400">
        <w:rPr>
          <w:rFonts w:ascii="Times New Roman" w:hAnsi="Times New Roman" w:cs="Times New Roman"/>
          <w:szCs w:val="22"/>
        </w:rPr>
        <w:t xml:space="preserve">, </w:t>
      </w:r>
      <w:r w:rsidR="00A855A6" w:rsidRPr="00481400">
        <w:rPr>
          <w:rFonts w:ascii="Times New Roman" w:hAnsi="Times New Roman" w:cs="Times New Roman"/>
          <w:szCs w:val="22"/>
        </w:rPr>
        <w:t xml:space="preserve">the </w:t>
      </w:r>
      <w:r w:rsidRPr="00481400">
        <w:rPr>
          <w:rFonts w:ascii="Times New Roman" w:hAnsi="Times New Roman" w:cs="Times New Roman"/>
          <w:szCs w:val="22"/>
        </w:rPr>
        <w:t xml:space="preserve">use of biogas is not expected in </w:t>
      </w:r>
      <w:r w:rsidR="00D066B9" w:rsidRPr="00481400">
        <w:rPr>
          <w:rFonts w:ascii="Times New Roman" w:hAnsi="Times New Roman" w:cs="Times New Roman"/>
          <w:szCs w:val="22"/>
        </w:rPr>
        <w:t xml:space="preserve">the </w:t>
      </w:r>
      <w:r w:rsidRPr="00481400">
        <w:rPr>
          <w:rFonts w:ascii="Times New Roman" w:hAnsi="Times New Roman"/>
        </w:rPr>
        <w:t>BAU scenario</w:t>
      </w:r>
      <w:r w:rsidRPr="00481400">
        <w:rPr>
          <w:rFonts w:ascii="Times New Roman" w:hAnsi="Times New Roman" w:cs="Times New Roman"/>
          <w:szCs w:val="22"/>
        </w:rPr>
        <w:t>.</w:t>
      </w:r>
    </w:p>
    <w:p w14:paraId="0286968D" w14:textId="3906BA3D" w:rsidR="00CE1AC6" w:rsidRPr="00481400" w:rsidRDefault="00D066B9" w:rsidP="002A73C5">
      <w:pPr>
        <w:numPr>
          <w:ilvl w:val="0"/>
          <w:numId w:val="1"/>
        </w:numPr>
        <w:autoSpaceDE w:val="0"/>
        <w:autoSpaceDN w:val="0"/>
        <w:adjustRightInd w:val="0"/>
        <w:spacing w:after="0" w:line="276" w:lineRule="auto"/>
        <w:ind w:left="720" w:hanging="283"/>
        <w:jc w:val="both"/>
        <w:rPr>
          <w:rFonts w:ascii="Times New Roman" w:hAnsi="Times New Roman" w:cs="Times New Roman"/>
          <w:szCs w:val="22"/>
        </w:rPr>
      </w:pPr>
      <w:r w:rsidRPr="00481400">
        <w:rPr>
          <w:rFonts w:ascii="Times New Roman" w:hAnsi="Times New Roman" w:cs="Times New Roman"/>
          <w:szCs w:val="22"/>
        </w:rPr>
        <w:t xml:space="preserve">The activity </w:t>
      </w:r>
      <w:r w:rsidR="00CE1AC6" w:rsidRPr="00481400">
        <w:rPr>
          <w:rFonts w:ascii="Times New Roman" w:hAnsi="Times New Roman" w:cs="Times New Roman"/>
          <w:szCs w:val="22"/>
        </w:rPr>
        <w:t xml:space="preserve">projection in </w:t>
      </w:r>
      <w:r w:rsidR="00CE1AC6" w:rsidRPr="00481400">
        <w:rPr>
          <w:rFonts w:ascii="Times New Roman" w:hAnsi="Times New Roman"/>
        </w:rPr>
        <w:t>BAU scenario</w:t>
      </w:r>
      <w:r w:rsidR="00CE1AC6" w:rsidRPr="00481400">
        <w:rPr>
          <w:rFonts w:ascii="Times New Roman" w:hAnsi="Times New Roman" w:cs="Times New Roman"/>
          <w:szCs w:val="22"/>
        </w:rPr>
        <w:t xml:space="preserve"> for </w:t>
      </w:r>
      <w:r w:rsidRPr="00481400">
        <w:rPr>
          <w:rFonts w:ascii="Times New Roman" w:hAnsi="Times New Roman" w:cs="Times New Roman"/>
          <w:szCs w:val="22"/>
        </w:rPr>
        <w:t xml:space="preserve">the </w:t>
      </w:r>
      <w:r w:rsidR="00CE1AC6" w:rsidRPr="00481400">
        <w:rPr>
          <w:rFonts w:ascii="Times New Roman" w:hAnsi="Times New Roman" w:cs="Times New Roman"/>
          <w:szCs w:val="22"/>
        </w:rPr>
        <w:t xml:space="preserve">domestic commercial sector was </w:t>
      </w:r>
      <w:r w:rsidRPr="00481400">
        <w:rPr>
          <w:rFonts w:ascii="Times New Roman" w:hAnsi="Times New Roman" w:cs="Times New Roman"/>
          <w:szCs w:val="22"/>
        </w:rPr>
        <w:t xml:space="preserve">carried out </w:t>
      </w:r>
      <w:r w:rsidR="00CE1AC6" w:rsidRPr="00481400">
        <w:rPr>
          <w:rFonts w:ascii="Times New Roman" w:hAnsi="Times New Roman" w:cs="Times New Roman"/>
          <w:szCs w:val="22"/>
        </w:rPr>
        <w:t xml:space="preserve">based on </w:t>
      </w:r>
      <w:r w:rsidRPr="00481400">
        <w:rPr>
          <w:rFonts w:ascii="Times New Roman" w:hAnsi="Times New Roman" w:cs="Times New Roman"/>
          <w:szCs w:val="22"/>
        </w:rPr>
        <w:t xml:space="preserve">the </w:t>
      </w:r>
      <w:r w:rsidR="00CE1AC6" w:rsidRPr="00481400">
        <w:rPr>
          <w:rFonts w:ascii="Times New Roman" w:hAnsi="Times New Roman" w:cs="Times New Roman"/>
          <w:szCs w:val="22"/>
        </w:rPr>
        <w:t xml:space="preserve">projected population. </w:t>
      </w:r>
    </w:p>
    <w:p w14:paraId="004A59AC" w14:textId="506221AA" w:rsidR="00CE1AC6" w:rsidRPr="00AC18ED" w:rsidRDefault="00CE1AC6" w:rsidP="002A73C5">
      <w:pPr>
        <w:numPr>
          <w:ilvl w:val="0"/>
          <w:numId w:val="1"/>
        </w:numPr>
        <w:autoSpaceDE w:val="0"/>
        <w:autoSpaceDN w:val="0"/>
        <w:adjustRightInd w:val="0"/>
        <w:spacing w:after="0" w:line="276" w:lineRule="auto"/>
        <w:ind w:left="720" w:hanging="283"/>
        <w:jc w:val="both"/>
        <w:rPr>
          <w:rFonts w:ascii="Times New Roman" w:hAnsi="Times New Roman" w:cs="Times New Roman"/>
          <w:szCs w:val="22"/>
        </w:rPr>
      </w:pPr>
      <w:r w:rsidRPr="00AC18ED">
        <w:rPr>
          <w:rFonts w:ascii="Times New Roman" w:hAnsi="Times New Roman" w:cs="Times New Roman"/>
          <w:szCs w:val="22"/>
        </w:rPr>
        <w:t xml:space="preserve">For </w:t>
      </w:r>
      <w:r w:rsidR="00D066B9">
        <w:rPr>
          <w:rFonts w:ascii="Times New Roman" w:hAnsi="Times New Roman" w:cs="Times New Roman"/>
          <w:szCs w:val="22"/>
        </w:rPr>
        <w:t xml:space="preserve">the </w:t>
      </w:r>
      <w:r w:rsidRPr="00AC18ED">
        <w:rPr>
          <w:rFonts w:ascii="Times New Roman" w:hAnsi="Times New Roman" w:cs="Times New Roman"/>
          <w:szCs w:val="22"/>
        </w:rPr>
        <w:t xml:space="preserve">projection of waste generation it was assumed that per capita waste generation will increase </w:t>
      </w:r>
      <w:r w:rsidR="00D066B9">
        <w:rPr>
          <w:rFonts w:ascii="Times New Roman" w:hAnsi="Times New Roman" w:cs="Times New Roman"/>
          <w:szCs w:val="22"/>
        </w:rPr>
        <w:t xml:space="preserve">by </w:t>
      </w:r>
      <w:r w:rsidRPr="00AC18ED">
        <w:rPr>
          <w:rFonts w:ascii="Times New Roman" w:hAnsi="Times New Roman" w:cs="Times New Roman"/>
          <w:szCs w:val="22"/>
        </w:rPr>
        <w:t xml:space="preserve">1% annually. </w:t>
      </w:r>
      <w:r w:rsidR="00D066B9">
        <w:rPr>
          <w:rFonts w:ascii="Times New Roman" w:hAnsi="Times New Roman" w:cs="Times New Roman"/>
          <w:szCs w:val="22"/>
        </w:rPr>
        <w:t>It is also</w:t>
      </w:r>
      <w:r w:rsidRPr="00AC18ED">
        <w:rPr>
          <w:rFonts w:ascii="Times New Roman" w:hAnsi="Times New Roman" w:cs="Times New Roman"/>
          <w:szCs w:val="22"/>
        </w:rPr>
        <w:t xml:space="preserve"> assumed that </w:t>
      </w:r>
      <w:r w:rsidR="00D3333A" w:rsidRPr="00AC18ED">
        <w:rPr>
          <w:rFonts w:ascii="Times New Roman" w:hAnsi="Times New Roman" w:cs="Times New Roman"/>
          <w:szCs w:val="22"/>
        </w:rPr>
        <w:t>1</w:t>
      </w:r>
      <w:r w:rsidRPr="00AC18ED">
        <w:rPr>
          <w:rFonts w:ascii="Times New Roman" w:hAnsi="Times New Roman" w:cs="Times New Roman"/>
          <w:szCs w:val="22"/>
        </w:rPr>
        <w:t xml:space="preserve">% of total </w:t>
      </w:r>
      <w:r w:rsidR="00A7166F">
        <w:rPr>
          <w:rFonts w:ascii="Times New Roman" w:hAnsi="Times New Roman" w:cs="Times New Roman"/>
          <w:szCs w:val="22"/>
        </w:rPr>
        <w:t>municipa</w:t>
      </w:r>
      <w:r w:rsidR="00E05CA3">
        <w:rPr>
          <w:rFonts w:ascii="Times New Roman" w:hAnsi="Times New Roman" w:cs="Times New Roman"/>
          <w:szCs w:val="22"/>
        </w:rPr>
        <w:t>l</w:t>
      </w:r>
      <w:r w:rsidR="00A7166F">
        <w:rPr>
          <w:rFonts w:ascii="Times New Roman" w:hAnsi="Times New Roman" w:cs="Times New Roman"/>
          <w:szCs w:val="22"/>
        </w:rPr>
        <w:t xml:space="preserve"> solid waste </w:t>
      </w:r>
      <w:r w:rsidR="000258AE" w:rsidRPr="00C35D33">
        <w:rPr>
          <w:rFonts w:ascii="Times New Roman" w:hAnsi="Times New Roman" w:cs="Times New Roman"/>
          <w:szCs w:val="22"/>
        </w:rPr>
        <w:t xml:space="preserve">will </w:t>
      </w:r>
      <w:r w:rsidR="003C0552">
        <w:rPr>
          <w:rFonts w:ascii="Times New Roman" w:hAnsi="Times New Roman" w:cs="Times New Roman"/>
          <w:szCs w:val="22"/>
        </w:rPr>
        <w:t xml:space="preserve">continue to </w:t>
      </w:r>
      <w:r w:rsidR="000258AE" w:rsidRPr="00C35D33">
        <w:rPr>
          <w:rFonts w:ascii="Times New Roman" w:hAnsi="Times New Roman" w:cs="Times New Roman"/>
          <w:szCs w:val="22"/>
        </w:rPr>
        <w:t>be subject</w:t>
      </w:r>
      <w:r w:rsidRPr="000258AE">
        <w:rPr>
          <w:rFonts w:ascii="Times New Roman" w:hAnsi="Times New Roman" w:cs="Times New Roman"/>
          <w:szCs w:val="22"/>
        </w:rPr>
        <w:t xml:space="preserve"> to</w:t>
      </w:r>
      <w:r w:rsidRPr="00AC18ED">
        <w:rPr>
          <w:rFonts w:ascii="Times New Roman" w:hAnsi="Times New Roman" w:cs="Times New Roman"/>
          <w:szCs w:val="22"/>
        </w:rPr>
        <w:t xml:space="preserve"> open burning.</w:t>
      </w:r>
    </w:p>
    <w:p w14:paraId="2BF115A1" w14:textId="77777777" w:rsidR="00CE1AC6" w:rsidRPr="00AC18ED" w:rsidRDefault="00CE1AC6" w:rsidP="002A73C5">
      <w:pPr>
        <w:pStyle w:val="Heading2"/>
        <w:numPr>
          <w:ilvl w:val="1"/>
          <w:numId w:val="11"/>
        </w:numPr>
        <w:spacing w:before="120" w:after="120" w:line="276" w:lineRule="auto"/>
        <w:contextualSpacing/>
        <w:rPr>
          <w:rFonts w:ascii="Times New Roman" w:hAnsi="Times New Roman" w:cs="Times New Roman"/>
          <w:sz w:val="22"/>
          <w:szCs w:val="22"/>
        </w:rPr>
      </w:pPr>
      <w:bookmarkStart w:id="31" w:name="_Toc22630748"/>
      <w:bookmarkStart w:id="32" w:name="_Toc22630749"/>
      <w:bookmarkEnd w:id="31"/>
      <w:r w:rsidRPr="00AC18ED">
        <w:rPr>
          <w:rFonts w:ascii="Times New Roman" w:hAnsi="Times New Roman" w:cs="Times New Roman"/>
          <w:sz w:val="22"/>
          <w:szCs w:val="22"/>
        </w:rPr>
        <w:t>Point sources</w:t>
      </w:r>
      <w:bookmarkEnd w:id="32"/>
    </w:p>
    <w:p w14:paraId="5AD78FDD" w14:textId="0A6D0A70" w:rsidR="00CE1AC6" w:rsidRPr="00481400" w:rsidRDefault="00C37F38" w:rsidP="002A73C5">
      <w:pPr>
        <w:numPr>
          <w:ilvl w:val="0"/>
          <w:numId w:val="1"/>
        </w:numPr>
        <w:autoSpaceDE w:val="0"/>
        <w:autoSpaceDN w:val="0"/>
        <w:adjustRightInd w:val="0"/>
        <w:spacing w:after="0" w:line="276" w:lineRule="auto"/>
        <w:ind w:left="720" w:hanging="283"/>
        <w:jc w:val="both"/>
        <w:rPr>
          <w:rFonts w:ascii="Times New Roman" w:hAnsi="Times New Roman" w:cs="Times New Roman"/>
          <w:szCs w:val="22"/>
        </w:rPr>
      </w:pPr>
      <w:r>
        <w:rPr>
          <w:rFonts w:ascii="Times New Roman" w:hAnsi="Times New Roman" w:cs="Times New Roman"/>
          <w:szCs w:val="22"/>
        </w:rPr>
        <w:t>The</w:t>
      </w:r>
      <w:r w:rsidR="00CE1AC6" w:rsidRPr="00AC18ED">
        <w:rPr>
          <w:rFonts w:ascii="Times New Roman" w:hAnsi="Times New Roman" w:cs="Times New Roman"/>
          <w:szCs w:val="22"/>
        </w:rPr>
        <w:t xml:space="preserve"> West Bengal </w:t>
      </w:r>
      <w:r w:rsidR="00601C01" w:rsidRPr="00AC18ED">
        <w:rPr>
          <w:rFonts w:ascii="Times New Roman" w:hAnsi="Times New Roman" w:cs="Times New Roman"/>
          <w:szCs w:val="22"/>
        </w:rPr>
        <w:t xml:space="preserve">Pollution Control Board </w:t>
      </w:r>
      <w:r w:rsidR="00601C01">
        <w:rPr>
          <w:rFonts w:ascii="Times New Roman" w:hAnsi="Times New Roman" w:cs="Times New Roman"/>
          <w:szCs w:val="22"/>
        </w:rPr>
        <w:t xml:space="preserve">(WBPCB) </w:t>
      </w:r>
      <w:r>
        <w:rPr>
          <w:rFonts w:ascii="Times New Roman" w:hAnsi="Times New Roman" w:cs="Times New Roman"/>
          <w:szCs w:val="22"/>
        </w:rPr>
        <w:t xml:space="preserve">has decreed that </w:t>
      </w:r>
      <w:r w:rsidR="00CE1AC6" w:rsidRPr="00AC18ED">
        <w:rPr>
          <w:rFonts w:ascii="Times New Roman" w:hAnsi="Times New Roman" w:cs="Times New Roman"/>
          <w:szCs w:val="22"/>
        </w:rPr>
        <w:t xml:space="preserve">no new industry </w:t>
      </w:r>
      <w:r>
        <w:rPr>
          <w:rFonts w:ascii="Times New Roman" w:hAnsi="Times New Roman" w:cs="Times New Roman"/>
          <w:szCs w:val="22"/>
        </w:rPr>
        <w:t>will be</w:t>
      </w:r>
      <w:r w:rsidR="00774A64">
        <w:rPr>
          <w:rFonts w:ascii="Times New Roman" w:hAnsi="Times New Roman" w:cs="Times New Roman"/>
          <w:szCs w:val="22"/>
        </w:rPr>
        <w:t xml:space="preserve"> </w:t>
      </w:r>
      <w:r w:rsidR="00CE1AC6" w:rsidRPr="00AC18ED">
        <w:rPr>
          <w:rFonts w:ascii="Times New Roman" w:hAnsi="Times New Roman" w:cs="Times New Roman"/>
          <w:szCs w:val="22"/>
        </w:rPr>
        <w:t xml:space="preserve">permitted within </w:t>
      </w:r>
      <w:r>
        <w:rPr>
          <w:rFonts w:ascii="Times New Roman" w:hAnsi="Times New Roman" w:cs="Times New Roman"/>
          <w:szCs w:val="22"/>
        </w:rPr>
        <w:t xml:space="preserve">the </w:t>
      </w:r>
      <w:r w:rsidR="00A7166F">
        <w:rPr>
          <w:rFonts w:ascii="Times New Roman" w:hAnsi="Times New Roman" w:cs="Times New Roman"/>
          <w:szCs w:val="22"/>
        </w:rPr>
        <w:t>KMC</w:t>
      </w:r>
      <w:r w:rsidR="00CE1AC6" w:rsidRPr="00AC18ED">
        <w:rPr>
          <w:rFonts w:ascii="Times New Roman" w:hAnsi="Times New Roman" w:cs="Times New Roman"/>
          <w:szCs w:val="22"/>
        </w:rPr>
        <w:t xml:space="preserve"> </w:t>
      </w:r>
      <w:r w:rsidR="00CE1AC6" w:rsidRPr="0074320F">
        <w:rPr>
          <w:rFonts w:ascii="Times New Roman" w:hAnsi="Times New Roman" w:cs="Times New Roman"/>
          <w:szCs w:val="22"/>
        </w:rPr>
        <w:t>area</w:t>
      </w:r>
      <w:r w:rsidR="00D3333A" w:rsidRPr="0074320F">
        <w:rPr>
          <w:rFonts w:ascii="Times New Roman" w:hAnsi="Times New Roman" w:cs="Times New Roman"/>
          <w:szCs w:val="22"/>
        </w:rPr>
        <w:t xml:space="preserve"> (WBPCB, 2016</w:t>
      </w:r>
      <w:r w:rsidRPr="0074320F">
        <w:rPr>
          <w:rFonts w:ascii="Times New Roman" w:hAnsi="Times New Roman" w:cs="Times New Roman"/>
          <w:szCs w:val="22"/>
        </w:rPr>
        <w:t>) and that</w:t>
      </w:r>
      <w:r w:rsidR="000258AE" w:rsidRPr="0074320F">
        <w:rPr>
          <w:rFonts w:ascii="Times New Roman" w:hAnsi="Times New Roman" w:cs="Times New Roman"/>
          <w:szCs w:val="22"/>
        </w:rPr>
        <w:t xml:space="preserve"> </w:t>
      </w:r>
      <w:r w:rsidRPr="0074320F">
        <w:rPr>
          <w:rFonts w:ascii="Times New Roman" w:hAnsi="Times New Roman" w:cs="Times New Roman"/>
          <w:szCs w:val="22"/>
        </w:rPr>
        <w:t>no expansion of the</w:t>
      </w:r>
      <w:r w:rsidR="00774A64" w:rsidRPr="0074320F">
        <w:rPr>
          <w:rFonts w:ascii="Times New Roman" w:hAnsi="Times New Roman" w:cs="Times New Roman"/>
          <w:szCs w:val="22"/>
        </w:rPr>
        <w:t xml:space="preserve"> </w:t>
      </w:r>
      <w:r w:rsidR="00CE1AC6" w:rsidRPr="0074320F">
        <w:rPr>
          <w:rFonts w:ascii="Times New Roman" w:hAnsi="Times New Roman" w:cs="Times New Roman"/>
          <w:szCs w:val="22"/>
        </w:rPr>
        <w:t xml:space="preserve">present industrial units </w:t>
      </w:r>
      <w:r w:rsidR="000258AE" w:rsidRPr="0074320F">
        <w:rPr>
          <w:rFonts w:ascii="Times New Roman" w:hAnsi="Times New Roman" w:cs="Times New Roman"/>
          <w:szCs w:val="22"/>
        </w:rPr>
        <w:t>there</w:t>
      </w:r>
      <w:r w:rsidR="00774A64" w:rsidRPr="0074320F">
        <w:rPr>
          <w:rFonts w:ascii="Times New Roman" w:hAnsi="Times New Roman" w:cs="Times New Roman"/>
          <w:szCs w:val="22"/>
        </w:rPr>
        <w:t xml:space="preserve"> </w:t>
      </w:r>
      <w:r w:rsidRPr="0074320F">
        <w:rPr>
          <w:rFonts w:ascii="Times New Roman" w:hAnsi="Times New Roman" w:cs="Times New Roman"/>
          <w:szCs w:val="22"/>
        </w:rPr>
        <w:t>will be</w:t>
      </w:r>
      <w:r w:rsidR="00774A64" w:rsidRPr="0074320F">
        <w:rPr>
          <w:rFonts w:ascii="Times New Roman" w:hAnsi="Times New Roman" w:cs="Times New Roman"/>
          <w:szCs w:val="22"/>
        </w:rPr>
        <w:t xml:space="preserve"> </w:t>
      </w:r>
      <w:r w:rsidR="00CE1AC6" w:rsidRPr="0074320F">
        <w:rPr>
          <w:rFonts w:ascii="Times New Roman" w:hAnsi="Times New Roman" w:cs="Times New Roman"/>
          <w:szCs w:val="22"/>
        </w:rPr>
        <w:t>considered</w:t>
      </w:r>
      <w:r w:rsidR="000258AE" w:rsidRPr="0074320F">
        <w:rPr>
          <w:rFonts w:ascii="Times New Roman" w:hAnsi="Times New Roman" w:cs="Times New Roman"/>
          <w:szCs w:val="22"/>
        </w:rPr>
        <w:t>.</w:t>
      </w:r>
      <w:r w:rsidR="00774A64" w:rsidRPr="0074320F">
        <w:rPr>
          <w:rFonts w:ascii="Times New Roman" w:hAnsi="Times New Roman" w:cs="Times New Roman"/>
          <w:szCs w:val="22"/>
        </w:rPr>
        <w:t xml:space="preserve"> </w:t>
      </w:r>
      <w:r w:rsidR="00CE1AC6" w:rsidRPr="0074320F">
        <w:rPr>
          <w:rFonts w:ascii="Times New Roman" w:hAnsi="Times New Roman" w:cs="Times New Roman"/>
          <w:szCs w:val="22"/>
        </w:rPr>
        <w:t>Hence</w:t>
      </w:r>
      <w:r w:rsidRPr="0074320F">
        <w:rPr>
          <w:rFonts w:ascii="Times New Roman" w:hAnsi="Times New Roman" w:cs="Times New Roman"/>
          <w:szCs w:val="22"/>
        </w:rPr>
        <w:t>,</w:t>
      </w:r>
      <w:r w:rsidR="00CE1AC6" w:rsidRPr="0074320F">
        <w:rPr>
          <w:rFonts w:ascii="Times New Roman" w:hAnsi="Times New Roman" w:cs="Times New Roman"/>
          <w:szCs w:val="22"/>
        </w:rPr>
        <w:t xml:space="preserve"> in </w:t>
      </w:r>
      <w:r w:rsidRPr="0074320F">
        <w:rPr>
          <w:rFonts w:ascii="Times New Roman" w:hAnsi="Times New Roman" w:cs="Times New Roman"/>
          <w:szCs w:val="22"/>
        </w:rPr>
        <w:t xml:space="preserve">the </w:t>
      </w:r>
      <w:r w:rsidR="00CE1AC6" w:rsidRPr="0074320F">
        <w:rPr>
          <w:rFonts w:ascii="Times New Roman" w:hAnsi="Times New Roman"/>
        </w:rPr>
        <w:t xml:space="preserve">BAU </w:t>
      </w:r>
      <w:r w:rsidR="00CE1AC6" w:rsidRPr="00481400">
        <w:rPr>
          <w:rFonts w:ascii="Times New Roman" w:hAnsi="Times New Roman"/>
        </w:rPr>
        <w:t>scenario</w:t>
      </w:r>
      <w:r w:rsidRPr="00481400">
        <w:rPr>
          <w:rFonts w:ascii="Times New Roman" w:hAnsi="Times New Roman" w:cs="Times New Roman"/>
          <w:szCs w:val="22"/>
        </w:rPr>
        <w:t>,</w:t>
      </w:r>
      <w:r w:rsidR="00774A64" w:rsidRPr="00481400">
        <w:rPr>
          <w:rFonts w:ascii="Times New Roman" w:hAnsi="Times New Roman" w:cs="Times New Roman"/>
          <w:szCs w:val="22"/>
        </w:rPr>
        <w:t xml:space="preserve"> </w:t>
      </w:r>
      <w:r w:rsidRPr="00481400">
        <w:rPr>
          <w:rFonts w:ascii="Times New Roman" w:hAnsi="Times New Roman" w:cs="Times New Roman"/>
          <w:szCs w:val="22"/>
        </w:rPr>
        <w:t xml:space="preserve">industrial </w:t>
      </w:r>
      <w:r w:rsidR="00CE1AC6" w:rsidRPr="00481400">
        <w:rPr>
          <w:rFonts w:ascii="Times New Roman" w:hAnsi="Times New Roman" w:cs="Times New Roman"/>
          <w:szCs w:val="22"/>
        </w:rPr>
        <w:t xml:space="preserve">fuel consumption is projected to be maintained </w:t>
      </w:r>
      <w:r w:rsidRPr="00481400">
        <w:rPr>
          <w:rFonts w:ascii="Times New Roman" w:hAnsi="Times New Roman" w:cs="Times New Roman"/>
          <w:szCs w:val="22"/>
        </w:rPr>
        <w:t xml:space="preserve">at the </w:t>
      </w:r>
      <w:r w:rsidR="00CE1AC6" w:rsidRPr="00481400">
        <w:rPr>
          <w:rFonts w:ascii="Times New Roman" w:hAnsi="Times New Roman" w:cs="Times New Roman"/>
          <w:szCs w:val="22"/>
        </w:rPr>
        <w:t>status quo during 201</w:t>
      </w:r>
      <w:r w:rsidR="00D3333A" w:rsidRPr="00481400">
        <w:rPr>
          <w:rFonts w:ascii="Times New Roman" w:hAnsi="Times New Roman" w:cs="Times New Roman"/>
          <w:szCs w:val="22"/>
        </w:rPr>
        <w:t>5</w:t>
      </w:r>
      <w:r w:rsidRPr="00481400">
        <w:rPr>
          <w:rFonts w:ascii="Times New Roman" w:hAnsi="Times New Roman" w:cs="Times New Roman"/>
          <w:szCs w:val="22"/>
        </w:rPr>
        <w:t>–</w:t>
      </w:r>
      <w:r w:rsidR="00CE1AC6" w:rsidRPr="00481400">
        <w:rPr>
          <w:rFonts w:ascii="Times New Roman" w:hAnsi="Times New Roman" w:cs="Times New Roman"/>
          <w:szCs w:val="22"/>
        </w:rPr>
        <w:t>2030.</w:t>
      </w:r>
    </w:p>
    <w:p w14:paraId="1AB6EAFA" w14:textId="2354356E" w:rsidR="00CE1AC6" w:rsidRPr="0074320F" w:rsidRDefault="00CE1AC6" w:rsidP="002A73C5">
      <w:pPr>
        <w:numPr>
          <w:ilvl w:val="0"/>
          <w:numId w:val="1"/>
        </w:numPr>
        <w:autoSpaceDE w:val="0"/>
        <w:autoSpaceDN w:val="0"/>
        <w:adjustRightInd w:val="0"/>
        <w:spacing w:after="0" w:line="276" w:lineRule="auto"/>
        <w:ind w:left="720" w:hanging="283"/>
        <w:jc w:val="both"/>
        <w:rPr>
          <w:rFonts w:ascii="Times New Roman" w:hAnsi="Times New Roman" w:cs="Times New Roman"/>
          <w:szCs w:val="22"/>
        </w:rPr>
      </w:pPr>
      <w:r w:rsidRPr="00AC18ED">
        <w:rPr>
          <w:rFonts w:ascii="Times New Roman" w:hAnsi="Times New Roman" w:cs="Times New Roman"/>
          <w:szCs w:val="22"/>
        </w:rPr>
        <w:t>The electricity demand</w:t>
      </w:r>
      <w:r w:rsidR="00C37F38">
        <w:rPr>
          <w:rFonts w:ascii="Times New Roman" w:hAnsi="Times New Roman" w:cs="Times New Roman"/>
          <w:szCs w:val="22"/>
        </w:rPr>
        <w:t>s</w:t>
      </w:r>
      <w:r w:rsidRPr="00AC18ED">
        <w:rPr>
          <w:rFonts w:ascii="Times New Roman" w:hAnsi="Times New Roman" w:cs="Times New Roman"/>
          <w:szCs w:val="22"/>
        </w:rPr>
        <w:t xml:space="preserve"> of the city were projected based on India’s domestic growth in consumption</w:t>
      </w:r>
      <w:r w:rsidR="00C37F38">
        <w:rPr>
          <w:rFonts w:ascii="Times New Roman" w:hAnsi="Times New Roman" w:cs="Times New Roman"/>
          <w:szCs w:val="22"/>
        </w:rPr>
        <w:t xml:space="preserve"> published by </w:t>
      </w:r>
      <w:r w:rsidR="00C37F38" w:rsidRPr="0074320F">
        <w:rPr>
          <w:rFonts w:ascii="Times New Roman" w:hAnsi="Times New Roman" w:cs="Times New Roman"/>
          <w:szCs w:val="22"/>
        </w:rPr>
        <w:t>the</w:t>
      </w:r>
      <w:r w:rsidR="00774A64" w:rsidRPr="0074320F">
        <w:rPr>
          <w:rFonts w:ascii="Times New Roman" w:hAnsi="Times New Roman" w:cs="Times New Roman"/>
          <w:szCs w:val="22"/>
        </w:rPr>
        <w:t xml:space="preserve"> </w:t>
      </w:r>
      <w:r w:rsidRPr="0074320F">
        <w:rPr>
          <w:rFonts w:ascii="Times New Roman" w:hAnsi="Times New Roman" w:cs="Times New Roman"/>
          <w:szCs w:val="22"/>
        </w:rPr>
        <w:t>World Bank</w:t>
      </w:r>
      <w:r w:rsidR="00C37F38" w:rsidRPr="0074320F">
        <w:rPr>
          <w:rFonts w:ascii="Times New Roman" w:hAnsi="Times New Roman" w:cs="Times New Roman"/>
          <w:szCs w:val="22"/>
        </w:rPr>
        <w:t xml:space="preserve"> (</w:t>
      </w:r>
      <w:r w:rsidRPr="0074320F">
        <w:rPr>
          <w:rFonts w:ascii="Times New Roman" w:hAnsi="Times New Roman" w:cs="Times New Roman"/>
          <w:szCs w:val="22"/>
        </w:rPr>
        <w:t>2008</w:t>
      </w:r>
      <w:r w:rsidR="00C37F38" w:rsidRPr="0074320F">
        <w:rPr>
          <w:rFonts w:ascii="Times New Roman" w:hAnsi="Times New Roman" w:cs="Times New Roman"/>
          <w:szCs w:val="22"/>
        </w:rPr>
        <w:t>)</w:t>
      </w:r>
      <w:r w:rsidRPr="0074320F">
        <w:rPr>
          <w:rFonts w:ascii="Times New Roman" w:hAnsi="Times New Roman" w:cs="Times New Roman"/>
          <w:szCs w:val="22"/>
        </w:rPr>
        <w:t>.</w:t>
      </w:r>
    </w:p>
    <w:p w14:paraId="76613C8D" w14:textId="432C0274" w:rsidR="00CE1AC6" w:rsidRPr="00AC18ED" w:rsidRDefault="00CE1AC6" w:rsidP="002A73C5">
      <w:pPr>
        <w:numPr>
          <w:ilvl w:val="0"/>
          <w:numId w:val="1"/>
        </w:numPr>
        <w:autoSpaceDE w:val="0"/>
        <w:autoSpaceDN w:val="0"/>
        <w:adjustRightInd w:val="0"/>
        <w:spacing w:after="0" w:line="276" w:lineRule="auto"/>
        <w:ind w:left="720" w:hanging="283"/>
        <w:jc w:val="both"/>
        <w:rPr>
          <w:rFonts w:ascii="Times New Roman" w:hAnsi="Times New Roman" w:cs="Times New Roman"/>
          <w:szCs w:val="22"/>
        </w:rPr>
      </w:pPr>
      <w:r w:rsidRPr="0074320F">
        <w:rPr>
          <w:rFonts w:ascii="Times New Roman" w:hAnsi="Times New Roman" w:cs="Times New Roman"/>
          <w:szCs w:val="22"/>
        </w:rPr>
        <w:t>As no new power plant</w:t>
      </w:r>
      <w:r w:rsidR="00C37F38" w:rsidRPr="0074320F">
        <w:rPr>
          <w:rFonts w:ascii="Times New Roman" w:hAnsi="Times New Roman" w:cs="Times New Roman"/>
          <w:szCs w:val="22"/>
        </w:rPr>
        <w:t>s</w:t>
      </w:r>
      <w:r w:rsidRPr="0074320F">
        <w:rPr>
          <w:rFonts w:ascii="Times New Roman" w:hAnsi="Times New Roman" w:cs="Times New Roman"/>
          <w:szCs w:val="22"/>
        </w:rPr>
        <w:t xml:space="preserve"> </w:t>
      </w:r>
      <w:r w:rsidR="00C37F38" w:rsidRPr="0074320F">
        <w:rPr>
          <w:rFonts w:ascii="Times New Roman" w:hAnsi="Times New Roman" w:cs="Times New Roman"/>
          <w:szCs w:val="22"/>
        </w:rPr>
        <w:t xml:space="preserve">are </w:t>
      </w:r>
      <w:r w:rsidRPr="0074320F">
        <w:rPr>
          <w:rFonts w:ascii="Times New Roman" w:hAnsi="Times New Roman" w:cs="Times New Roman"/>
          <w:szCs w:val="22"/>
        </w:rPr>
        <w:t xml:space="preserve">proposed or allowed within </w:t>
      </w:r>
      <w:r w:rsidR="00C37F38">
        <w:rPr>
          <w:rFonts w:ascii="Times New Roman" w:hAnsi="Times New Roman" w:cs="Times New Roman"/>
          <w:szCs w:val="22"/>
        </w:rPr>
        <w:t xml:space="preserve">the </w:t>
      </w:r>
      <w:r w:rsidR="00A7166F">
        <w:rPr>
          <w:rFonts w:ascii="Times New Roman" w:hAnsi="Times New Roman" w:cs="Times New Roman"/>
          <w:szCs w:val="22"/>
        </w:rPr>
        <w:t>KMC</w:t>
      </w:r>
      <w:r w:rsidRPr="00AC18ED">
        <w:rPr>
          <w:rFonts w:ascii="Times New Roman" w:hAnsi="Times New Roman" w:cs="Times New Roman"/>
          <w:szCs w:val="22"/>
        </w:rPr>
        <w:t xml:space="preserve"> area</w:t>
      </w:r>
      <w:r w:rsidR="00C37F38">
        <w:rPr>
          <w:rFonts w:ascii="Times New Roman" w:hAnsi="Times New Roman" w:cs="Times New Roman"/>
          <w:szCs w:val="22"/>
        </w:rPr>
        <w:t>,</w:t>
      </w:r>
      <w:r w:rsidR="00774A64">
        <w:rPr>
          <w:rFonts w:ascii="Times New Roman" w:hAnsi="Times New Roman" w:cs="Times New Roman"/>
          <w:szCs w:val="22"/>
        </w:rPr>
        <w:t xml:space="preserve"> </w:t>
      </w:r>
      <w:r w:rsidRPr="00AC18ED">
        <w:rPr>
          <w:rFonts w:ascii="Times New Roman" w:hAnsi="Times New Roman" w:cs="Times New Roman"/>
          <w:szCs w:val="22"/>
        </w:rPr>
        <w:t xml:space="preserve">only increased </w:t>
      </w:r>
      <w:r w:rsidR="00C8541C">
        <w:rPr>
          <w:rFonts w:ascii="Times New Roman" w:hAnsi="Times New Roman" w:cs="Times New Roman"/>
          <w:szCs w:val="22"/>
        </w:rPr>
        <w:t>plant</w:t>
      </w:r>
      <w:r w:rsidR="00C8541C" w:rsidRPr="00AC18ED">
        <w:rPr>
          <w:rFonts w:ascii="Times New Roman" w:hAnsi="Times New Roman" w:cs="Times New Roman"/>
          <w:szCs w:val="22"/>
        </w:rPr>
        <w:t xml:space="preserve"> </w:t>
      </w:r>
      <w:r w:rsidR="00C37F38" w:rsidRPr="00AC18ED">
        <w:rPr>
          <w:rFonts w:ascii="Times New Roman" w:hAnsi="Times New Roman" w:cs="Times New Roman"/>
          <w:szCs w:val="22"/>
        </w:rPr>
        <w:t xml:space="preserve">load </w:t>
      </w:r>
      <w:r w:rsidR="00C8541C" w:rsidRPr="00AC18ED">
        <w:rPr>
          <w:rFonts w:ascii="Times New Roman" w:hAnsi="Times New Roman" w:cs="Times New Roman"/>
          <w:szCs w:val="22"/>
        </w:rPr>
        <w:t xml:space="preserve">factor </w:t>
      </w:r>
      <w:r w:rsidR="00C37F38">
        <w:rPr>
          <w:rFonts w:ascii="Times New Roman" w:hAnsi="Times New Roman" w:cs="Times New Roman"/>
          <w:szCs w:val="22"/>
        </w:rPr>
        <w:t>(</w:t>
      </w:r>
      <w:r w:rsidRPr="00AC18ED">
        <w:rPr>
          <w:rFonts w:ascii="Times New Roman" w:hAnsi="Times New Roman" w:cs="Times New Roman"/>
          <w:szCs w:val="22"/>
        </w:rPr>
        <w:t>P</w:t>
      </w:r>
      <w:r w:rsidR="00C8541C">
        <w:rPr>
          <w:rFonts w:ascii="Times New Roman" w:hAnsi="Times New Roman" w:cs="Times New Roman"/>
          <w:szCs w:val="22"/>
        </w:rPr>
        <w:t>LF</w:t>
      </w:r>
      <w:r w:rsidR="00C37F38">
        <w:rPr>
          <w:rFonts w:ascii="Times New Roman" w:hAnsi="Times New Roman" w:cs="Times New Roman"/>
          <w:szCs w:val="22"/>
        </w:rPr>
        <w:t xml:space="preserve">) </w:t>
      </w:r>
      <w:r w:rsidRPr="00AC18ED">
        <w:rPr>
          <w:rFonts w:ascii="Times New Roman" w:hAnsi="Times New Roman" w:cs="Times New Roman"/>
          <w:szCs w:val="22"/>
        </w:rPr>
        <w:t xml:space="preserve">(up to 95% </w:t>
      </w:r>
      <w:r w:rsidR="00C37F38">
        <w:rPr>
          <w:rFonts w:ascii="Times New Roman" w:hAnsi="Times New Roman" w:cs="Times New Roman"/>
          <w:szCs w:val="22"/>
        </w:rPr>
        <w:t>of</w:t>
      </w:r>
      <w:r w:rsidR="00774A64">
        <w:rPr>
          <w:rFonts w:ascii="Times New Roman" w:hAnsi="Times New Roman" w:cs="Times New Roman"/>
          <w:szCs w:val="22"/>
        </w:rPr>
        <w:t xml:space="preserve"> </w:t>
      </w:r>
      <w:r w:rsidRPr="00AC18ED">
        <w:rPr>
          <w:rFonts w:ascii="Times New Roman" w:hAnsi="Times New Roman" w:cs="Times New Roman"/>
          <w:szCs w:val="22"/>
        </w:rPr>
        <w:t>present P</w:t>
      </w:r>
      <w:r w:rsidR="00C8541C">
        <w:rPr>
          <w:rFonts w:ascii="Times New Roman" w:hAnsi="Times New Roman" w:cs="Times New Roman"/>
          <w:szCs w:val="22"/>
        </w:rPr>
        <w:t>LF</w:t>
      </w:r>
      <w:r w:rsidRPr="00AC18ED">
        <w:rPr>
          <w:rFonts w:ascii="Times New Roman" w:hAnsi="Times New Roman" w:cs="Times New Roman"/>
          <w:szCs w:val="22"/>
        </w:rPr>
        <w:t xml:space="preserve"> </w:t>
      </w:r>
      <w:r w:rsidR="00C37F38">
        <w:rPr>
          <w:rFonts w:ascii="Times New Roman" w:hAnsi="Times New Roman" w:cs="Times New Roman"/>
          <w:szCs w:val="22"/>
        </w:rPr>
        <w:t>range of</w:t>
      </w:r>
      <w:r w:rsidRPr="00AC18ED">
        <w:rPr>
          <w:rFonts w:ascii="Times New Roman" w:hAnsi="Times New Roman" w:cs="Times New Roman"/>
          <w:szCs w:val="22"/>
        </w:rPr>
        <w:t xml:space="preserve"> 69</w:t>
      </w:r>
      <w:r w:rsidR="00C37F38">
        <w:rPr>
          <w:rFonts w:ascii="Times New Roman" w:hAnsi="Times New Roman" w:cs="Times New Roman"/>
          <w:szCs w:val="22"/>
        </w:rPr>
        <w:t>–</w:t>
      </w:r>
      <w:r w:rsidRPr="00AC18ED">
        <w:rPr>
          <w:rFonts w:ascii="Times New Roman" w:hAnsi="Times New Roman" w:cs="Times New Roman"/>
          <w:szCs w:val="22"/>
        </w:rPr>
        <w:t xml:space="preserve">92%) have been considered for </w:t>
      </w:r>
      <w:r w:rsidRPr="000258AE">
        <w:rPr>
          <w:rFonts w:ascii="Times New Roman" w:hAnsi="Times New Roman" w:cs="Times New Roman"/>
          <w:szCs w:val="22"/>
        </w:rPr>
        <w:t>the existing unit</w:t>
      </w:r>
      <w:r w:rsidR="000258AE" w:rsidRPr="00C35D33">
        <w:rPr>
          <w:rFonts w:ascii="Times New Roman" w:hAnsi="Times New Roman" w:cs="Times New Roman"/>
          <w:szCs w:val="22"/>
        </w:rPr>
        <w:t>s</w:t>
      </w:r>
      <w:r w:rsidRPr="000258AE">
        <w:rPr>
          <w:rFonts w:ascii="Times New Roman" w:hAnsi="Times New Roman" w:cs="Times New Roman"/>
          <w:szCs w:val="22"/>
        </w:rPr>
        <w:t xml:space="preserve"> </w:t>
      </w:r>
      <w:r w:rsidR="000258AE" w:rsidRPr="00C35D33">
        <w:rPr>
          <w:rFonts w:ascii="Times New Roman" w:hAnsi="Times New Roman" w:cs="Times New Roman"/>
          <w:szCs w:val="22"/>
        </w:rPr>
        <w:t>when projecting</w:t>
      </w:r>
      <w:r w:rsidRPr="000258AE">
        <w:rPr>
          <w:rFonts w:ascii="Times New Roman" w:hAnsi="Times New Roman" w:cs="Times New Roman"/>
          <w:szCs w:val="22"/>
        </w:rPr>
        <w:t xml:space="preserve"> power generation.</w:t>
      </w:r>
      <w:r w:rsidRPr="00AC18ED">
        <w:rPr>
          <w:rFonts w:ascii="Times New Roman" w:hAnsi="Times New Roman" w:cs="Times New Roman"/>
          <w:szCs w:val="22"/>
        </w:rPr>
        <w:t xml:space="preserve"> The deficit between power generation and power requirement will have to be met by importing power from outside </w:t>
      </w:r>
      <w:r w:rsidR="00C37F38">
        <w:rPr>
          <w:rFonts w:ascii="Times New Roman" w:hAnsi="Times New Roman" w:cs="Times New Roman"/>
          <w:szCs w:val="22"/>
        </w:rPr>
        <w:t xml:space="preserve">the </w:t>
      </w:r>
      <w:r w:rsidR="00601C01">
        <w:rPr>
          <w:rFonts w:ascii="Times New Roman" w:hAnsi="Times New Roman" w:cs="Times New Roman"/>
          <w:szCs w:val="22"/>
        </w:rPr>
        <w:t xml:space="preserve">jurisdiction of </w:t>
      </w:r>
      <w:r w:rsidR="00A7166F">
        <w:rPr>
          <w:rFonts w:ascii="Times New Roman" w:hAnsi="Times New Roman" w:cs="Times New Roman"/>
          <w:szCs w:val="22"/>
        </w:rPr>
        <w:t>KMC</w:t>
      </w:r>
      <w:r w:rsidRPr="00AC18ED">
        <w:rPr>
          <w:rFonts w:ascii="Times New Roman" w:hAnsi="Times New Roman" w:cs="Times New Roman"/>
          <w:szCs w:val="22"/>
        </w:rPr>
        <w:t>.</w:t>
      </w:r>
    </w:p>
    <w:p w14:paraId="0B5CF539" w14:textId="77777777" w:rsidR="00CE1AC6" w:rsidRPr="00AC18ED" w:rsidRDefault="00CE1AC6" w:rsidP="002A73C5">
      <w:pPr>
        <w:pStyle w:val="Heading2"/>
        <w:numPr>
          <w:ilvl w:val="1"/>
          <w:numId w:val="11"/>
        </w:numPr>
        <w:spacing w:before="120" w:after="120" w:line="276" w:lineRule="auto"/>
        <w:contextualSpacing/>
        <w:rPr>
          <w:rFonts w:ascii="Times New Roman" w:hAnsi="Times New Roman" w:cs="Times New Roman"/>
          <w:sz w:val="22"/>
          <w:szCs w:val="22"/>
        </w:rPr>
      </w:pPr>
      <w:bookmarkStart w:id="33" w:name="_Toc22630750"/>
      <w:r w:rsidRPr="00AC18ED">
        <w:rPr>
          <w:rFonts w:ascii="Times New Roman" w:hAnsi="Times New Roman" w:cs="Times New Roman"/>
          <w:sz w:val="22"/>
          <w:szCs w:val="22"/>
        </w:rPr>
        <w:t>Line source</w:t>
      </w:r>
      <w:bookmarkEnd w:id="33"/>
      <w:r w:rsidRPr="00AC18ED">
        <w:rPr>
          <w:rFonts w:ascii="Times New Roman" w:hAnsi="Times New Roman" w:cs="Times New Roman"/>
          <w:sz w:val="22"/>
          <w:szCs w:val="22"/>
        </w:rPr>
        <w:t xml:space="preserve"> </w:t>
      </w:r>
    </w:p>
    <w:p w14:paraId="083832E6" w14:textId="65DD7A84" w:rsidR="00CE1AC6" w:rsidRPr="00481400" w:rsidRDefault="00CE1AC6" w:rsidP="002A73C5">
      <w:pPr>
        <w:numPr>
          <w:ilvl w:val="0"/>
          <w:numId w:val="1"/>
        </w:numPr>
        <w:autoSpaceDE w:val="0"/>
        <w:autoSpaceDN w:val="0"/>
        <w:adjustRightInd w:val="0"/>
        <w:spacing w:after="0" w:line="276" w:lineRule="auto"/>
        <w:ind w:left="720" w:hanging="288"/>
        <w:jc w:val="both"/>
        <w:rPr>
          <w:rFonts w:ascii="Times New Roman" w:hAnsi="Times New Roman" w:cs="Times New Roman"/>
          <w:szCs w:val="22"/>
        </w:rPr>
      </w:pPr>
      <w:r w:rsidRPr="00AC18ED">
        <w:rPr>
          <w:rFonts w:ascii="Times New Roman" w:hAnsi="Times New Roman" w:cs="Times New Roman"/>
          <w:szCs w:val="22"/>
        </w:rPr>
        <w:t>T</w:t>
      </w:r>
      <w:r w:rsidR="00C37F38">
        <w:rPr>
          <w:rFonts w:ascii="Times New Roman" w:hAnsi="Times New Roman" w:cs="Times New Roman"/>
          <w:szCs w:val="22"/>
        </w:rPr>
        <w:t>he t</w:t>
      </w:r>
      <w:r w:rsidRPr="00AC18ED">
        <w:rPr>
          <w:rFonts w:ascii="Times New Roman" w:hAnsi="Times New Roman" w:cs="Times New Roman"/>
          <w:szCs w:val="22"/>
        </w:rPr>
        <w:t xml:space="preserve">otal active fleet was estimated from </w:t>
      </w:r>
      <w:r w:rsidR="00D11FA4">
        <w:rPr>
          <w:rFonts w:ascii="Times New Roman" w:hAnsi="Times New Roman" w:cs="Times New Roman"/>
          <w:szCs w:val="22"/>
        </w:rPr>
        <w:t xml:space="preserve">the </w:t>
      </w:r>
      <w:r w:rsidRPr="00AC18ED">
        <w:rPr>
          <w:rFonts w:ascii="Times New Roman" w:hAnsi="Times New Roman" w:cs="Times New Roman"/>
          <w:szCs w:val="22"/>
        </w:rPr>
        <w:t xml:space="preserve">observed </w:t>
      </w:r>
      <w:r w:rsidR="00D11FA4">
        <w:rPr>
          <w:rFonts w:ascii="Times New Roman" w:hAnsi="Times New Roman" w:cs="Times New Roman"/>
          <w:szCs w:val="22"/>
        </w:rPr>
        <w:t xml:space="preserve">number of </w:t>
      </w:r>
      <w:r w:rsidR="00C37F38" w:rsidRPr="00AC18ED">
        <w:rPr>
          <w:rFonts w:ascii="Times New Roman" w:hAnsi="Times New Roman" w:cs="Times New Roman"/>
          <w:szCs w:val="22"/>
        </w:rPr>
        <w:t>on</w:t>
      </w:r>
      <w:r w:rsidR="00C37F38">
        <w:rPr>
          <w:rFonts w:ascii="Times New Roman" w:hAnsi="Times New Roman" w:cs="Times New Roman"/>
          <w:szCs w:val="22"/>
        </w:rPr>
        <w:t>-</w:t>
      </w:r>
      <w:r w:rsidRPr="00AC18ED">
        <w:rPr>
          <w:rFonts w:ascii="Times New Roman" w:hAnsi="Times New Roman" w:cs="Times New Roman"/>
          <w:szCs w:val="22"/>
        </w:rPr>
        <w:t>road vehicle</w:t>
      </w:r>
      <w:r w:rsidR="00D11FA4">
        <w:rPr>
          <w:rFonts w:ascii="Times New Roman" w:hAnsi="Times New Roman" w:cs="Times New Roman"/>
          <w:szCs w:val="22"/>
        </w:rPr>
        <w:t>s</w:t>
      </w:r>
      <w:r w:rsidRPr="00AC18ED">
        <w:rPr>
          <w:rFonts w:ascii="Times New Roman" w:hAnsi="Times New Roman" w:cs="Times New Roman"/>
          <w:szCs w:val="22"/>
        </w:rPr>
        <w:t xml:space="preserve"> per hour</w:t>
      </w:r>
      <w:r w:rsidR="00C37F38">
        <w:rPr>
          <w:rFonts w:ascii="Times New Roman" w:hAnsi="Times New Roman" w:cs="Times New Roman"/>
          <w:szCs w:val="22"/>
        </w:rPr>
        <w:t>,</w:t>
      </w:r>
      <w:r w:rsidR="00774A64">
        <w:rPr>
          <w:rFonts w:ascii="Times New Roman" w:hAnsi="Times New Roman" w:cs="Times New Roman"/>
          <w:szCs w:val="22"/>
        </w:rPr>
        <w:t xml:space="preserve"> </w:t>
      </w:r>
      <w:r w:rsidRPr="00AC18ED">
        <w:rPr>
          <w:rFonts w:ascii="Times New Roman" w:hAnsi="Times New Roman" w:cs="Times New Roman"/>
          <w:szCs w:val="22"/>
        </w:rPr>
        <w:t xml:space="preserve">considering </w:t>
      </w:r>
      <w:r w:rsidR="00C37F38">
        <w:rPr>
          <w:rFonts w:ascii="Times New Roman" w:hAnsi="Times New Roman" w:cs="Times New Roman"/>
          <w:szCs w:val="22"/>
        </w:rPr>
        <w:t xml:space="preserve">an </w:t>
      </w:r>
      <w:r w:rsidRPr="00AC18ED">
        <w:rPr>
          <w:rFonts w:ascii="Times New Roman" w:hAnsi="Times New Roman" w:cs="Times New Roman"/>
          <w:szCs w:val="22"/>
        </w:rPr>
        <w:t>average vehicular speed of 17 km/hr</w:t>
      </w:r>
      <w:r w:rsidR="00C37F38">
        <w:rPr>
          <w:rFonts w:ascii="Times New Roman" w:hAnsi="Times New Roman" w:cs="Times New Roman"/>
          <w:szCs w:val="22"/>
        </w:rPr>
        <w:t>,</w:t>
      </w:r>
      <w:r w:rsidR="00C35D33">
        <w:rPr>
          <w:rFonts w:ascii="Times New Roman" w:hAnsi="Times New Roman" w:cs="Times New Roman"/>
          <w:szCs w:val="22"/>
        </w:rPr>
        <w:t xml:space="preserve"> </w:t>
      </w:r>
      <w:r w:rsidRPr="00AC18ED">
        <w:rPr>
          <w:rFonts w:ascii="Times New Roman" w:hAnsi="Times New Roman" w:cs="Times New Roman"/>
          <w:szCs w:val="22"/>
        </w:rPr>
        <w:t xml:space="preserve">which gives the vehicular density per km of road </w:t>
      </w:r>
      <w:r w:rsidRPr="00481400">
        <w:rPr>
          <w:rFonts w:ascii="Times New Roman" w:hAnsi="Times New Roman" w:cs="Times New Roman"/>
          <w:szCs w:val="22"/>
        </w:rPr>
        <w:t xml:space="preserve">length. </w:t>
      </w:r>
    </w:p>
    <w:p w14:paraId="6F0554F4" w14:textId="345C4A6C" w:rsidR="00CE1AC6" w:rsidRPr="00AC18ED" w:rsidRDefault="00CE1AC6" w:rsidP="002A73C5">
      <w:pPr>
        <w:numPr>
          <w:ilvl w:val="0"/>
          <w:numId w:val="1"/>
        </w:numPr>
        <w:autoSpaceDE w:val="0"/>
        <w:autoSpaceDN w:val="0"/>
        <w:adjustRightInd w:val="0"/>
        <w:spacing w:after="0" w:line="276" w:lineRule="auto"/>
        <w:ind w:left="720" w:hanging="288"/>
        <w:jc w:val="both"/>
        <w:rPr>
          <w:rFonts w:ascii="Times New Roman" w:hAnsi="Times New Roman" w:cs="Times New Roman"/>
          <w:szCs w:val="22"/>
        </w:rPr>
      </w:pPr>
      <w:r w:rsidRPr="00481400">
        <w:rPr>
          <w:rFonts w:ascii="Times New Roman" w:hAnsi="Times New Roman" w:cs="Times New Roman"/>
          <w:szCs w:val="22"/>
        </w:rPr>
        <w:t xml:space="preserve">This vehicular density was projected </w:t>
      </w:r>
      <w:r w:rsidR="00C37F38" w:rsidRPr="00481400">
        <w:rPr>
          <w:rFonts w:ascii="Times New Roman" w:hAnsi="Times New Roman" w:cs="Times New Roman"/>
          <w:szCs w:val="22"/>
        </w:rPr>
        <w:t xml:space="preserve">based on </w:t>
      </w:r>
      <w:r w:rsidRPr="00481400">
        <w:rPr>
          <w:rFonts w:ascii="Times New Roman" w:hAnsi="Times New Roman" w:cs="Times New Roman"/>
          <w:szCs w:val="22"/>
        </w:rPr>
        <w:t xml:space="preserve">the total </w:t>
      </w:r>
      <w:r w:rsidR="00C37F38" w:rsidRPr="00481400">
        <w:rPr>
          <w:rFonts w:ascii="Times New Roman" w:hAnsi="Times New Roman" w:cs="Times New Roman"/>
          <w:szCs w:val="22"/>
        </w:rPr>
        <w:t xml:space="preserve">length of </w:t>
      </w:r>
      <w:r w:rsidRPr="00481400">
        <w:rPr>
          <w:rFonts w:ascii="Times New Roman" w:hAnsi="Times New Roman" w:cs="Times New Roman"/>
          <w:szCs w:val="22"/>
        </w:rPr>
        <w:t>road</w:t>
      </w:r>
      <w:r w:rsidR="00C37F38" w:rsidRPr="00481400">
        <w:rPr>
          <w:rFonts w:ascii="Times New Roman" w:hAnsi="Times New Roman" w:cs="Times New Roman"/>
          <w:szCs w:val="22"/>
        </w:rPr>
        <w:t>s</w:t>
      </w:r>
      <w:r w:rsidRPr="00481400">
        <w:rPr>
          <w:rFonts w:ascii="Times New Roman" w:hAnsi="Times New Roman" w:cs="Times New Roman"/>
          <w:szCs w:val="22"/>
        </w:rPr>
        <w:t xml:space="preserve"> </w:t>
      </w:r>
      <w:r w:rsidR="00C37F38" w:rsidRPr="00481400">
        <w:rPr>
          <w:rFonts w:ascii="Times New Roman" w:hAnsi="Times New Roman" w:cs="Times New Roman"/>
          <w:szCs w:val="22"/>
        </w:rPr>
        <w:t>in the</w:t>
      </w:r>
      <w:r w:rsidR="00774A64" w:rsidRPr="00481400">
        <w:rPr>
          <w:rFonts w:ascii="Times New Roman" w:hAnsi="Times New Roman" w:cs="Times New Roman"/>
          <w:szCs w:val="22"/>
        </w:rPr>
        <w:t xml:space="preserve"> </w:t>
      </w:r>
      <w:r w:rsidR="00A7166F" w:rsidRPr="00481400">
        <w:rPr>
          <w:rFonts w:ascii="Times New Roman" w:hAnsi="Times New Roman" w:cs="Times New Roman"/>
          <w:szCs w:val="22"/>
        </w:rPr>
        <w:t>KMC</w:t>
      </w:r>
      <w:r w:rsidRPr="00481400">
        <w:rPr>
          <w:rFonts w:ascii="Times New Roman" w:hAnsi="Times New Roman" w:cs="Times New Roman"/>
          <w:szCs w:val="22"/>
        </w:rPr>
        <w:t xml:space="preserve"> to derive the total active fleet of the city. For future projection</w:t>
      </w:r>
      <w:r w:rsidR="00C37F38" w:rsidRPr="00481400">
        <w:rPr>
          <w:rFonts w:ascii="Times New Roman" w:hAnsi="Times New Roman" w:cs="Times New Roman"/>
          <w:szCs w:val="22"/>
        </w:rPr>
        <w:t xml:space="preserve"> of the</w:t>
      </w:r>
      <w:r w:rsidRPr="00481400">
        <w:rPr>
          <w:rFonts w:ascii="Times New Roman" w:hAnsi="Times New Roman" w:cs="Times New Roman"/>
          <w:szCs w:val="22"/>
        </w:rPr>
        <w:t xml:space="preserve"> active fleet</w:t>
      </w:r>
      <w:r w:rsidR="00C37F38" w:rsidRPr="00481400">
        <w:rPr>
          <w:rFonts w:ascii="Times New Roman" w:hAnsi="Times New Roman" w:cs="Times New Roman"/>
          <w:szCs w:val="22"/>
        </w:rPr>
        <w:t xml:space="preserve"> of the</w:t>
      </w:r>
      <w:r w:rsidRPr="00481400">
        <w:rPr>
          <w:rFonts w:ascii="Times New Roman" w:hAnsi="Times New Roman" w:cs="Times New Roman"/>
          <w:szCs w:val="22"/>
        </w:rPr>
        <w:t xml:space="preserve"> </w:t>
      </w:r>
      <w:r w:rsidR="00C37F38" w:rsidRPr="00481400">
        <w:rPr>
          <w:rFonts w:ascii="Times New Roman" w:hAnsi="Times New Roman" w:cs="Times New Roman"/>
          <w:szCs w:val="22"/>
        </w:rPr>
        <w:t xml:space="preserve">city </w:t>
      </w:r>
      <w:r w:rsidR="00D11FA4" w:rsidRPr="00481400">
        <w:rPr>
          <w:rFonts w:ascii="Times New Roman" w:hAnsi="Times New Roman" w:cs="Times New Roman"/>
          <w:szCs w:val="22"/>
        </w:rPr>
        <w:t xml:space="preserve">under </w:t>
      </w:r>
      <w:r w:rsidR="00C37F38" w:rsidRPr="00481400">
        <w:rPr>
          <w:rFonts w:ascii="Times New Roman" w:hAnsi="Times New Roman" w:cs="Times New Roman"/>
          <w:szCs w:val="22"/>
        </w:rPr>
        <w:t xml:space="preserve">the </w:t>
      </w:r>
      <w:r w:rsidRPr="00481400">
        <w:rPr>
          <w:rFonts w:ascii="Times New Roman" w:hAnsi="Times New Roman"/>
        </w:rPr>
        <w:t>BAU scenario</w:t>
      </w:r>
      <w:r w:rsidRPr="00481400">
        <w:rPr>
          <w:rFonts w:ascii="Times New Roman" w:hAnsi="Times New Roman" w:cs="Times New Roman"/>
          <w:szCs w:val="22"/>
        </w:rPr>
        <w:t>, the vehicular density</w:t>
      </w:r>
      <w:r w:rsidRPr="00AC18ED">
        <w:rPr>
          <w:rFonts w:ascii="Times New Roman" w:hAnsi="Times New Roman" w:cs="Times New Roman"/>
          <w:szCs w:val="22"/>
        </w:rPr>
        <w:t xml:space="preserve"> was projected using the </w:t>
      </w:r>
      <w:r w:rsidR="00C37F38" w:rsidRPr="00AC18ED">
        <w:rPr>
          <w:rFonts w:ascii="Times New Roman" w:hAnsi="Times New Roman" w:cs="Times New Roman"/>
          <w:szCs w:val="22"/>
        </w:rPr>
        <w:t>2005</w:t>
      </w:r>
      <w:r w:rsidR="00C37F38">
        <w:rPr>
          <w:rFonts w:ascii="Times New Roman" w:hAnsi="Times New Roman" w:cs="Times New Roman"/>
          <w:szCs w:val="22"/>
        </w:rPr>
        <w:t>–</w:t>
      </w:r>
      <w:r w:rsidR="00C37F38" w:rsidRPr="00AC18ED">
        <w:rPr>
          <w:rFonts w:ascii="Times New Roman" w:hAnsi="Times New Roman" w:cs="Times New Roman"/>
          <w:szCs w:val="22"/>
        </w:rPr>
        <w:t>2015</w:t>
      </w:r>
      <w:r w:rsidR="00C37F38">
        <w:rPr>
          <w:rFonts w:ascii="Times New Roman" w:hAnsi="Times New Roman" w:cs="Times New Roman"/>
          <w:szCs w:val="22"/>
        </w:rPr>
        <w:t xml:space="preserve"> </w:t>
      </w:r>
      <w:r w:rsidRPr="00AC18ED">
        <w:rPr>
          <w:rFonts w:ascii="Times New Roman" w:hAnsi="Times New Roman" w:cs="Times New Roman"/>
          <w:szCs w:val="22"/>
        </w:rPr>
        <w:t>trend</w:t>
      </w:r>
      <w:r w:rsidR="00C37F38">
        <w:rPr>
          <w:rFonts w:ascii="Times New Roman" w:hAnsi="Times New Roman" w:cs="Times New Roman"/>
          <w:szCs w:val="22"/>
        </w:rPr>
        <w:t xml:space="preserve">. </w:t>
      </w:r>
    </w:p>
    <w:p w14:paraId="3A9905B5" w14:textId="6C9A4443" w:rsidR="00CE1AC6" w:rsidRPr="00481400" w:rsidRDefault="00CE1AC6" w:rsidP="002A73C5">
      <w:pPr>
        <w:numPr>
          <w:ilvl w:val="0"/>
          <w:numId w:val="1"/>
        </w:numPr>
        <w:autoSpaceDE w:val="0"/>
        <w:autoSpaceDN w:val="0"/>
        <w:adjustRightInd w:val="0"/>
        <w:spacing w:after="0" w:line="276" w:lineRule="auto"/>
        <w:ind w:left="720" w:hanging="288"/>
        <w:jc w:val="both"/>
        <w:rPr>
          <w:rFonts w:ascii="Times New Roman" w:hAnsi="Times New Roman" w:cs="Times New Roman"/>
          <w:szCs w:val="22"/>
        </w:rPr>
      </w:pPr>
      <w:r w:rsidRPr="00AC18ED">
        <w:rPr>
          <w:rFonts w:ascii="Times New Roman" w:hAnsi="Times New Roman" w:cs="Times New Roman"/>
          <w:szCs w:val="22"/>
        </w:rPr>
        <w:lastRenderedPageBreak/>
        <w:t xml:space="preserve">It was assumed that the road length will increase </w:t>
      </w:r>
      <w:r w:rsidR="00F743A6">
        <w:rPr>
          <w:rFonts w:ascii="Times New Roman" w:hAnsi="Times New Roman" w:cs="Times New Roman"/>
          <w:szCs w:val="22"/>
        </w:rPr>
        <w:t xml:space="preserve">at a rate of </w:t>
      </w:r>
      <w:r w:rsidRPr="00AC18ED">
        <w:rPr>
          <w:rFonts w:ascii="Times New Roman" w:hAnsi="Times New Roman" w:cs="Times New Roman"/>
          <w:szCs w:val="22"/>
        </w:rPr>
        <w:t>1% per year with ~1% decrease in average vehicular speed</w:t>
      </w:r>
      <w:r w:rsidR="002157E7">
        <w:rPr>
          <w:rFonts w:ascii="Times New Roman" w:hAnsi="Times New Roman" w:cs="Times New Roman"/>
          <w:szCs w:val="22"/>
        </w:rPr>
        <w:t xml:space="preserve"> due to </w:t>
      </w:r>
      <w:r w:rsidR="002157E7" w:rsidRPr="00481400">
        <w:rPr>
          <w:rFonts w:ascii="Times New Roman" w:hAnsi="Times New Roman" w:cs="Times New Roman"/>
          <w:szCs w:val="22"/>
        </w:rPr>
        <w:t>increasing population and fleet volume</w:t>
      </w:r>
      <w:r w:rsidRPr="00481400">
        <w:rPr>
          <w:rFonts w:ascii="Times New Roman" w:hAnsi="Times New Roman" w:cs="Times New Roman"/>
          <w:szCs w:val="22"/>
        </w:rPr>
        <w:t xml:space="preserve"> (from 17k/hr in 2015 to 14km/hr in 2030).</w:t>
      </w:r>
      <w:r w:rsidR="00774A64" w:rsidRPr="00481400">
        <w:rPr>
          <w:rFonts w:ascii="Times New Roman" w:hAnsi="Times New Roman" w:cs="Times New Roman"/>
          <w:szCs w:val="22"/>
        </w:rPr>
        <w:t xml:space="preserve"> </w:t>
      </w:r>
    </w:p>
    <w:p w14:paraId="1B7CCE58" w14:textId="3703EEEA" w:rsidR="00CE1AC6" w:rsidRPr="00481400" w:rsidRDefault="00CE1AC6" w:rsidP="002A73C5">
      <w:pPr>
        <w:numPr>
          <w:ilvl w:val="0"/>
          <w:numId w:val="1"/>
        </w:numPr>
        <w:autoSpaceDE w:val="0"/>
        <w:autoSpaceDN w:val="0"/>
        <w:adjustRightInd w:val="0"/>
        <w:spacing w:after="0" w:line="276" w:lineRule="auto"/>
        <w:ind w:left="720" w:hanging="288"/>
        <w:jc w:val="both"/>
        <w:rPr>
          <w:rFonts w:ascii="Times New Roman" w:hAnsi="Times New Roman" w:cs="Times New Roman"/>
          <w:szCs w:val="22"/>
        </w:rPr>
      </w:pPr>
      <w:r w:rsidRPr="00481400">
        <w:rPr>
          <w:rFonts w:ascii="Times New Roman" w:hAnsi="Times New Roman" w:cs="Times New Roman"/>
          <w:szCs w:val="22"/>
        </w:rPr>
        <w:t xml:space="preserve">It was assumed that the fleet distribution will remain unchanged in </w:t>
      </w:r>
      <w:r w:rsidR="00F743A6" w:rsidRPr="00481400">
        <w:rPr>
          <w:rFonts w:ascii="Times New Roman" w:hAnsi="Times New Roman" w:cs="Times New Roman"/>
          <w:szCs w:val="22"/>
        </w:rPr>
        <w:t xml:space="preserve">the </w:t>
      </w:r>
      <w:r w:rsidRPr="00481400">
        <w:rPr>
          <w:rFonts w:ascii="Times New Roman" w:hAnsi="Times New Roman"/>
        </w:rPr>
        <w:t>BAU scenario</w:t>
      </w:r>
      <w:r w:rsidRPr="00481400">
        <w:rPr>
          <w:rFonts w:ascii="Times New Roman" w:hAnsi="Times New Roman" w:cs="Times New Roman"/>
          <w:szCs w:val="22"/>
        </w:rPr>
        <w:t xml:space="preserve">. </w:t>
      </w:r>
    </w:p>
    <w:p w14:paraId="1E04B46D" w14:textId="4D0A3D25" w:rsidR="00CE1AC6" w:rsidRPr="00481400" w:rsidRDefault="00CE1AC6" w:rsidP="002A73C5">
      <w:pPr>
        <w:numPr>
          <w:ilvl w:val="0"/>
          <w:numId w:val="1"/>
        </w:numPr>
        <w:autoSpaceDE w:val="0"/>
        <w:autoSpaceDN w:val="0"/>
        <w:adjustRightInd w:val="0"/>
        <w:spacing w:after="0" w:line="276" w:lineRule="auto"/>
        <w:ind w:left="720" w:hanging="288"/>
        <w:jc w:val="both"/>
        <w:rPr>
          <w:rFonts w:ascii="Times New Roman" w:hAnsi="Times New Roman" w:cs="Times New Roman"/>
          <w:szCs w:val="22"/>
        </w:rPr>
      </w:pPr>
      <w:r w:rsidRPr="00481400">
        <w:rPr>
          <w:rFonts w:ascii="Times New Roman" w:hAnsi="Times New Roman" w:cs="Times New Roman"/>
          <w:szCs w:val="22"/>
        </w:rPr>
        <w:t>The 2</w:t>
      </w:r>
      <w:r w:rsidR="00D066B9" w:rsidRPr="00481400">
        <w:rPr>
          <w:rFonts w:ascii="Times New Roman" w:hAnsi="Times New Roman" w:cs="Times New Roman"/>
          <w:szCs w:val="22"/>
        </w:rPr>
        <w:t>-</w:t>
      </w:r>
      <w:r w:rsidRPr="00481400">
        <w:rPr>
          <w:rFonts w:ascii="Times New Roman" w:hAnsi="Times New Roman" w:cs="Times New Roman"/>
          <w:szCs w:val="22"/>
        </w:rPr>
        <w:t>stroke to 4</w:t>
      </w:r>
      <w:r w:rsidR="00D066B9" w:rsidRPr="00481400">
        <w:rPr>
          <w:rFonts w:ascii="Times New Roman" w:hAnsi="Times New Roman" w:cs="Times New Roman"/>
          <w:szCs w:val="22"/>
        </w:rPr>
        <w:t>-</w:t>
      </w:r>
      <w:r w:rsidRPr="00481400">
        <w:rPr>
          <w:rFonts w:ascii="Times New Roman" w:hAnsi="Times New Roman" w:cs="Times New Roman"/>
          <w:szCs w:val="22"/>
        </w:rPr>
        <w:t>stroke engine ratio</w:t>
      </w:r>
      <w:r w:rsidR="00FD6260" w:rsidRPr="00481400">
        <w:rPr>
          <w:rFonts w:ascii="Times New Roman" w:hAnsi="Times New Roman" w:cs="Times New Roman"/>
          <w:szCs w:val="22"/>
        </w:rPr>
        <w:t xml:space="preserve"> for 2-wheelers</w:t>
      </w:r>
      <w:r w:rsidRPr="00481400">
        <w:rPr>
          <w:rFonts w:ascii="Times New Roman" w:hAnsi="Times New Roman" w:cs="Times New Roman"/>
          <w:szCs w:val="22"/>
        </w:rPr>
        <w:t xml:space="preserve"> for the year 2010 was assumed as 1:4 based on</w:t>
      </w:r>
      <w:r w:rsidR="00F743A6" w:rsidRPr="00481400">
        <w:rPr>
          <w:rFonts w:ascii="Times New Roman" w:hAnsi="Times New Roman" w:cs="Times New Roman"/>
          <w:szCs w:val="22"/>
        </w:rPr>
        <w:t xml:space="preserve"> a</w:t>
      </w:r>
      <w:r w:rsidRPr="00481400">
        <w:rPr>
          <w:rFonts w:ascii="Times New Roman" w:hAnsi="Times New Roman" w:cs="Times New Roman"/>
          <w:szCs w:val="22"/>
        </w:rPr>
        <w:t xml:space="preserve"> parking lot survey carried out in 2015</w:t>
      </w:r>
      <w:r w:rsidR="002157E7" w:rsidRPr="00481400">
        <w:rPr>
          <w:rFonts w:ascii="Times New Roman" w:hAnsi="Times New Roman" w:cs="Times New Roman"/>
          <w:szCs w:val="22"/>
        </w:rPr>
        <w:t xml:space="preserve"> as part of this study</w:t>
      </w:r>
      <w:r w:rsidRPr="00481400">
        <w:rPr>
          <w:rFonts w:ascii="Times New Roman" w:hAnsi="Times New Roman" w:cs="Times New Roman"/>
          <w:szCs w:val="22"/>
        </w:rPr>
        <w:t>. The same survey</w:t>
      </w:r>
      <w:r w:rsidR="00F743A6" w:rsidRPr="00481400">
        <w:rPr>
          <w:rFonts w:ascii="Times New Roman" w:hAnsi="Times New Roman" w:cs="Times New Roman"/>
          <w:szCs w:val="22"/>
        </w:rPr>
        <w:t>,</w:t>
      </w:r>
      <w:r w:rsidRPr="00481400">
        <w:rPr>
          <w:rFonts w:ascii="Times New Roman" w:hAnsi="Times New Roman" w:cs="Times New Roman"/>
          <w:szCs w:val="22"/>
        </w:rPr>
        <w:t xml:space="preserve"> while repeated in 2017</w:t>
      </w:r>
      <w:r w:rsidR="00F743A6" w:rsidRPr="00481400">
        <w:rPr>
          <w:rFonts w:ascii="Times New Roman" w:hAnsi="Times New Roman" w:cs="Times New Roman"/>
          <w:szCs w:val="22"/>
        </w:rPr>
        <w:t>,</w:t>
      </w:r>
      <w:r w:rsidR="00774A64" w:rsidRPr="00481400">
        <w:rPr>
          <w:rFonts w:ascii="Times New Roman" w:hAnsi="Times New Roman" w:cs="Times New Roman"/>
          <w:szCs w:val="22"/>
        </w:rPr>
        <w:t xml:space="preserve"> </w:t>
      </w:r>
      <w:r w:rsidR="00F743A6" w:rsidRPr="00481400">
        <w:rPr>
          <w:rFonts w:ascii="Times New Roman" w:hAnsi="Times New Roman" w:cs="Times New Roman"/>
          <w:szCs w:val="22"/>
        </w:rPr>
        <w:t xml:space="preserve">showed that </w:t>
      </w:r>
      <w:r w:rsidRPr="00481400">
        <w:rPr>
          <w:rFonts w:ascii="Times New Roman" w:hAnsi="Times New Roman" w:cs="Times New Roman"/>
          <w:szCs w:val="22"/>
        </w:rPr>
        <w:t xml:space="preserve">the ratio </w:t>
      </w:r>
      <w:r w:rsidR="00F743A6" w:rsidRPr="00481400">
        <w:rPr>
          <w:rFonts w:ascii="Times New Roman" w:hAnsi="Times New Roman" w:cs="Times New Roman"/>
          <w:szCs w:val="22"/>
        </w:rPr>
        <w:t>had</w:t>
      </w:r>
      <w:r w:rsidRPr="00481400">
        <w:rPr>
          <w:rFonts w:ascii="Times New Roman" w:hAnsi="Times New Roman" w:cs="Times New Roman"/>
          <w:szCs w:val="22"/>
        </w:rPr>
        <w:t xml:space="preserve"> shifted </w:t>
      </w:r>
      <w:r w:rsidR="00F743A6" w:rsidRPr="00481400">
        <w:rPr>
          <w:rFonts w:ascii="Times New Roman" w:hAnsi="Times New Roman" w:cs="Times New Roman"/>
          <w:szCs w:val="22"/>
        </w:rPr>
        <w:t xml:space="preserve">considerably </w:t>
      </w:r>
      <w:r w:rsidR="00D066B9" w:rsidRPr="00481400">
        <w:rPr>
          <w:rFonts w:ascii="Times New Roman" w:hAnsi="Times New Roman" w:cs="Times New Roman"/>
          <w:szCs w:val="22"/>
        </w:rPr>
        <w:t>toward</w:t>
      </w:r>
      <w:r w:rsidRPr="00481400">
        <w:rPr>
          <w:rFonts w:ascii="Times New Roman" w:hAnsi="Times New Roman" w:cs="Times New Roman"/>
          <w:szCs w:val="22"/>
        </w:rPr>
        <w:t xml:space="preserve"> </w:t>
      </w:r>
      <w:r w:rsidR="00F743A6" w:rsidRPr="00481400">
        <w:rPr>
          <w:rFonts w:ascii="Times New Roman" w:hAnsi="Times New Roman" w:cs="Times New Roman"/>
          <w:szCs w:val="22"/>
        </w:rPr>
        <w:t>4-</w:t>
      </w:r>
      <w:r w:rsidRPr="00481400">
        <w:rPr>
          <w:rFonts w:ascii="Times New Roman" w:hAnsi="Times New Roman" w:cs="Times New Roman"/>
          <w:szCs w:val="22"/>
        </w:rPr>
        <w:t>stroke</w:t>
      </w:r>
      <w:r w:rsidR="00F743A6" w:rsidRPr="00481400">
        <w:rPr>
          <w:rFonts w:ascii="Times New Roman" w:hAnsi="Times New Roman" w:cs="Times New Roman"/>
          <w:szCs w:val="22"/>
        </w:rPr>
        <w:t xml:space="preserve"> engines</w:t>
      </w:r>
      <w:r w:rsidRPr="00481400">
        <w:rPr>
          <w:rFonts w:ascii="Times New Roman" w:hAnsi="Times New Roman" w:cs="Times New Roman"/>
          <w:szCs w:val="22"/>
        </w:rPr>
        <w:t>. It was assumed that all 2</w:t>
      </w:r>
      <w:r w:rsidR="00F743A6" w:rsidRPr="00481400">
        <w:rPr>
          <w:rFonts w:ascii="Times New Roman" w:hAnsi="Times New Roman" w:cs="Times New Roman"/>
          <w:szCs w:val="22"/>
        </w:rPr>
        <w:t>-stroke</w:t>
      </w:r>
      <w:r w:rsidR="00774A64" w:rsidRPr="00481400">
        <w:rPr>
          <w:rFonts w:ascii="Times New Roman" w:hAnsi="Times New Roman" w:cs="Times New Roman"/>
          <w:szCs w:val="22"/>
        </w:rPr>
        <w:t xml:space="preserve"> </w:t>
      </w:r>
      <w:r w:rsidR="00F743A6" w:rsidRPr="00481400">
        <w:rPr>
          <w:rFonts w:ascii="Times New Roman" w:hAnsi="Times New Roman" w:cs="Times New Roman"/>
          <w:szCs w:val="22"/>
        </w:rPr>
        <w:t xml:space="preserve">engines </w:t>
      </w:r>
      <w:r w:rsidRPr="00481400">
        <w:rPr>
          <w:rFonts w:ascii="Times New Roman" w:hAnsi="Times New Roman" w:cs="Times New Roman"/>
          <w:szCs w:val="22"/>
        </w:rPr>
        <w:t xml:space="preserve">will be replaced by </w:t>
      </w:r>
      <w:r w:rsidR="00F743A6" w:rsidRPr="00481400">
        <w:rPr>
          <w:rFonts w:ascii="Times New Roman" w:hAnsi="Times New Roman" w:cs="Times New Roman"/>
          <w:szCs w:val="22"/>
        </w:rPr>
        <w:t>4-</w:t>
      </w:r>
      <w:r w:rsidRPr="00481400">
        <w:rPr>
          <w:rFonts w:ascii="Times New Roman" w:hAnsi="Times New Roman" w:cs="Times New Roman"/>
          <w:szCs w:val="22"/>
        </w:rPr>
        <w:t xml:space="preserve">stroke </w:t>
      </w:r>
      <w:r w:rsidR="00F743A6" w:rsidRPr="00481400">
        <w:rPr>
          <w:rFonts w:ascii="Times New Roman" w:hAnsi="Times New Roman" w:cs="Times New Roman"/>
          <w:szCs w:val="22"/>
        </w:rPr>
        <w:t xml:space="preserve">engines </w:t>
      </w:r>
      <w:r w:rsidRPr="00481400">
        <w:rPr>
          <w:rFonts w:ascii="Times New Roman" w:hAnsi="Times New Roman" w:cs="Times New Roman"/>
          <w:szCs w:val="22"/>
        </w:rPr>
        <w:t xml:space="preserve">by 2025. </w:t>
      </w:r>
    </w:p>
    <w:p w14:paraId="358A84C0" w14:textId="1CD88CDC" w:rsidR="00992BF7" w:rsidRPr="00481400" w:rsidRDefault="00CE1AC6" w:rsidP="002A73C5">
      <w:pPr>
        <w:numPr>
          <w:ilvl w:val="0"/>
          <w:numId w:val="1"/>
        </w:numPr>
        <w:autoSpaceDE w:val="0"/>
        <w:autoSpaceDN w:val="0"/>
        <w:adjustRightInd w:val="0"/>
        <w:spacing w:after="0" w:line="276" w:lineRule="auto"/>
        <w:ind w:left="720" w:hanging="288"/>
        <w:jc w:val="both"/>
        <w:rPr>
          <w:rFonts w:ascii="Times New Roman" w:hAnsi="Times New Roman" w:cs="Times New Roman"/>
          <w:szCs w:val="22"/>
        </w:rPr>
      </w:pPr>
      <w:r w:rsidRPr="00481400">
        <w:rPr>
          <w:rFonts w:ascii="Times New Roman" w:hAnsi="Times New Roman" w:cs="Times New Roman"/>
          <w:szCs w:val="22"/>
        </w:rPr>
        <w:t xml:space="preserve">With a proposed shift from </w:t>
      </w:r>
      <w:r w:rsidR="00F743A6" w:rsidRPr="00481400">
        <w:rPr>
          <w:rFonts w:ascii="Times New Roman" w:hAnsi="Times New Roman" w:cs="Times New Roman"/>
          <w:szCs w:val="22"/>
        </w:rPr>
        <w:t xml:space="preserve">diesel </w:t>
      </w:r>
      <w:r w:rsidRPr="00481400">
        <w:rPr>
          <w:rFonts w:ascii="Times New Roman" w:hAnsi="Times New Roman" w:cs="Times New Roman"/>
          <w:szCs w:val="22"/>
        </w:rPr>
        <w:t xml:space="preserve">to CNG, it was assumed that 50% of diesel use for buses will be shifted to </w:t>
      </w:r>
      <w:r w:rsidR="000F2FF6" w:rsidRPr="00481400">
        <w:rPr>
          <w:rFonts w:ascii="Times New Roman" w:hAnsi="Times New Roman" w:cs="Times New Roman"/>
          <w:szCs w:val="22"/>
        </w:rPr>
        <w:t>compressed natural gas (</w:t>
      </w:r>
      <w:r w:rsidRPr="00481400">
        <w:rPr>
          <w:rFonts w:ascii="Times New Roman" w:hAnsi="Times New Roman" w:cs="Times New Roman"/>
          <w:szCs w:val="22"/>
        </w:rPr>
        <w:t>CNG</w:t>
      </w:r>
      <w:r w:rsidR="000F2FF6" w:rsidRPr="00481400">
        <w:rPr>
          <w:rFonts w:ascii="Times New Roman" w:hAnsi="Times New Roman" w:cs="Times New Roman"/>
          <w:szCs w:val="22"/>
        </w:rPr>
        <w:t>)</w:t>
      </w:r>
      <w:r w:rsidRPr="00481400">
        <w:rPr>
          <w:rFonts w:ascii="Times New Roman" w:hAnsi="Times New Roman" w:cs="Times New Roman"/>
          <w:szCs w:val="22"/>
        </w:rPr>
        <w:t xml:space="preserve"> by the end of 2030</w:t>
      </w:r>
      <w:r w:rsidR="00F743A6" w:rsidRPr="00481400">
        <w:rPr>
          <w:rFonts w:ascii="Times New Roman" w:hAnsi="Times New Roman" w:cs="Times New Roman"/>
          <w:szCs w:val="22"/>
        </w:rPr>
        <w:t>,</w:t>
      </w:r>
      <w:r w:rsidRPr="00481400">
        <w:rPr>
          <w:rFonts w:ascii="Times New Roman" w:hAnsi="Times New Roman" w:cs="Times New Roman"/>
          <w:szCs w:val="22"/>
        </w:rPr>
        <w:t xml:space="preserve"> starting from 10% in the year 2020.</w:t>
      </w:r>
    </w:p>
    <w:p w14:paraId="1E139AB6" w14:textId="002C9474" w:rsidR="00992BF7" w:rsidRPr="00AC18ED" w:rsidRDefault="00992BF7" w:rsidP="002A73C5">
      <w:pPr>
        <w:numPr>
          <w:ilvl w:val="0"/>
          <w:numId w:val="1"/>
        </w:numPr>
        <w:autoSpaceDE w:val="0"/>
        <w:autoSpaceDN w:val="0"/>
        <w:adjustRightInd w:val="0"/>
        <w:spacing w:after="0" w:line="276" w:lineRule="auto"/>
        <w:ind w:left="720" w:hanging="288"/>
        <w:jc w:val="both"/>
        <w:rPr>
          <w:rFonts w:ascii="Times New Roman" w:hAnsi="Times New Roman" w:cs="Times New Roman"/>
          <w:szCs w:val="22"/>
        </w:rPr>
      </w:pPr>
      <w:r w:rsidRPr="00AC18ED">
        <w:rPr>
          <w:rFonts w:ascii="Times New Roman" w:hAnsi="Times New Roman" w:cs="Times New Roman"/>
          <w:szCs w:val="22"/>
        </w:rPr>
        <w:t>As per BS-IV norms</w:t>
      </w:r>
      <w:r w:rsidR="00D11FA4">
        <w:rPr>
          <w:rFonts w:ascii="Times New Roman" w:hAnsi="Times New Roman" w:cs="Times New Roman"/>
          <w:szCs w:val="22"/>
        </w:rPr>
        <w:t>,</w:t>
      </w:r>
      <w:r w:rsidRPr="00AC18ED">
        <w:rPr>
          <w:rFonts w:ascii="Times New Roman" w:hAnsi="Times New Roman" w:cs="Times New Roman"/>
          <w:szCs w:val="22"/>
        </w:rPr>
        <w:t xml:space="preserve"> sulfur content in diesel is restricted </w:t>
      </w:r>
      <w:r w:rsidR="00F743A6">
        <w:rPr>
          <w:rFonts w:ascii="Times New Roman" w:hAnsi="Times New Roman" w:cs="Times New Roman"/>
          <w:szCs w:val="22"/>
        </w:rPr>
        <w:t>to</w:t>
      </w:r>
      <w:r w:rsidR="00F743A6" w:rsidRPr="00AC18ED">
        <w:rPr>
          <w:rFonts w:ascii="Times New Roman" w:hAnsi="Times New Roman" w:cs="Times New Roman"/>
          <w:szCs w:val="22"/>
        </w:rPr>
        <w:t xml:space="preserve"> </w:t>
      </w:r>
      <w:r w:rsidRPr="00AC18ED">
        <w:rPr>
          <w:rFonts w:ascii="Times New Roman" w:hAnsi="Times New Roman" w:cs="Times New Roman"/>
          <w:szCs w:val="22"/>
        </w:rPr>
        <w:t xml:space="preserve">50 ppm from 2010. </w:t>
      </w:r>
    </w:p>
    <w:p w14:paraId="7122ED3D" w14:textId="2168C9F4" w:rsidR="00CE1AC6" w:rsidRPr="00AC18ED" w:rsidRDefault="00F743A6" w:rsidP="002A73C5">
      <w:pPr>
        <w:numPr>
          <w:ilvl w:val="0"/>
          <w:numId w:val="1"/>
        </w:numPr>
        <w:autoSpaceDE w:val="0"/>
        <w:autoSpaceDN w:val="0"/>
        <w:adjustRightInd w:val="0"/>
        <w:spacing w:after="0" w:line="276" w:lineRule="auto"/>
        <w:ind w:left="720" w:hanging="288"/>
        <w:jc w:val="both"/>
        <w:rPr>
          <w:rFonts w:ascii="Times New Roman" w:hAnsi="Times New Roman" w:cs="Times New Roman"/>
          <w:szCs w:val="22"/>
        </w:rPr>
      </w:pPr>
      <w:r>
        <w:rPr>
          <w:rFonts w:ascii="Times New Roman" w:hAnsi="Times New Roman" w:cs="Times New Roman"/>
          <w:szCs w:val="22"/>
        </w:rPr>
        <w:t>All</w:t>
      </w:r>
      <w:r w:rsidR="00774A64">
        <w:rPr>
          <w:rFonts w:ascii="Times New Roman" w:hAnsi="Times New Roman" w:cs="Times New Roman"/>
          <w:szCs w:val="22"/>
        </w:rPr>
        <w:t xml:space="preserve"> </w:t>
      </w:r>
      <w:r w:rsidR="00CE1AC6" w:rsidRPr="00AC18ED">
        <w:rPr>
          <w:rFonts w:ascii="Times New Roman" w:hAnsi="Times New Roman" w:cs="Times New Roman"/>
          <w:szCs w:val="22"/>
        </w:rPr>
        <w:t xml:space="preserve">new CNG buses </w:t>
      </w:r>
      <w:r>
        <w:rPr>
          <w:rFonts w:ascii="Times New Roman" w:hAnsi="Times New Roman" w:cs="Times New Roman"/>
          <w:szCs w:val="22"/>
        </w:rPr>
        <w:t>in use</w:t>
      </w:r>
      <w:r w:rsidR="00CE1AC6" w:rsidRPr="00AC18ED">
        <w:rPr>
          <w:rFonts w:ascii="Times New Roman" w:hAnsi="Times New Roman" w:cs="Times New Roman"/>
          <w:szCs w:val="22"/>
        </w:rPr>
        <w:t xml:space="preserve"> from 2020 are assumed to be BS</w:t>
      </w:r>
      <w:r>
        <w:rPr>
          <w:rFonts w:ascii="Times New Roman" w:hAnsi="Times New Roman" w:cs="Times New Roman"/>
          <w:szCs w:val="22"/>
        </w:rPr>
        <w:t>-</w:t>
      </w:r>
      <w:r w:rsidR="002B6ED2" w:rsidRPr="00AC18ED">
        <w:rPr>
          <w:rFonts w:ascii="Times New Roman" w:hAnsi="Times New Roman" w:cs="Times New Roman"/>
          <w:szCs w:val="22"/>
        </w:rPr>
        <w:t>V</w:t>
      </w:r>
      <w:r w:rsidR="00C35D33">
        <w:rPr>
          <w:rFonts w:ascii="Times New Roman" w:hAnsi="Times New Roman" w:cs="Times New Roman"/>
          <w:szCs w:val="22"/>
        </w:rPr>
        <w:t>I</w:t>
      </w:r>
      <w:r w:rsidR="002B6ED2">
        <w:rPr>
          <w:rFonts w:ascii="Times New Roman" w:hAnsi="Times New Roman" w:cs="Times New Roman"/>
          <w:szCs w:val="22"/>
        </w:rPr>
        <w:t>–</w:t>
      </w:r>
      <w:r>
        <w:rPr>
          <w:rFonts w:ascii="Times New Roman" w:hAnsi="Times New Roman" w:cs="Times New Roman"/>
          <w:szCs w:val="22"/>
        </w:rPr>
        <w:t>compliant.</w:t>
      </w:r>
    </w:p>
    <w:p w14:paraId="63F4350B" w14:textId="25751BA5" w:rsidR="00CE1AC6" w:rsidRPr="00AC18ED" w:rsidRDefault="00CE1AC6" w:rsidP="002A73C5">
      <w:pPr>
        <w:numPr>
          <w:ilvl w:val="0"/>
          <w:numId w:val="1"/>
        </w:numPr>
        <w:autoSpaceDE w:val="0"/>
        <w:autoSpaceDN w:val="0"/>
        <w:adjustRightInd w:val="0"/>
        <w:spacing w:after="0" w:line="276" w:lineRule="auto"/>
        <w:ind w:left="720" w:hanging="288"/>
        <w:jc w:val="both"/>
        <w:rPr>
          <w:rFonts w:ascii="Times New Roman" w:hAnsi="Times New Roman" w:cs="Times New Roman"/>
          <w:szCs w:val="22"/>
        </w:rPr>
      </w:pPr>
      <w:r w:rsidRPr="00AC18ED">
        <w:rPr>
          <w:rFonts w:ascii="Times New Roman" w:hAnsi="Times New Roman" w:cs="Times New Roman"/>
          <w:szCs w:val="22"/>
        </w:rPr>
        <w:t xml:space="preserve">The ratio of domestic and international flight </w:t>
      </w:r>
      <w:r w:rsidR="00F743A6">
        <w:rPr>
          <w:rFonts w:ascii="Times New Roman" w:hAnsi="Times New Roman" w:cs="Times New Roman"/>
          <w:szCs w:val="22"/>
        </w:rPr>
        <w:t>at</w:t>
      </w:r>
      <w:r w:rsidR="00F743A6" w:rsidRPr="00AC18ED">
        <w:rPr>
          <w:rFonts w:ascii="Times New Roman" w:hAnsi="Times New Roman" w:cs="Times New Roman"/>
          <w:szCs w:val="22"/>
        </w:rPr>
        <w:t xml:space="preserve"> </w:t>
      </w:r>
      <w:r w:rsidRPr="00AC18ED">
        <w:rPr>
          <w:rFonts w:ascii="Times New Roman" w:hAnsi="Times New Roman" w:cs="Times New Roman"/>
          <w:szCs w:val="22"/>
        </w:rPr>
        <w:t xml:space="preserve">Kolkata airport were projected based on </w:t>
      </w:r>
      <w:r w:rsidR="003B102C">
        <w:rPr>
          <w:rFonts w:ascii="Times New Roman" w:hAnsi="Times New Roman" w:cs="Times New Roman"/>
          <w:szCs w:val="22"/>
        </w:rPr>
        <w:t>AERAI 2012</w:t>
      </w:r>
      <w:r w:rsidRPr="00AC18ED">
        <w:rPr>
          <w:rFonts w:ascii="Times New Roman" w:hAnsi="Times New Roman" w:cs="Times New Roman"/>
          <w:szCs w:val="22"/>
        </w:rPr>
        <w:t>.</w:t>
      </w:r>
    </w:p>
    <w:p w14:paraId="2AA3D8D0" w14:textId="667BDED1" w:rsidR="00CE1AC6" w:rsidRPr="00AC18ED" w:rsidRDefault="00CE1AC6" w:rsidP="002A73C5">
      <w:pPr>
        <w:pStyle w:val="Heading2"/>
        <w:numPr>
          <w:ilvl w:val="1"/>
          <w:numId w:val="11"/>
        </w:numPr>
        <w:spacing w:before="120" w:after="120" w:line="276" w:lineRule="auto"/>
        <w:contextualSpacing/>
        <w:rPr>
          <w:rFonts w:ascii="Times New Roman" w:hAnsi="Times New Roman" w:cs="Times New Roman"/>
          <w:sz w:val="22"/>
          <w:szCs w:val="22"/>
        </w:rPr>
      </w:pPr>
      <w:bookmarkStart w:id="34" w:name="_Toc22630751"/>
      <w:r w:rsidRPr="00AC18ED">
        <w:rPr>
          <w:rFonts w:ascii="Times New Roman" w:hAnsi="Times New Roman" w:cs="Times New Roman"/>
          <w:sz w:val="22"/>
          <w:szCs w:val="22"/>
        </w:rPr>
        <w:t xml:space="preserve">Existing </w:t>
      </w:r>
      <w:r w:rsidR="00F743A6">
        <w:rPr>
          <w:rFonts w:ascii="Times New Roman" w:hAnsi="Times New Roman" w:cs="Times New Roman"/>
          <w:sz w:val="22"/>
          <w:szCs w:val="22"/>
        </w:rPr>
        <w:t>c</w:t>
      </w:r>
      <w:r w:rsidR="00F743A6" w:rsidRPr="00AC18ED">
        <w:rPr>
          <w:rFonts w:ascii="Times New Roman" w:hAnsi="Times New Roman" w:cs="Times New Roman"/>
          <w:sz w:val="22"/>
          <w:szCs w:val="22"/>
        </w:rPr>
        <w:t xml:space="preserve">ontrol </w:t>
      </w:r>
      <w:r w:rsidRPr="00AC18ED">
        <w:rPr>
          <w:rFonts w:ascii="Times New Roman" w:hAnsi="Times New Roman" w:cs="Times New Roman"/>
          <w:sz w:val="22"/>
          <w:szCs w:val="22"/>
        </w:rPr>
        <w:t>strategies and future projection</w:t>
      </w:r>
      <w:bookmarkEnd w:id="34"/>
    </w:p>
    <w:p w14:paraId="6AC17A07" w14:textId="49D23699" w:rsidR="00CE1AC6" w:rsidRPr="00330A33" w:rsidRDefault="00CE1AC6" w:rsidP="002A73C5">
      <w:pPr>
        <w:numPr>
          <w:ilvl w:val="0"/>
          <w:numId w:val="1"/>
        </w:numPr>
        <w:autoSpaceDE w:val="0"/>
        <w:autoSpaceDN w:val="0"/>
        <w:adjustRightInd w:val="0"/>
        <w:spacing w:after="0" w:line="276" w:lineRule="auto"/>
        <w:ind w:left="720" w:hanging="283"/>
        <w:jc w:val="both"/>
        <w:rPr>
          <w:rFonts w:ascii="Times New Roman" w:hAnsi="Times New Roman" w:cs="Times New Roman"/>
          <w:szCs w:val="22"/>
        </w:rPr>
      </w:pPr>
      <w:r w:rsidRPr="00330A33">
        <w:rPr>
          <w:rFonts w:ascii="Times New Roman" w:hAnsi="Times New Roman" w:cs="Times New Roman"/>
          <w:szCs w:val="22"/>
        </w:rPr>
        <w:t xml:space="preserve">ESP efficiency </w:t>
      </w:r>
      <w:r w:rsidR="00AF3B5C">
        <w:rPr>
          <w:rFonts w:ascii="Times New Roman" w:hAnsi="Times New Roman" w:cs="Times New Roman"/>
          <w:szCs w:val="22"/>
        </w:rPr>
        <w:t>in power plants were</w:t>
      </w:r>
      <w:r w:rsidR="00F743A6" w:rsidRPr="00330A33">
        <w:rPr>
          <w:rFonts w:ascii="Times New Roman" w:hAnsi="Times New Roman" w:cs="Times New Roman"/>
          <w:szCs w:val="22"/>
        </w:rPr>
        <w:t xml:space="preserve"> </w:t>
      </w:r>
      <w:r w:rsidRPr="00330A33">
        <w:rPr>
          <w:rFonts w:ascii="Times New Roman" w:hAnsi="Times New Roman" w:cs="Times New Roman"/>
          <w:szCs w:val="22"/>
        </w:rPr>
        <w:t>reported to be 99.4</w:t>
      </w:r>
      <w:r w:rsidR="00F743A6" w:rsidRPr="00330A33">
        <w:rPr>
          <w:rFonts w:ascii="Times New Roman" w:hAnsi="Times New Roman" w:cs="Times New Roman"/>
          <w:szCs w:val="22"/>
        </w:rPr>
        <w:t>–</w:t>
      </w:r>
      <w:r w:rsidRPr="00330A33">
        <w:rPr>
          <w:rFonts w:ascii="Times New Roman" w:hAnsi="Times New Roman" w:cs="Times New Roman"/>
          <w:szCs w:val="22"/>
        </w:rPr>
        <w:t xml:space="preserve"> 99.9% with an average of 99.6%</w:t>
      </w:r>
      <w:r w:rsidR="000F2FF6" w:rsidRPr="00330A33">
        <w:rPr>
          <w:rFonts w:ascii="Times New Roman" w:hAnsi="Times New Roman" w:cs="Times New Roman"/>
          <w:szCs w:val="22"/>
        </w:rPr>
        <w:t xml:space="preserve"> </w:t>
      </w:r>
      <w:r w:rsidR="002157E7" w:rsidRPr="002A73C5">
        <w:rPr>
          <w:rFonts w:ascii="Times New Roman" w:hAnsi="Times New Roman" w:cs="Times New Roman"/>
          <w:szCs w:val="22"/>
        </w:rPr>
        <w:t>as per official communication with individual power plants</w:t>
      </w:r>
      <w:r w:rsidRPr="00330A33">
        <w:rPr>
          <w:rFonts w:ascii="Times New Roman" w:hAnsi="Times New Roman" w:cs="Times New Roman"/>
          <w:szCs w:val="22"/>
        </w:rPr>
        <w:t>.</w:t>
      </w:r>
      <w:r w:rsidR="00774A64" w:rsidRPr="00330A33">
        <w:rPr>
          <w:rFonts w:ascii="Times New Roman" w:hAnsi="Times New Roman" w:cs="Times New Roman"/>
          <w:szCs w:val="22"/>
        </w:rPr>
        <w:t xml:space="preserve"> </w:t>
      </w:r>
      <w:r w:rsidRPr="00330A33">
        <w:rPr>
          <w:rFonts w:ascii="Times New Roman" w:hAnsi="Times New Roman" w:cs="Times New Roman"/>
          <w:szCs w:val="22"/>
        </w:rPr>
        <w:t>It is assumed that all power plants were under ESP-II control in 2010</w:t>
      </w:r>
      <w:r w:rsidR="00F743A6" w:rsidRPr="00330A33">
        <w:rPr>
          <w:rFonts w:ascii="Times New Roman" w:hAnsi="Times New Roman" w:cs="Times New Roman"/>
          <w:szCs w:val="22"/>
        </w:rPr>
        <w:t>–</w:t>
      </w:r>
      <w:r w:rsidRPr="00330A33">
        <w:rPr>
          <w:rFonts w:ascii="Times New Roman" w:hAnsi="Times New Roman" w:cs="Times New Roman"/>
          <w:szCs w:val="22"/>
        </w:rPr>
        <w:t>2030.</w:t>
      </w:r>
    </w:p>
    <w:p w14:paraId="1B734FE9" w14:textId="2AD3BEDF" w:rsidR="00CE1AC6" w:rsidRPr="00330A33" w:rsidRDefault="00F743A6" w:rsidP="002A73C5">
      <w:pPr>
        <w:numPr>
          <w:ilvl w:val="0"/>
          <w:numId w:val="1"/>
        </w:numPr>
        <w:autoSpaceDE w:val="0"/>
        <w:autoSpaceDN w:val="0"/>
        <w:adjustRightInd w:val="0"/>
        <w:spacing w:after="0" w:line="276" w:lineRule="auto"/>
        <w:ind w:left="720" w:hanging="283"/>
        <w:jc w:val="both"/>
        <w:rPr>
          <w:rFonts w:ascii="Times New Roman" w:hAnsi="Times New Roman" w:cs="Times New Roman"/>
          <w:szCs w:val="22"/>
        </w:rPr>
      </w:pPr>
      <w:r w:rsidRPr="00330A33">
        <w:rPr>
          <w:rFonts w:ascii="Times New Roman" w:hAnsi="Times New Roman" w:cs="Times New Roman"/>
          <w:szCs w:val="22"/>
        </w:rPr>
        <w:t xml:space="preserve">It is proposed that existing </w:t>
      </w:r>
      <w:r w:rsidR="00CE1AC6" w:rsidRPr="00330A33">
        <w:rPr>
          <w:rFonts w:ascii="Times New Roman" w:hAnsi="Times New Roman" w:cs="Times New Roman"/>
          <w:szCs w:val="22"/>
        </w:rPr>
        <w:t xml:space="preserve">power plants </w:t>
      </w:r>
      <w:r w:rsidRPr="00330A33">
        <w:rPr>
          <w:rFonts w:ascii="Times New Roman" w:hAnsi="Times New Roman" w:cs="Times New Roman"/>
          <w:szCs w:val="22"/>
        </w:rPr>
        <w:t>should</w:t>
      </w:r>
      <w:r w:rsidR="00CE1AC6" w:rsidRPr="00330A33">
        <w:rPr>
          <w:rFonts w:ascii="Times New Roman" w:hAnsi="Times New Roman" w:cs="Times New Roman"/>
          <w:szCs w:val="22"/>
        </w:rPr>
        <w:t xml:space="preserve"> be fitted with </w:t>
      </w:r>
      <w:r w:rsidR="000F2FF6" w:rsidRPr="00330A33">
        <w:rPr>
          <w:rFonts w:ascii="Times New Roman" w:hAnsi="Times New Roman" w:cs="Times New Roman"/>
          <w:szCs w:val="22"/>
        </w:rPr>
        <w:t>flue gas desulphurization (</w:t>
      </w:r>
      <w:r w:rsidR="00CE1AC6" w:rsidRPr="00330A33">
        <w:rPr>
          <w:rFonts w:ascii="Times New Roman" w:hAnsi="Times New Roman" w:cs="Times New Roman"/>
          <w:szCs w:val="22"/>
        </w:rPr>
        <w:t>FGD</w:t>
      </w:r>
      <w:r w:rsidR="000F2FF6" w:rsidRPr="00330A33">
        <w:rPr>
          <w:rFonts w:ascii="Times New Roman" w:hAnsi="Times New Roman" w:cs="Times New Roman"/>
          <w:szCs w:val="22"/>
        </w:rPr>
        <w:t>)</w:t>
      </w:r>
      <w:r w:rsidR="00CE1AC6" w:rsidRPr="00330A33">
        <w:rPr>
          <w:rFonts w:ascii="Times New Roman" w:hAnsi="Times New Roman" w:cs="Times New Roman"/>
          <w:szCs w:val="22"/>
        </w:rPr>
        <w:t xml:space="preserve"> units within next few years owing to stricter emission norms for control of SO</w:t>
      </w:r>
      <w:r w:rsidR="00CE1AC6" w:rsidRPr="00330A33">
        <w:rPr>
          <w:rFonts w:ascii="Times New Roman" w:hAnsi="Times New Roman" w:cs="Times New Roman"/>
          <w:szCs w:val="22"/>
          <w:vertAlign w:val="subscript"/>
        </w:rPr>
        <w:t>2</w:t>
      </w:r>
      <w:r w:rsidR="00CE1AC6" w:rsidRPr="00330A33">
        <w:rPr>
          <w:rFonts w:ascii="Times New Roman" w:hAnsi="Times New Roman" w:cs="Times New Roman"/>
          <w:szCs w:val="22"/>
        </w:rPr>
        <w:t xml:space="preserve"> emission. As </w:t>
      </w:r>
      <w:r w:rsidRPr="00330A33">
        <w:rPr>
          <w:rFonts w:ascii="Times New Roman" w:hAnsi="Times New Roman" w:cs="Times New Roman"/>
          <w:szCs w:val="22"/>
        </w:rPr>
        <w:t xml:space="preserve">no </w:t>
      </w:r>
      <w:r w:rsidR="00CE1AC6" w:rsidRPr="00330A33">
        <w:rPr>
          <w:rFonts w:ascii="Times New Roman" w:hAnsi="Times New Roman" w:cs="Times New Roman"/>
          <w:szCs w:val="22"/>
        </w:rPr>
        <w:t xml:space="preserve">FGDs </w:t>
      </w:r>
      <w:r w:rsidRPr="00330A33">
        <w:rPr>
          <w:rFonts w:ascii="Times New Roman" w:hAnsi="Times New Roman" w:cs="Times New Roman"/>
          <w:szCs w:val="22"/>
        </w:rPr>
        <w:t>have yet been</w:t>
      </w:r>
      <w:r w:rsidR="00CE1AC6" w:rsidRPr="00330A33">
        <w:rPr>
          <w:rFonts w:ascii="Times New Roman" w:hAnsi="Times New Roman" w:cs="Times New Roman"/>
          <w:szCs w:val="22"/>
        </w:rPr>
        <w:t xml:space="preserve"> fitted</w:t>
      </w:r>
      <w:r w:rsidR="00D11FA4" w:rsidRPr="00330A33">
        <w:rPr>
          <w:rFonts w:ascii="Times New Roman" w:hAnsi="Times New Roman" w:cs="Times New Roman"/>
          <w:szCs w:val="22"/>
        </w:rPr>
        <w:t>,</w:t>
      </w:r>
      <w:r w:rsidR="00CE1AC6" w:rsidRPr="00330A33">
        <w:rPr>
          <w:rFonts w:ascii="Times New Roman" w:hAnsi="Times New Roman" w:cs="Times New Roman"/>
          <w:szCs w:val="22"/>
        </w:rPr>
        <w:t xml:space="preserve"> no control of SO</w:t>
      </w:r>
      <w:r w:rsidR="00CE1AC6" w:rsidRPr="00330A33">
        <w:rPr>
          <w:rFonts w:ascii="Times New Roman" w:hAnsi="Times New Roman" w:cs="Times New Roman"/>
          <w:szCs w:val="22"/>
          <w:vertAlign w:val="subscript"/>
        </w:rPr>
        <w:t>2</w:t>
      </w:r>
      <w:r w:rsidR="00CE1AC6" w:rsidRPr="00330A33">
        <w:rPr>
          <w:rFonts w:ascii="Times New Roman" w:hAnsi="Times New Roman" w:cs="Times New Roman"/>
          <w:szCs w:val="22"/>
        </w:rPr>
        <w:t xml:space="preserve"> </w:t>
      </w:r>
      <w:r w:rsidRPr="00330A33">
        <w:rPr>
          <w:rFonts w:ascii="Times New Roman" w:hAnsi="Times New Roman" w:cs="Times New Roman"/>
          <w:szCs w:val="22"/>
        </w:rPr>
        <w:t>is assumed</w:t>
      </w:r>
      <w:r w:rsidRPr="00330A33" w:rsidDel="00F743A6">
        <w:rPr>
          <w:rFonts w:ascii="Times New Roman" w:hAnsi="Times New Roman" w:cs="Times New Roman"/>
          <w:szCs w:val="22"/>
        </w:rPr>
        <w:t xml:space="preserve"> </w:t>
      </w:r>
      <w:r w:rsidRPr="00330A33">
        <w:rPr>
          <w:rFonts w:ascii="Times New Roman" w:hAnsi="Times New Roman" w:cs="Times New Roman"/>
          <w:szCs w:val="22"/>
        </w:rPr>
        <w:t>until</w:t>
      </w:r>
      <w:r w:rsidR="00774A64" w:rsidRPr="00330A33">
        <w:rPr>
          <w:rFonts w:ascii="Times New Roman" w:hAnsi="Times New Roman" w:cs="Times New Roman"/>
          <w:szCs w:val="22"/>
        </w:rPr>
        <w:t xml:space="preserve"> </w:t>
      </w:r>
      <w:r w:rsidR="00CE1AC6" w:rsidRPr="00330A33">
        <w:rPr>
          <w:rFonts w:ascii="Times New Roman" w:hAnsi="Times New Roman" w:cs="Times New Roman"/>
          <w:szCs w:val="22"/>
        </w:rPr>
        <w:t xml:space="preserve">2015. </w:t>
      </w:r>
      <w:r w:rsidRPr="00330A33">
        <w:rPr>
          <w:rFonts w:ascii="Times New Roman" w:hAnsi="Times New Roman" w:cs="Times New Roman"/>
          <w:szCs w:val="22"/>
        </w:rPr>
        <w:t xml:space="preserve">It is assumed that </w:t>
      </w:r>
      <w:r w:rsidR="00CE1AC6" w:rsidRPr="00330A33">
        <w:rPr>
          <w:rFonts w:ascii="Times New Roman" w:hAnsi="Times New Roman" w:cs="Times New Roman"/>
          <w:szCs w:val="22"/>
        </w:rPr>
        <w:t xml:space="preserve">50% </w:t>
      </w:r>
      <w:r w:rsidRPr="00330A33">
        <w:rPr>
          <w:rFonts w:ascii="Times New Roman" w:hAnsi="Times New Roman" w:cs="Times New Roman"/>
          <w:szCs w:val="22"/>
        </w:rPr>
        <w:t xml:space="preserve">of </w:t>
      </w:r>
      <w:r w:rsidR="00CE1AC6" w:rsidRPr="00330A33">
        <w:rPr>
          <w:rFonts w:ascii="Times New Roman" w:hAnsi="Times New Roman" w:cs="Times New Roman"/>
          <w:szCs w:val="22"/>
        </w:rPr>
        <w:t>emission</w:t>
      </w:r>
      <w:r w:rsidRPr="00330A33">
        <w:rPr>
          <w:rFonts w:ascii="Times New Roman" w:hAnsi="Times New Roman" w:cs="Times New Roman"/>
          <w:szCs w:val="22"/>
        </w:rPr>
        <w:t>s will be</w:t>
      </w:r>
      <w:r w:rsidR="00774A64" w:rsidRPr="00330A33">
        <w:rPr>
          <w:rFonts w:ascii="Times New Roman" w:hAnsi="Times New Roman" w:cs="Times New Roman"/>
          <w:szCs w:val="22"/>
        </w:rPr>
        <w:t xml:space="preserve"> </w:t>
      </w:r>
      <w:r w:rsidRPr="00330A33">
        <w:rPr>
          <w:rFonts w:ascii="Times New Roman" w:hAnsi="Times New Roman" w:cs="Times New Roman"/>
          <w:szCs w:val="22"/>
        </w:rPr>
        <w:t xml:space="preserve">subject to </w:t>
      </w:r>
      <w:r w:rsidR="00CE1AC6" w:rsidRPr="00330A33">
        <w:rPr>
          <w:rFonts w:ascii="Times New Roman" w:hAnsi="Times New Roman" w:cs="Times New Roman"/>
          <w:szCs w:val="22"/>
        </w:rPr>
        <w:t xml:space="preserve">FGD </w:t>
      </w:r>
      <w:r w:rsidR="00D11FA4" w:rsidRPr="00330A33">
        <w:rPr>
          <w:rFonts w:ascii="Times New Roman" w:hAnsi="Times New Roman" w:cs="Times New Roman"/>
          <w:szCs w:val="22"/>
        </w:rPr>
        <w:t xml:space="preserve">unit </w:t>
      </w:r>
      <w:r w:rsidR="00CE1AC6" w:rsidRPr="00330A33">
        <w:rPr>
          <w:rFonts w:ascii="Times New Roman" w:hAnsi="Times New Roman" w:cs="Times New Roman"/>
          <w:szCs w:val="22"/>
        </w:rPr>
        <w:t xml:space="preserve">control by 2020 and 100% by 2025. </w:t>
      </w:r>
    </w:p>
    <w:p w14:paraId="31CD70AB" w14:textId="208573A9" w:rsidR="00CE1AC6" w:rsidRPr="00330A33" w:rsidRDefault="00CE1AC6" w:rsidP="002A73C5">
      <w:pPr>
        <w:numPr>
          <w:ilvl w:val="0"/>
          <w:numId w:val="1"/>
        </w:numPr>
        <w:autoSpaceDE w:val="0"/>
        <w:autoSpaceDN w:val="0"/>
        <w:adjustRightInd w:val="0"/>
        <w:spacing w:after="0" w:line="276" w:lineRule="auto"/>
        <w:ind w:left="720" w:hanging="283"/>
        <w:jc w:val="both"/>
        <w:rPr>
          <w:rFonts w:ascii="Times New Roman" w:hAnsi="Times New Roman" w:cs="Times New Roman"/>
          <w:szCs w:val="22"/>
        </w:rPr>
      </w:pPr>
      <w:r w:rsidRPr="00330A33">
        <w:rPr>
          <w:rFonts w:ascii="Times New Roman" w:hAnsi="Times New Roman" w:cs="Times New Roman"/>
          <w:szCs w:val="22"/>
        </w:rPr>
        <w:t>WBPCB has</w:t>
      </w:r>
      <w:r w:rsidR="002B3A90" w:rsidRPr="00330A33">
        <w:rPr>
          <w:rFonts w:ascii="Times New Roman" w:hAnsi="Times New Roman" w:cs="Times New Roman"/>
          <w:szCs w:val="22"/>
        </w:rPr>
        <w:t xml:space="preserve"> proposed</w:t>
      </w:r>
      <w:r w:rsidR="00F7557A" w:rsidRPr="00330A33">
        <w:rPr>
          <w:rFonts w:ascii="Times New Roman" w:hAnsi="Times New Roman" w:cs="Times New Roman"/>
          <w:szCs w:val="22"/>
        </w:rPr>
        <w:t xml:space="preserve"> a </w:t>
      </w:r>
      <w:r w:rsidR="00D45625">
        <w:rPr>
          <w:rFonts w:ascii="Times New Roman" w:hAnsi="Times New Roman" w:cs="Times New Roman"/>
          <w:szCs w:val="22"/>
        </w:rPr>
        <w:t>control</w:t>
      </w:r>
      <w:r w:rsidR="00D45625" w:rsidRPr="00330A33">
        <w:rPr>
          <w:rFonts w:ascii="Times New Roman" w:hAnsi="Times New Roman" w:cs="Times New Roman"/>
          <w:szCs w:val="22"/>
        </w:rPr>
        <w:t xml:space="preserve"> </w:t>
      </w:r>
      <w:r w:rsidR="00F7557A" w:rsidRPr="00330A33">
        <w:rPr>
          <w:rFonts w:ascii="Times New Roman" w:hAnsi="Times New Roman" w:cs="Times New Roman"/>
          <w:szCs w:val="22"/>
        </w:rPr>
        <w:t>on the</w:t>
      </w:r>
      <w:r w:rsidR="00774A64" w:rsidRPr="00330A33">
        <w:rPr>
          <w:rFonts w:ascii="Times New Roman" w:hAnsi="Times New Roman" w:cs="Times New Roman"/>
          <w:szCs w:val="22"/>
        </w:rPr>
        <w:t xml:space="preserve"> </w:t>
      </w:r>
      <w:r w:rsidR="00F7557A" w:rsidRPr="00330A33">
        <w:rPr>
          <w:rFonts w:ascii="Times New Roman" w:hAnsi="Times New Roman" w:cs="Times New Roman"/>
          <w:szCs w:val="22"/>
        </w:rPr>
        <w:t xml:space="preserve">use </w:t>
      </w:r>
      <w:r w:rsidRPr="00330A33">
        <w:rPr>
          <w:rFonts w:ascii="Times New Roman" w:hAnsi="Times New Roman" w:cs="Times New Roman"/>
          <w:szCs w:val="22"/>
        </w:rPr>
        <w:t xml:space="preserve">of firewood in </w:t>
      </w:r>
      <w:r w:rsidR="00F7557A" w:rsidRPr="00330A33">
        <w:rPr>
          <w:rFonts w:ascii="Times New Roman" w:hAnsi="Times New Roman" w:cs="Times New Roman"/>
          <w:szCs w:val="22"/>
        </w:rPr>
        <w:t xml:space="preserve">bakeries </w:t>
      </w:r>
      <w:r w:rsidRPr="00330A33">
        <w:rPr>
          <w:rFonts w:ascii="Times New Roman" w:hAnsi="Times New Roman" w:cs="Times New Roman"/>
          <w:szCs w:val="22"/>
        </w:rPr>
        <w:t xml:space="preserve">within </w:t>
      </w:r>
      <w:r w:rsidR="00F7557A" w:rsidRPr="00330A33">
        <w:rPr>
          <w:rFonts w:ascii="Times New Roman" w:hAnsi="Times New Roman" w:cs="Times New Roman"/>
          <w:szCs w:val="22"/>
        </w:rPr>
        <w:t xml:space="preserve">the </w:t>
      </w:r>
      <w:r w:rsidR="00A7166F" w:rsidRPr="00330A33">
        <w:rPr>
          <w:rFonts w:ascii="Times New Roman" w:hAnsi="Times New Roman" w:cs="Times New Roman"/>
          <w:szCs w:val="22"/>
        </w:rPr>
        <w:t>KMC</w:t>
      </w:r>
      <w:r w:rsidRPr="00330A33">
        <w:rPr>
          <w:rFonts w:ascii="Times New Roman" w:hAnsi="Times New Roman" w:cs="Times New Roman"/>
          <w:szCs w:val="22"/>
        </w:rPr>
        <w:t xml:space="preserve">. </w:t>
      </w:r>
      <w:r w:rsidR="00F7557A" w:rsidRPr="00330A33">
        <w:rPr>
          <w:rFonts w:ascii="Times New Roman" w:hAnsi="Times New Roman" w:cs="Times New Roman"/>
          <w:szCs w:val="22"/>
        </w:rPr>
        <w:t>This was also</w:t>
      </w:r>
      <w:r w:rsidR="00774A64" w:rsidRPr="00330A33">
        <w:rPr>
          <w:rFonts w:ascii="Times New Roman" w:hAnsi="Times New Roman" w:cs="Times New Roman"/>
          <w:szCs w:val="22"/>
        </w:rPr>
        <w:t xml:space="preserve"> </w:t>
      </w:r>
      <w:r w:rsidR="00F7557A" w:rsidRPr="00330A33">
        <w:rPr>
          <w:rFonts w:ascii="Times New Roman" w:hAnsi="Times New Roman" w:cs="Times New Roman"/>
          <w:szCs w:val="22"/>
        </w:rPr>
        <w:t xml:space="preserve">taken into account in the </w:t>
      </w:r>
      <w:r w:rsidRPr="00330A33">
        <w:rPr>
          <w:rFonts w:ascii="Times New Roman" w:hAnsi="Times New Roman" w:cs="Times New Roman"/>
          <w:szCs w:val="22"/>
        </w:rPr>
        <w:t>projection</w:t>
      </w:r>
      <w:r w:rsidR="00F7557A" w:rsidRPr="00330A33">
        <w:rPr>
          <w:rFonts w:ascii="Times New Roman" w:hAnsi="Times New Roman" w:cs="Times New Roman"/>
          <w:szCs w:val="22"/>
        </w:rPr>
        <w:t>s for the</w:t>
      </w:r>
      <w:r w:rsidR="00774A64" w:rsidRPr="00330A33">
        <w:rPr>
          <w:rFonts w:ascii="Times New Roman" w:hAnsi="Times New Roman" w:cs="Times New Roman"/>
          <w:szCs w:val="22"/>
        </w:rPr>
        <w:t xml:space="preserve"> </w:t>
      </w:r>
      <w:r w:rsidR="00F7557A" w:rsidRPr="00330A33">
        <w:rPr>
          <w:rFonts w:ascii="Times New Roman" w:hAnsi="Times New Roman" w:cs="Times New Roman"/>
          <w:szCs w:val="22"/>
        </w:rPr>
        <w:t xml:space="preserve">domestic </w:t>
      </w:r>
      <w:r w:rsidRPr="00330A33">
        <w:rPr>
          <w:rFonts w:ascii="Times New Roman" w:hAnsi="Times New Roman" w:cs="Times New Roman"/>
          <w:szCs w:val="22"/>
        </w:rPr>
        <w:t xml:space="preserve">commercial sector </w:t>
      </w:r>
      <w:r w:rsidR="00F7557A" w:rsidRPr="00330A33">
        <w:rPr>
          <w:rFonts w:ascii="Times New Roman" w:hAnsi="Times New Roman" w:cs="Times New Roman"/>
          <w:szCs w:val="22"/>
        </w:rPr>
        <w:t xml:space="preserve">from </w:t>
      </w:r>
      <w:r w:rsidRPr="00330A33">
        <w:rPr>
          <w:rFonts w:ascii="Times New Roman" w:hAnsi="Times New Roman" w:cs="Times New Roman"/>
          <w:szCs w:val="22"/>
        </w:rPr>
        <w:t>2020 onward.</w:t>
      </w:r>
    </w:p>
    <w:p w14:paraId="31680D7D" w14:textId="6432D13A" w:rsidR="00CE1AC6" w:rsidRPr="00330A33" w:rsidRDefault="00CE1AC6" w:rsidP="002A73C5">
      <w:pPr>
        <w:numPr>
          <w:ilvl w:val="0"/>
          <w:numId w:val="1"/>
        </w:numPr>
        <w:autoSpaceDE w:val="0"/>
        <w:autoSpaceDN w:val="0"/>
        <w:adjustRightInd w:val="0"/>
        <w:spacing w:after="0" w:line="276" w:lineRule="auto"/>
        <w:ind w:left="720" w:hanging="283"/>
        <w:jc w:val="both"/>
        <w:rPr>
          <w:rFonts w:ascii="Times New Roman" w:hAnsi="Times New Roman" w:cs="Times New Roman"/>
          <w:szCs w:val="22"/>
        </w:rPr>
      </w:pPr>
      <w:r w:rsidRPr="00330A33">
        <w:rPr>
          <w:rFonts w:ascii="Times New Roman" w:hAnsi="Times New Roman" w:cs="Times New Roman"/>
          <w:szCs w:val="22"/>
        </w:rPr>
        <w:t xml:space="preserve">In </w:t>
      </w:r>
      <w:r w:rsidR="00F7557A" w:rsidRPr="00330A33">
        <w:rPr>
          <w:rFonts w:ascii="Times New Roman" w:hAnsi="Times New Roman" w:cs="Times New Roman"/>
          <w:szCs w:val="22"/>
        </w:rPr>
        <w:t xml:space="preserve">the industrial </w:t>
      </w:r>
      <w:r w:rsidRPr="00330A33">
        <w:rPr>
          <w:rFonts w:ascii="Times New Roman" w:hAnsi="Times New Roman" w:cs="Times New Roman"/>
          <w:szCs w:val="22"/>
        </w:rPr>
        <w:t>sector</w:t>
      </w:r>
      <w:r w:rsidR="00F7557A" w:rsidRPr="00330A33">
        <w:rPr>
          <w:rFonts w:ascii="Times New Roman" w:hAnsi="Times New Roman" w:cs="Times New Roman"/>
          <w:szCs w:val="22"/>
        </w:rPr>
        <w:t>,</w:t>
      </w:r>
      <w:r w:rsidR="00774A64" w:rsidRPr="00330A33">
        <w:rPr>
          <w:rFonts w:ascii="Times New Roman" w:hAnsi="Times New Roman" w:cs="Times New Roman"/>
          <w:szCs w:val="22"/>
        </w:rPr>
        <w:t xml:space="preserve"> </w:t>
      </w:r>
      <w:r w:rsidRPr="00330A33">
        <w:rPr>
          <w:rFonts w:ascii="Times New Roman" w:hAnsi="Times New Roman" w:cs="Times New Roman"/>
          <w:szCs w:val="22"/>
        </w:rPr>
        <w:t xml:space="preserve">proper documentation on </w:t>
      </w:r>
      <w:r w:rsidR="00F7557A" w:rsidRPr="00330A33">
        <w:rPr>
          <w:rFonts w:ascii="Times New Roman" w:hAnsi="Times New Roman" w:cs="Times New Roman"/>
          <w:szCs w:val="22"/>
        </w:rPr>
        <w:t xml:space="preserve">control </w:t>
      </w:r>
      <w:r w:rsidRPr="00330A33">
        <w:rPr>
          <w:rFonts w:ascii="Times New Roman" w:hAnsi="Times New Roman" w:cs="Times New Roman"/>
          <w:szCs w:val="22"/>
        </w:rPr>
        <w:t xml:space="preserve">strategies could not </w:t>
      </w:r>
      <w:r w:rsidR="00D11FA4" w:rsidRPr="00330A33">
        <w:rPr>
          <w:rFonts w:ascii="Times New Roman" w:hAnsi="Times New Roman" w:cs="Times New Roman"/>
          <w:szCs w:val="22"/>
        </w:rPr>
        <w:t>be</w:t>
      </w:r>
      <w:r w:rsidR="00774A64" w:rsidRPr="00330A33">
        <w:rPr>
          <w:rFonts w:ascii="Times New Roman" w:hAnsi="Times New Roman" w:cs="Times New Roman"/>
          <w:szCs w:val="22"/>
        </w:rPr>
        <w:t xml:space="preserve"> </w:t>
      </w:r>
      <w:r w:rsidRPr="00330A33">
        <w:rPr>
          <w:rFonts w:ascii="Times New Roman" w:hAnsi="Times New Roman" w:cs="Times New Roman"/>
          <w:szCs w:val="22"/>
        </w:rPr>
        <w:t xml:space="preserve">obtained. It </w:t>
      </w:r>
      <w:r w:rsidR="00F7557A" w:rsidRPr="00330A33">
        <w:rPr>
          <w:rFonts w:ascii="Times New Roman" w:hAnsi="Times New Roman" w:cs="Times New Roman"/>
          <w:szCs w:val="22"/>
        </w:rPr>
        <w:t xml:space="preserve">has thus been </w:t>
      </w:r>
      <w:r w:rsidRPr="00330A33">
        <w:rPr>
          <w:rFonts w:ascii="Times New Roman" w:hAnsi="Times New Roman" w:cs="Times New Roman"/>
          <w:szCs w:val="22"/>
        </w:rPr>
        <w:t xml:space="preserve">assumed that </w:t>
      </w:r>
    </w:p>
    <w:p w14:paraId="3F2891AD" w14:textId="77777777" w:rsidR="000F2FF6" w:rsidRPr="00330A33" w:rsidRDefault="00CE1AC6" w:rsidP="002A73C5">
      <w:pPr>
        <w:numPr>
          <w:ilvl w:val="1"/>
          <w:numId w:val="15"/>
        </w:numPr>
        <w:autoSpaceDE w:val="0"/>
        <w:autoSpaceDN w:val="0"/>
        <w:adjustRightInd w:val="0"/>
        <w:spacing w:after="0" w:line="276" w:lineRule="auto"/>
        <w:jc w:val="both"/>
        <w:rPr>
          <w:rFonts w:ascii="Times New Roman" w:hAnsi="Times New Roman" w:cs="Times New Roman"/>
          <w:szCs w:val="22"/>
        </w:rPr>
      </w:pPr>
      <w:r w:rsidRPr="00330A33">
        <w:rPr>
          <w:rFonts w:ascii="Times New Roman" w:hAnsi="Times New Roman" w:cs="Times New Roman"/>
          <w:szCs w:val="22"/>
        </w:rPr>
        <w:t>10% of PM emission</w:t>
      </w:r>
      <w:r w:rsidR="00F7557A" w:rsidRPr="00330A33">
        <w:rPr>
          <w:rFonts w:ascii="Times New Roman" w:hAnsi="Times New Roman" w:cs="Times New Roman"/>
          <w:szCs w:val="22"/>
        </w:rPr>
        <w:t>s</w:t>
      </w:r>
      <w:r w:rsidR="00774A64" w:rsidRPr="00330A33">
        <w:rPr>
          <w:rFonts w:ascii="Times New Roman" w:hAnsi="Times New Roman" w:cs="Times New Roman"/>
          <w:szCs w:val="22"/>
        </w:rPr>
        <w:t xml:space="preserve"> </w:t>
      </w:r>
      <w:r w:rsidR="00F7557A" w:rsidRPr="00330A33">
        <w:rPr>
          <w:rFonts w:ascii="Times New Roman" w:hAnsi="Times New Roman" w:cs="Times New Roman"/>
          <w:szCs w:val="22"/>
        </w:rPr>
        <w:t xml:space="preserve">are </w:t>
      </w:r>
      <w:r w:rsidRPr="00330A33">
        <w:rPr>
          <w:rFonts w:ascii="Times New Roman" w:hAnsi="Times New Roman" w:cs="Times New Roman"/>
          <w:szCs w:val="22"/>
        </w:rPr>
        <w:t>controlled by bag filter in each industrial sector</w:t>
      </w:r>
      <w:r w:rsidR="00774A64" w:rsidRPr="00330A33">
        <w:rPr>
          <w:rFonts w:ascii="Times New Roman" w:hAnsi="Times New Roman" w:cs="Times New Roman"/>
          <w:szCs w:val="22"/>
        </w:rPr>
        <w:t xml:space="preserve"> </w:t>
      </w:r>
    </w:p>
    <w:p w14:paraId="739CEE91" w14:textId="092DDA9E" w:rsidR="00CE1AC6" w:rsidRPr="00330A33" w:rsidRDefault="00CE1AC6" w:rsidP="002A73C5">
      <w:pPr>
        <w:numPr>
          <w:ilvl w:val="1"/>
          <w:numId w:val="15"/>
        </w:numPr>
        <w:autoSpaceDE w:val="0"/>
        <w:autoSpaceDN w:val="0"/>
        <w:adjustRightInd w:val="0"/>
        <w:spacing w:after="0" w:line="276" w:lineRule="auto"/>
        <w:jc w:val="both"/>
        <w:rPr>
          <w:rFonts w:ascii="Times New Roman" w:hAnsi="Times New Roman" w:cs="Times New Roman"/>
          <w:szCs w:val="22"/>
        </w:rPr>
      </w:pPr>
      <w:r w:rsidRPr="00330A33">
        <w:rPr>
          <w:rFonts w:ascii="Times New Roman" w:hAnsi="Times New Roman" w:cs="Times New Roman"/>
          <w:szCs w:val="22"/>
        </w:rPr>
        <w:t>10% of SO</w:t>
      </w:r>
      <w:r w:rsidRPr="00330A33">
        <w:rPr>
          <w:rFonts w:ascii="Times New Roman" w:hAnsi="Times New Roman" w:cs="Times New Roman"/>
          <w:szCs w:val="22"/>
          <w:vertAlign w:val="subscript"/>
        </w:rPr>
        <w:t>2</w:t>
      </w:r>
      <w:r w:rsidRPr="00330A33">
        <w:rPr>
          <w:rFonts w:ascii="Times New Roman" w:hAnsi="Times New Roman" w:cs="Times New Roman"/>
          <w:szCs w:val="22"/>
        </w:rPr>
        <w:t xml:space="preserve"> emission </w:t>
      </w:r>
      <w:r w:rsidR="00F7557A" w:rsidRPr="00330A33">
        <w:rPr>
          <w:rFonts w:ascii="Times New Roman" w:hAnsi="Times New Roman" w:cs="Times New Roman"/>
          <w:szCs w:val="22"/>
        </w:rPr>
        <w:t xml:space="preserve">are </w:t>
      </w:r>
      <w:r w:rsidRPr="00330A33">
        <w:rPr>
          <w:rFonts w:ascii="Times New Roman" w:hAnsi="Times New Roman" w:cs="Times New Roman"/>
          <w:szCs w:val="22"/>
        </w:rPr>
        <w:t>controlled by wet scrubber</w:t>
      </w:r>
    </w:p>
    <w:p w14:paraId="6679306D" w14:textId="3AB2D956" w:rsidR="00CE1AC6" w:rsidRPr="00330A33" w:rsidRDefault="00CE1AC6" w:rsidP="002A73C5">
      <w:pPr>
        <w:numPr>
          <w:ilvl w:val="0"/>
          <w:numId w:val="1"/>
        </w:numPr>
        <w:autoSpaceDE w:val="0"/>
        <w:autoSpaceDN w:val="0"/>
        <w:adjustRightInd w:val="0"/>
        <w:spacing w:after="0" w:line="276" w:lineRule="auto"/>
        <w:ind w:left="708" w:hanging="283"/>
        <w:jc w:val="both"/>
        <w:rPr>
          <w:rFonts w:ascii="Times New Roman" w:hAnsi="Times New Roman" w:cs="Times New Roman"/>
          <w:szCs w:val="22"/>
        </w:rPr>
      </w:pPr>
      <w:r w:rsidRPr="00330A33">
        <w:rPr>
          <w:rFonts w:ascii="Times New Roman" w:hAnsi="Times New Roman" w:cs="Times New Roman"/>
          <w:szCs w:val="22"/>
        </w:rPr>
        <w:t xml:space="preserve">There is no specific notification regarding any drive for implementation of control strategies in </w:t>
      </w:r>
      <w:r w:rsidR="00F7557A" w:rsidRPr="00330A33">
        <w:rPr>
          <w:rFonts w:ascii="Times New Roman" w:hAnsi="Times New Roman" w:cs="Times New Roman"/>
          <w:szCs w:val="22"/>
        </w:rPr>
        <w:t xml:space="preserve">the industrial </w:t>
      </w:r>
      <w:r w:rsidRPr="00330A33">
        <w:rPr>
          <w:rFonts w:ascii="Times New Roman" w:hAnsi="Times New Roman" w:cs="Times New Roman"/>
          <w:szCs w:val="22"/>
        </w:rPr>
        <w:t>sector</w:t>
      </w:r>
      <w:r w:rsidR="000C5805" w:rsidRPr="00330A33">
        <w:rPr>
          <w:rFonts w:ascii="Times New Roman" w:hAnsi="Times New Roman" w:cs="Times New Roman"/>
          <w:szCs w:val="22"/>
        </w:rPr>
        <w:t xml:space="preserve"> </w:t>
      </w:r>
      <w:r w:rsidR="00D3168B" w:rsidRPr="00330A33">
        <w:rPr>
          <w:rFonts w:ascii="Times New Roman" w:hAnsi="Times New Roman" w:cs="Times New Roman"/>
          <w:szCs w:val="22"/>
        </w:rPr>
        <w:t>in addition</w:t>
      </w:r>
      <w:r w:rsidR="000C5805" w:rsidRPr="00330A33">
        <w:rPr>
          <w:rFonts w:ascii="Times New Roman" w:hAnsi="Times New Roman" w:cs="Times New Roman"/>
          <w:szCs w:val="22"/>
        </w:rPr>
        <w:t xml:space="preserve"> to present regulations</w:t>
      </w:r>
      <w:r w:rsidRPr="00330A33">
        <w:rPr>
          <w:rFonts w:ascii="Times New Roman" w:hAnsi="Times New Roman" w:cs="Times New Roman"/>
          <w:szCs w:val="22"/>
        </w:rPr>
        <w:t>.</w:t>
      </w:r>
      <w:r w:rsidR="00774A64" w:rsidRPr="00330A33">
        <w:rPr>
          <w:rFonts w:ascii="Times New Roman" w:hAnsi="Times New Roman" w:cs="Times New Roman"/>
          <w:szCs w:val="22"/>
        </w:rPr>
        <w:t xml:space="preserve"> </w:t>
      </w:r>
      <w:r w:rsidR="000F2FF6" w:rsidRPr="00330A33">
        <w:rPr>
          <w:rFonts w:ascii="Times New Roman" w:hAnsi="Times New Roman" w:cs="Times New Roman"/>
          <w:szCs w:val="22"/>
        </w:rPr>
        <w:t>Therefore</w:t>
      </w:r>
      <w:r w:rsidRPr="00330A33">
        <w:rPr>
          <w:rFonts w:ascii="Times New Roman" w:hAnsi="Times New Roman" w:cs="Times New Roman"/>
          <w:szCs w:val="22"/>
        </w:rPr>
        <w:t>, the same control is projected from 2010</w:t>
      </w:r>
      <w:r w:rsidR="00F7557A" w:rsidRPr="00330A33">
        <w:rPr>
          <w:rFonts w:ascii="Times New Roman" w:hAnsi="Times New Roman" w:cs="Times New Roman"/>
          <w:szCs w:val="22"/>
        </w:rPr>
        <w:t>–</w:t>
      </w:r>
      <w:r w:rsidRPr="00330A33">
        <w:rPr>
          <w:rFonts w:ascii="Times New Roman" w:hAnsi="Times New Roman" w:cs="Times New Roman"/>
          <w:szCs w:val="22"/>
        </w:rPr>
        <w:t>2030.</w:t>
      </w:r>
    </w:p>
    <w:p w14:paraId="5243BA43" w14:textId="462BBBD1" w:rsidR="00CE1AC6" w:rsidRPr="00330A33" w:rsidRDefault="00CE1AC6" w:rsidP="002A73C5">
      <w:pPr>
        <w:numPr>
          <w:ilvl w:val="0"/>
          <w:numId w:val="1"/>
        </w:numPr>
        <w:autoSpaceDE w:val="0"/>
        <w:autoSpaceDN w:val="0"/>
        <w:adjustRightInd w:val="0"/>
        <w:spacing w:after="0" w:line="276" w:lineRule="auto"/>
        <w:ind w:left="708" w:hanging="283"/>
        <w:jc w:val="both"/>
        <w:rPr>
          <w:rFonts w:ascii="Times New Roman" w:hAnsi="Times New Roman" w:cs="Times New Roman"/>
          <w:szCs w:val="22"/>
        </w:rPr>
      </w:pPr>
      <w:r w:rsidRPr="00330A33">
        <w:rPr>
          <w:rFonts w:ascii="Times New Roman" w:hAnsi="Times New Roman" w:cs="Times New Roman"/>
          <w:szCs w:val="22"/>
        </w:rPr>
        <w:t xml:space="preserve">In </w:t>
      </w:r>
      <w:r w:rsidR="00F7557A" w:rsidRPr="00330A33">
        <w:rPr>
          <w:rFonts w:ascii="Times New Roman" w:hAnsi="Times New Roman" w:cs="Times New Roman"/>
          <w:szCs w:val="22"/>
        </w:rPr>
        <w:t xml:space="preserve">the </w:t>
      </w:r>
      <w:r w:rsidR="00A7166F" w:rsidRPr="00330A33">
        <w:rPr>
          <w:rFonts w:ascii="Times New Roman" w:hAnsi="Times New Roman" w:cs="Times New Roman"/>
          <w:szCs w:val="22"/>
        </w:rPr>
        <w:t>KMC</w:t>
      </w:r>
      <w:r w:rsidRPr="00330A33">
        <w:rPr>
          <w:rFonts w:ascii="Times New Roman" w:hAnsi="Times New Roman" w:cs="Times New Roman"/>
          <w:szCs w:val="22"/>
        </w:rPr>
        <w:t>,</w:t>
      </w:r>
      <w:r w:rsidR="00774A64" w:rsidRPr="00330A33">
        <w:rPr>
          <w:rFonts w:ascii="Times New Roman" w:hAnsi="Times New Roman" w:cs="Times New Roman"/>
          <w:szCs w:val="22"/>
        </w:rPr>
        <w:t xml:space="preserve"> </w:t>
      </w:r>
      <w:r w:rsidRPr="00330A33">
        <w:rPr>
          <w:rFonts w:ascii="Times New Roman" w:hAnsi="Times New Roman" w:cs="Times New Roman"/>
          <w:szCs w:val="22"/>
        </w:rPr>
        <w:t xml:space="preserve">of </w:t>
      </w:r>
      <w:r w:rsidR="00F7557A" w:rsidRPr="00330A33">
        <w:rPr>
          <w:rFonts w:ascii="Times New Roman" w:hAnsi="Times New Roman" w:cs="Times New Roman"/>
          <w:szCs w:val="22"/>
        </w:rPr>
        <w:t xml:space="preserve">the </w:t>
      </w:r>
      <w:r w:rsidRPr="00330A33">
        <w:rPr>
          <w:rFonts w:ascii="Times New Roman" w:hAnsi="Times New Roman" w:cs="Times New Roman"/>
          <w:szCs w:val="22"/>
        </w:rPr>
        <w:t>electric crematorium constructed in 22 municipalities</w:t>
      </w:r>
      <w:r w:rsidR="00F7557A" w:rsidRPr="00330A33">
        <w:rPr>
          <w:rFonts w:ascii="Times New Roman" w:hAnsi="Times New Roman" w:cs="Times New Roman"/>
          <w:szCs w:val="22"/>
        </w:rPr>
        <w:t>,</w:t>
      </w:r>
      <w:r w:rsidRPr="00330A33">
        <w:rPr>
          <w:rFonts w:ascii="Times New Roman" w:hAnsi="Times New Roman" w:cs="Times New Roman"/>
          <w:szCs w:val="22"/>
        </w:rPr>
        <w:t xml:space="preserve"> 13 </w:t>
      </w:r>
      <w:r w:rsidR="00F7557A" w:rsidRPr="00330A33">
        <w:rPr>
          <w:rFonts w:ascii="Times New Roman" w:hAnsi="Times New Roman" w:cs="Times New Roman"/>
          <w:szCs w:val="22"/>
        </w:rPr>
        <w:t>have in</w:t>
      </w:r>
      <w:r w:rsidR="009162D8">
        <w:rPr>
          <w:rFonts w:ascii="Times New Roman" w:hAnsi="Times New Roman" w:cs="Times New Roman"/>
          <w:szCs w:val="22"/>
        </w:rPr>
        <w:t xml:space="preserve"> </w:t>
      </w:r>
      <w:r w:rsidR="00F7557A" w:rsidRPr="00330A33">
        <w:rPr>
          <w:rFonts w:ascii="Times New Roman" w:hAnsi="Times New Roman" w:cs="Times New Roman"/>
          <w:szCs w:val="22"/>
        </w:rPr>
        <w:t>built</w:t>
      </w:r>
      <w:r w:rsidR="00774A64" w:rsidRPr="00330A33">
        <w:rPr>
          <w:rFonts w:ascii="Times New Roman" w:hAnsi="Times New Roman" w:cs="Times New Roman"/>
          <w:szCs w:val="22"/>
        </w:rPr>
        <w:t xml:space="preserve"> </w:t>
      </w:r>
      <w:r w:rsidRPr="00330A33">
        <w:rPr>
          <w:rFonts w:ascii="Times New Roman" w:hAnsi="Times New Roman" w:cs="Times New Roman"/>
          <w:szCs w:val="22"/>
        </w:rPr>
        <w:t>air pollution control devices (</w:t>
      </w:r>
      <w:r w:rsidR="002B3A90" w:rsidRPr="00330A33">
        <w:rPr>
          <w:rFonts w:ascii="Times New Roman" w:hAnsi="Times New Roman" w:cs="Times New Roman"/>
          <w:szCs w:val="22"/>
        </w:rPr>
        <w:t>WBPCB press release)</w:t>
      </w:r>
      <w:r w:rsidRPr="00330A33">
        <w:rPr>
          <w:rFonts w:ascii="Times New Roman" w:hAnsi="Times New Roman" w:cs="Times New Roman"/>
          <w:szCs w:val="22"/>
        </w:rPr>
        <w:t xml:space="preserve">. The remaining nine municipalities </w:t>
      </w:r>
      <w:r w:rsidR="00F7557A" w:rsidRPr="00330A33">
        <w:rPr>
          <w:rFonts w:ascii="Times New Roman" w:hAnsi="Times New Roman" w:cs="Times New Roman"/>
          <w:szCs w:val="22"/>
        </w:rPr>
        <w:t xml:space="preserve">with </w:t>
      </w:r>
      <w:r w:rsidRPr="00330A33">
        <w:rPr>
          <w:rFonts w:ascii="Times New Roman" w:hAnsi="Times New Roman" w:cs="Times New Roman"/>
          <w:szCs w:val="22"/>
        </w:rPr>
        <w:t xml:space="preserve">electric </w:t>
      </w:r>
      <w:r w:rsidR="00F7557A" w:rsidRPr="00330A33">
        <w:rPr>
          <w:rFonts w:ascii="Times New Roman" w:hAnsi="Times New Roman" w:cs="Times New Roman"/>
          <w:szCs w:val="22"/>
        </w:rPr>
        <w:t>crematoria have no</w:t>
      </w:r>
      <w:r w:rsidRPr="00330A33">
        <w:rPr>
          <w:rFonts w:ascii="Times New Roman" w:hAnsi="Times New Roman" w:cs="Times New Roman"/>
          <w:szCs w:val="22"/>
        </w:rPr>
        <w:t xml:space="preserve"> air pollution control device. </w:t>
      </w:r>
      <w:r w:rsidR="00D51E0F" w:rsidRPr="00330A33">
        <w:rPr>
          <w:rFonts w:ascii="Times New Roman" w:hAnsi="Times New Roman" w:cs="Times New Roman"/>
          <w:szCs w:val="22"/>
        </w:rPr>
        <w:t>Accordingly</w:t>
      </w:r>
      <w:r w:rsidR="000F2FF6" w:rsidRPr="00330A33">
        <w:rPr>
          <w:rFonts w:ascii="Times New Roman" w:hAnsi="Times New Roman" w:cs="Times New Roman"/>
          <w:szCs w:val="22"/>
        </w:rPr>
        <w:t>,</w:t>
      </w:r>
      <w:r w:rsidR="00D51E0F" w:rsidRPr="00330A33">
        <w:rPr>
          <w:rFonts w:ascii="Times New Roman" w:hAnsi="Times New Roman" w:cs="Times New Roman"/>
          <w:szCs w:val="22"/>
        </w:rPr>
        <w:t xml:space="preserve"> control</w:t>
      </w:r>
      <w:r w:rsidRPr="00330A33">
        <w:rPr>
          <w:rFonts w:ascii="Times New Roman" w:hAnsi="Times New Roman" w:cs="Times New Roman"/>
          <w:szCs w:val="22"/>
        </w:rPr>
        <w:t xml:space="preserve"> </w:t>
      </w:r>
      <w:r w:rsidR="00D11FA4" w:rsidRPr="00330A33">
        <w:rPr>
          <w:rFonts w:ascii="Times New Roman" w:hAnsi="Times New Roman" w:cs="Times New Roman"/>
          <w:szCs w:val="22"/>
        </w:rPr>
        <w:t>was</w:t>
      </w:r>
      <w:r w:rsidRPr="00330A33">
        <w:rPr>
          <w:rFonts w:ascii="Times New Roman" w:hAnsi="Times New Roman" w:cs="Times New Roman"/>
          <w:szCs w:val="22"/>
        </w:rPr>
        <w:t xml:space="preserve"> considered for fuel use under this sector for 2010</w:t>
      </w:r>
      <w:r w:rsidR="00D11FA4" w:rsidRPr="00330A33">
        <w:rPr>
          <w:rFonts w:ascii="Times New Roman" w:hAnsi="Times New Roman" w:cs="Times New Roman"/>
          <w:szCs w:val="22"/>
        </w:rPr>
        <w:t>–</w:t>
      </w:r>
      <w:r w:rsidRPr="00330A33">
        <w:rPr>
          <w:rFonts w:ascii="Times New Roman" w:hAnsi="Times New Roman" w:cs="Times New Roman"/>
          <w:szCs w:val="22"/>
        </w:rPr>
        <w:t>2030.</w:t>
      </w:r>
    </w:p>
    <w:p w14:paraId="30029662" w14:textId="19BFCBD2" w:rsidR="008F6D9F" w:rsidRPr="00330A33" w:rsidRDefault="00CE1AC6" w:rsidP="002A73C5">
      <w:pPr>
        <w:numPr>
          <w:ilvl w:val="0"/>
          <w:numId w:val="1"/>
        </w:numPr>
        <w:autoSpaceDE w:val="0"/>
        <w:autoSpaceDN w:val="0"/>
        <w:adjustRightInd w:val="0"/>
        <w:spacing w:after="0" w:line="276" w:lineRule="auto"/>
        <w:ind w:left="708" w:hanging="283"/>
        <w:jc w:val="both"/>
        <w:rPr>
          <w:rFonts w:ascii="Times New Roman" w:hAnsi="Times New Roman" w:cs="Times New Roman"/>
          <w:b/>
          <w:szCs w:val="22"/>
          <w:lang w:val="en-US" w:bidi="ar-SA"/>
        </w:rPr>
      </w:pPr>
      <w:r w:rsidRPr="00330A33">
        <w:rPr>
          <w:rFonts w:ascii="Times New Roman" w:hAnsi="Times New Roman" w:cs="Times New Roman"/>
          <w:szCs w:val="22"/>
        </w:rPr>
        <w:t xml:space="preserve">The phasing out </w:t>
      </w:r>
      <w:r w:rsidR="00F7557A" w:rsidRPr="00330A33">
        <w:rPr>
          <w:rFonts w:ascii="Times New Roman" w:hAnsi="Times New Roman" w:cs="Times New Roman"/>
          <w:szCs w:val="22"/>
        </w:rPr>
        <w:t xml:space="preserve">is </w:t>
      </w:r>
      <w:r w:rsidRPr="00330A33">
        <w:rPr>
          <w:rFonts w:ascii="Times New Roman" w:hAnsi="Times New Roman" w:cs="Times New Roman"/>
          <w:szCs w:val="22"/>
        </w:rPr>
        <w:t xml:space="preserve">reflected in </w:t>
      </w:r>
      <w:r w:rsidR="00F7557A" w:rsidRPr="00330A33">
        <w:rPr>
          <w:rFonts w:ascii="Times New Roman" w:hAnsi="Times New Roman" w:cs="Times New Roman"/>
          <w:szCs w:val="22"/>
        </w:rPr>
        <w:t xml:space="preserve">the </w:t>
      </w:r>
      <w:r w:rsidRPr="00330A33">
        <w:rPr>
          <w:rFonts w:ascii="Times New Roman" w:hAnsi="Times New Roman" w:cs="Times New Roman"/>
          <w:szCs w:val="22"/>
        </w:rPr>
        <w:t>total number of registered vehicle</w:t>
      </w:r>
      <w:r w:rsidR="00D11FA4" w:rsidRPr="00330A33">
        <w:rPr>
          <w:rFonts w:ascii="Times New Roman" w:hAnsi="Times New Roman" w:cs="Times New Roman"/>
          <w:szCs w:val="22"/>
        </w:rPr>
        <w:t>s</w:t>
      </w:r>
      <w:r w:rsidRPr="00330A33">
        <w:rPr>
          <w:rFonts w:ascii="Times New Roman" w:hAnsi="Times New Roman" w:cs="Times New Roman"/>
          <w:szCs w:val="22"/>
        </w:rPr>
        <w:t xml:space="preserve">. However, </w:t>
      </w:r>
      <w:r w:rsidR="002157E7">
        <w:rPr>
          <w:rFonts w:ascii="Times New Roman" w:hAnsi="Times New Roman" w:cs="Times New Roman"/>
          <w:szCs w:val="22"/>
        </w:rPr>
        <w:t>the</w:t>
      </w:r>
      <w:r w:rsidR="002157E7" w:rsidRPr="00330A33">
        <w:rPr>
          <w:rFonts w:ascii="Times New Roman" w:hAnsi="Times New Roman" w:cs="Times New Roman"/>
          <w:szCs w:val="22"/>
        </w:rPr>
        <w:t xml:space="preserve"> </w:t>
      </w:r>
      <w:r w:rsidRPr="00330A33">
        <w:rPr>
          <w:rFonts w:ascii="Times New Roman" w:hAnsi="Times New Roman" w:cs="Times New Roman"/>
          <w:szCs w:val="22"/>
        </w:rPr>
        <w:t>primary survey done in 2013</w:t>
      </w:r>
      <w:r w:rsidR="00D11FA4" w:rsidRPr="00330A33">
        <w:rPr>
          <w:rFonts w:ascii="Times New Roman" w:hAnsi="Times New Roman" w:cs="Times New Roman"/>
          <w:szCs w:val="22"/>
        </w:rPr>
        <w:t>–</w:t>
      </w:r>
      <w:r w:rsidR="00F7557A" w:rsidRPr="00330A33">
        <w:rPr>
          <w:rFonts w:ascii="Times New Roman" w:hAnsi="Times New Roman" w:cs="Times New Roman"/>
          <w:szCs w:val="22"/>
        </w:rPr>
        <w:t>20</w:t>
      </w:r>
      <w:r w:rsidRPr="00330A33">
        <w:rPr>
          <w:rFonts w:ascii="Times New Roman" w:hAnsi="Times New Roman" w:cs="Times New Roman"/>
          <w:szCs w:val="22"/>
        </w:rPr>
        <w:t xml:space="preserve">14 </w:t>
      </w:r>
      <w:r w:rsidR="002157E7">
        <w:rPr>
          <w:rFonts w:ascii="Times New Roman" w:hAnsi="Times New Roman" w:cs="Times New Roman"/>
          <w:szCs w:val="22"/>
        </w:rPr>
        <w:t xml:space="preserve">under this project </w:t>
      </w:r>
      <w:r w:rsidRPr="00330A33">
        <w:rPr>
          <w:rFonts w:ascii="Times New Roman" w:hAnsi="Times New Roman" w:cs="Times New Roman"/>
          <w:szCs w:val="22"/>
        </w:rPr>
        <w:t>indicated that older vehicle</w:t>
      </w:r>
      <w:r w:rsidR="00F7557A" w:rsidRPr="00330A33">
        <w:rPr>
          <w:rFonts w:ascii="Times New Roman" w:hAnsi="Times New Roman" w:cs="Times New Roman"/>
          <w:szCs w:val="22"/>
        </w:rPr>
        <w:t>s</w:t>
      </w:r>
      <w:r w:rsidRPr="00330A33">
        <w:rPr>
          <w:rFonts w:ascii="Times New Roman" w:hAnsi="Times New Roman" w:cs="Times New Roman"/>
          <w:szCs w:val="22"/>
        </w:rPr>
        <w:t xml:space="preserve"> (registered before 1998) were still </w:t>
      </w:r>
      <w:r w:rsidR="00F7557A" w:rsidRPr="00330A33">
        <w:rPr>
          <w:rFonts w:ascii="Times New Roman" w:hAnsi="Times New Roman" w:cs="Times New Roman"/>
          <w:szCs w:val="22"/>
        </w:rPr>
        <w:t>on the road.</w:t>
      </w:r>
      <w:r w:rsidR="00774A64" w:rsidRPr="00330A33">
        <w:rPr>
          <w:rFonts w:ascii="Times New Roman" w:hAnsi="Times New Roman" w:cs="Times New Roman"/>
          <w:szCs w:val="22"/>
        </w:rPr>
        <w:t xml:space="preserve"> </w:t>
      </w:r>
    </w:p>
    <w:p w14:paraId="57CD4379" w14:textId="6DFAE48B" w:rsidR="008F6D9F" w:rsidRPr="00330A33" w:rsidRDefault="008F6D9F" w:rsidP="002A73C5">
      <w:pPr>
        <w:numPr>
          <w:ilvl w:val="0"/>
          <w:numId w:val="1"/>
        </w:numPr>
        <w:autoSpaceDE w:val="0"/>
        <w:autoSpaceDN w:val="0"/>
        <w:adjustRightInd w:val="0"/>
        <w:spacing w:after="0" w:line="276" w:lineRule="auto"/>
        <w:ind w:left="708" w:hanging="283"/>
        <w:jc w:val="both"/>
        <w:rPr>
          <w:rFonts w:ascii="Times New Roman" w:hAnsi="Times New Roman" w:cs="Times New Roman"/>
          <w:b/>
          <w:szCs w:val="22"/>
          <w:lang w:val="en-US" w:bidi="ar-SA"/>
        </w:rPr>
      </w:pPr>
      <w:r w:rsidRPr="002A73C5">
        <w:rPr>
          <w:rFonts w:ascii="Times New Roman" w:hAnsi="Times New Roman"/>
        </w:rPr>
        <w:t xml:space="preserve">The control technology effective in line source was estimated based on primary survey in 2013-14 </w:t>
      </w:r>
      <w:r w:rsidRPr="00330A33">
        <w:rPr>
          <w:rFonts w:ascii="Times New Roman" w:hAnsi="Times New Roman" w:cs="Times New Roman"/>
          <w:szCs w:val="22"/>
        </w:rPr>
        <w:t>undertaken</w:t>
      </w:r>
      <w:r w:rsidRPr="002A73C5">
        <w:rPr>
          <w:rFonts w:ascii="Times New Roman" w:hAnsi="Times New Roman"/>
        </w:rPr>
        <w:t xml:space="preserve"> in parking lot and petrol pumps. </w:t>
      </w:r>
    </w:p>
    <w:p w14:paraId="08E43752" w14:textId="526BDB6D" w:rsidR="00E53072" w:rsidRPr="002A73C5" w:rsidRDefault="00F7557A" w:rsidP="002A73C5">
      <w:pPr>
        <w:numPr>
          <w:ilvl w:val="0"/>
          <w:numId w:val="1"/>
        </w:numPr>
        <w:autoSpaceDE w:val="0"/>
        <w:autoSpaceDN w:val="0"/>
        <w:adjustRightInd w:val="0"/>
        <w:spacing w:after="0" w:line="276" w:lineRule="auto"/>
        <w:ind w:left="708" w:hanging="283"/>
        <w:jc w:val="both"/>
        <w:rPr>
          <w:rFonts w:ascii="Times New Roman" w:hAnsi="Times New Roman" w:cs="Times New Roman"/>
          <w:szCs w:val="22"/>
        </w:rPr>
      </w:pPr>
      <w:r w:rsidRPr="002A73C5">
        <w:rPr>
          <w:rFonts w:ascii="Times New Roman" w:hAnsi="Times New Roman" w:cs="Times New Roman"/>
          <w:szCs w:val="22"/>
        </w:rPr>
        <w:t>In accordance with</w:t>
      </w:r>
      <w:r w:rsidR="00285F2F" w:rsidRPr="002A73C5">
        <w:rPr>
          <w:rFonts w:ascii="Times New Roman" w:hAnsi="Times New Roman" w:cs="Times New Roman"/>
          <w:szCs w:val="22"/>
        </w:rPr>
        <w:t xml:space="preserve"> government regulation</w:t>
      </w:r>
      <w:r w:rsidRPr="002A73C5">
        <w:rPr>
          <w:rFonts w:ascii="Times New Roman" w:hAnsi="Times New Roman" w:cs="Times New Roman"/>
          <w:szCs w:val="22"/>
        </w:rPr>
        <w:t>s,</w:t>
      </w:r>
      <w:r w:rsidR="00285F2F" w:rsidRPr="002A73C5">
        <w:rPr>
          <w:rFonts w:ascii="Times New Roman" w:hAnsi="Times New Roman" w:cs="Times New Roman"/>
          <w:szCs w:val="22"/>
        </w:rPr>
        <w:t xml:space="preserve"> both gasoline and diesel fuel used in </w:t>
      </w:r>
      <w:r w:rsidRPr="002A73C5">
        <w:rPr>
          <w:rFonts w:ascii="Times New Roman" w:hAnsi="Times New Roman" w:cs="Times New Roman"/>
          <w:szCs w:val="22"/>
        </w:rPr>
        <w:t xml:space="preserve">the </w:t>
      </w:r>
      <w:r w:rsidR="00285F2F" w:rsidRPr="002A73C5">
        <w:rPr>
          <w:rFonts w:ascii="Times New Roman" w:hAnsi="Times New Roman" w:cs="Times New Roman"/>
          <w:szCs w:val="22"/>
        </w:rPr>
        <w:t>road transport sector should</w:t>
      </w:r>
      <w:r w:rsidRPr="002A73C5">
        <w:rPr>
          <w:rFonts w:ascii="Times New Roman" w:hAnsi="Times New Roman" w:cs="Times New Roman"/>
          <w:szCs w:val="22"/>
        </w:rPr>
        <w:t xml:space="preserve"> emit</w:t>
      </w:r>
      <w:r w:rsidR="00774A64" w:rsidRPr="002A73C5">
        <w:rPr>
          <w:rFonts w:ascii="Times New Roman" w:hAnsi="Times New Roman" w:cs="Times New Roman"/>
          <w:szCs w:val="22"/>
        </w:rPr>
        <w:t xml:space="preserve"> </w:t>
      </w:r>
      <w:r w:rsidR="00285F2F" w:rsidRPr="002A73C5">
        <w:rPr>
          <w:rFonts w:ascii="Times New Roman" w:hAnsi="Times New Roman" w:cs="Times New Roman"/>
          <w:szCs w:val="22"/>
        </w:rPr>
        <w:t xml:space="preserve">&lt;10 ppm sulfur from 2020. We assumed </w:t>
      </w:r>
      <w:r w:rsidR="00992BF7" w:rsidRPr="002A73C5">
        <w:rPr>
          <w:rFonts w:ascii="Times New Roman" w:hAnsi="Times New Roman" w:cs="Times New Roman"/>
          <w:szCs w:val="22"/>
        </w:rPr>
        <w:t>6</w:t>
      </w:r>
      <w:r w:rsidR="00285F2F" w:rsidRPr="002A73C5">
        <w:rPr>
          <w:rFonts w:ascii="Times New Roman" w:hAnsi="Times New Roman" w:cs="Times New Roman"/>
          <w:szCs w:val="22"/>
        </w:rPr>
        <w:t xml:space="preserve">0% </w:t>
      </w:r>
      <w:r w:rsidR="009162D8">
        <w:rPr>
          <w:rFonts w:ascii="Times New Roman" w:hAnsi="Times New Roman" w:cs="Times New Roman"/>
          <w:szCs w:val="22"/>
        </w:rPr>
        <w:t xml:space="preserve">implementation </w:t>
      </w:r>
      <w:r w:rsidR="009162D8" w:rsidRPr="002A73C5">
        <w:rPr>
          <w:rFonts w:ascii="Times New Roman" w:hAnsi="Times New Roman" w:cs="Times New Roman"/>
          <w:szCs w:val="22"/>
        </w:rPr>
        <w:t xml:space="preserve"> </w:t>
      </w:r>
      <w:r w:rsidR="00D11FA4" w:rsidRPr="002A73C5">
        <w:rPr>
          <w:rFonts w:ascii="Times New Roman" w:hAnsi="Times New Roman" w:cs="Times New Roman"/>
          <w:szCs w:val="22"/>
        </w:rPr>
        <w:t>of the regulations</w:t>
      </w:r>
      <w:r w:rsidR="00285F2F" w:rsidRPr="002A73C5">
        <w:rPr>
          <w:rFonts w:ascii="Times New Roman" w:hAnsi="Times New Roman" w:cs="Times New Roman"/>
          <w:szCs w:val="22"/>
        </w:rPr>
        <w:t xml:space="preserve"> by 2020 and 100% by 2025.</w:t>
      </w:r>
    </w:p>
    <w:p w14:paraId="00740395" w14:textId="5C56A36C" w:rsidR="009E618C" w:rsidRPr="00AC18ED" w:rsidRDefault="009E618C" w:rsidP="00AC18ED">
      <w:pPr>
        <w:autoSpaceDE w:val="0"/>
        <w:autoSpaceDN w:val="0"/>
        <w:adjustRightInd w:val="0"/>
        <w:spacing w:after="120" w:line="276" w:lineRule="auto"/>
        <w:jc w:val="both"/>
        <w:rPr>
          <w:rFonts w:ascii="Times New Roman" w:hAnsi="Times New Roman" w:cs="Times New Roman"/>
          <w:szCs w:val="22"/>
          <w:lang w:val="en-GB" w:bidi="ar-SA"/>
        </w:rPr>
        <w:sectPr w:rsidR="009E618C" w:rsidRPr="00AC18ED" w:rsidSect="00F81259">
          <w:headerReference w:type="default" r:id="rId15"/>
          <w:footerReference w:type="default" r:id="rId16"/>
          <w:pgSz w:w="11906" w:h="16838"/>
          <w:pgMar w:top="1440" w:right="1440" w:bottom="1440" w:left="1440" w:header="708" w:footer="708" w:gutter="0"/>
          <w:cols w:space="708"/>
          <w:docGrid w:linePitch="360"/>
        </w:sectPr>
      </w:pPr>
    </w:p>
    <w:p w14:paraId="21C27C24" w14:textId="09B3476C" w:rsidR="00E53072" w:rsidRPr="00AC18ED" w:rsidRDefault="00AC60E3" w:rsidP="00AC18ED">
      <w:pPr>
        <w:pStyle w:val="Heading1"/>
        <w:numPr>
          <w:ilvl w:val="0"/>
          <w:numId w:val="11"/>
        </w:numPr>
        <w:spacing w:before="0" w:after="120" w:line="276" w:lineRule="auto"/>
        <w:rPr>
          <w:rFonts w:ascii="Times New Roman" w:hAnsi="Times New Roman" w:cs="Times New Roman"/>
          <w:b/>
          <w:sz w:val="24"/>
          <w:szCs w:val="22"/>
        </w:rPr>
      </w:pPr>
      <w:bookmarkStart w:id="35" w:name="_Toc22630752"/>
      <w:r w:rsidRPr="00AC18ED">
        <w:rPr>
          <w:rFonts w:ascii="Times New Roman" w:hAnsi="Times New Roman" w:cs="Times New Roman"/>
          <w:b/>
          <w:sz w:val="24"/>
          <w:szCs w:val="22"/>
        </w:rPr>
        <w:lastRenderedPageBreak/>
        <w:t>Policy consideration under different alternate scenarios.</w:t>
      </w:r>
      <w:bookmarkEnd w:id="35"/>
    </w:p>
    <w:p w14:paraId="3B9E0C18" w14:textId="6EC5BC49" w:rsidR="00E53072" w:rsidRPr="00AC18ED" w:rsidRDefault="00E53072" w:rsidP="00AC18ED">
      <w:pPr>
        <w:spacing w:after="120" w:line="276" w:lineRule="auto"/>
        <w:jc w:val="both"/>
        <w:rPr>
          <w:rFonts w:ascii="Times New Roman" w:hAnsi="Times New Roman" w:cs="Times New Roman"/>
          <w:szCs w:val="22"/>
        </w:rPr>
      </w:pPr>
      <w:r w:rsidRPr="00AC18ED">
        <w:rPr>
          <w:rFonts w:ascii="Times New Roman" w:hAnsi="Times New Roman" w:cs="Times New Roman"/>
          <w:b/>
          <w:szCs w:val="22"/>
        </w:rPr>
        <w:t xml:space="preserve">Table </w:t>
      </w:r>
      <w:r w:rsidR="005C0F2D" w:rsidRPr="00AC18ED">
        <w:rPr>
          <w:rFonts w:ascii="Times New Roman" w:hAnsi="Times New Roman" w:cs="Times New Roman"/>
          <w:b/>
          <w:szCs w:val="22"/>
        </w:rPr>
        <w:t>S3</w:t>
      </w:r>
      <w:r w:rsidRPr="00AC18ED">
        <w:rPr>
          <w:rFonts w:ascii="Times New Roman" w:hAnsi="Times New Roman" w:cs="Times New Roman"/>
          <w:b/>
          <w:szCs w:val="22"/>
        </w:rPr>
        <w:t xml:space="preserve">. Policy consideration </w:t>
      </w:r>
      <w:r w:rsidR="00D066B9">
        <w:rPr>
          <w:rFonts w:ascii="Times New Roman" w:hAnsi="Times New Roman" w:cs="Times New Roman"/>
          <w:b/>
          <w:szCs w:val="22"/>
        </w:rPr>
        <w:t>toward</w:t>
      </w:r>
      <w:r w:rsidRPr="00AC18ED">
        <w:rPr>
          <w:rFonts w:ascii="Times New Roman" w:hAnsi="Times New Roman" w:cs="Times New Roman"/>
          <w:b/>
          <w:szCs w:val="22"/>
        </w:rPr>
        <w:t xml:space="preserve"> control air pollutants and GHG emissions in all policy scenarios for Kolkata City</w:t>
      </w:r>
    </w:p>
    <w:tbl>
      <w:tblPr>
        <w:tblStyle w:val="TableGrid"/>
        <w:tblW w:w="13842" w:type="dxa"/>
        <w:tblInd w:w="-5" w:type="dxa"/>
        <w:tblLayout w:type="fixed"/>
        <w:tblLook w:val="04A0" w:firstRow="1" w:lastRow="0" w:firstColumn="1" w:lastColumn="0" w:noHBand="0" w:noVBand="1"/>
      </w:tblPr>
      <w:tblGrid>
        <w:gridCol w:w="1417"/>
        <w:gridCol w:w="3545"/>
        <w:gridCol w:w="2835"/>
        <w:gridCol w:w="2976"/>
        <w:gridCol w:w="3069"/>
      </w:tblGrid>
      <w:tr w:rsidR="00306141" w:rsidRPr="00AC18ED" w14:paraId="0B43BB82" w14:textId="77777777" w:rsidTr="002A73C5">
        <w:trPr>
          <w:trHeight w:val="111"/>
        </w:trPr>
        <w:tc>
          <w:tcPr>
            <w:tcW w:w="1417" w:type="dxa"/>
            <w:vMerge w:val="restart"/>
          </w:tcPr>
          <w:p w14:paraId="531AB433" w14:textId="77777777" w:rsidR="00E53072" w:rsidRPr="00AC18ED" w:rsidRDefault="00E53072" w:rsidP="00AC18ED">
            <w:pPr>
              <w:jc w:val="center"/>
              <w:rPr>
                <w:rFonts w:ascii="Times New Roman" w:eastAsiaTheme="majorEastAsia" w:hAnsi="Times New Roman" w:cs="Times New Roman"/>
                <w:b/>
                <w:sz w:val="20"/>
                <w:szCs w:val="22"/>
              </w:rPr>
            </w:pPr>
            <w:r w:rsidRPr="00AC18ED">
              <w:rPr>
                <w:rFonts w:ascii="Times New Roman" w:hAnsi="Times New Roman" w:cs="Times New Roman"/>
                <w:b/>
                <w:sz w:val="20"/>
                <w:szCs w:val="22"/>
              </w:rPr>
              <w:t>Sector</w:t>
            </w:r>
          </w:p>
        </w:tc>
        <w:tc>
          <w:tcPr>
            <w:tcW w:w="3545" w:type="dxa"/>
            <w:vMerge w:val="restart"/>
          </w:tcPr>
          <w:p w14:paraId="427FDAF3" w14:textId="4C001E92" w:rsidR="00E53072" w:rsidRPr="00AC18ED" w:rsidRDefault="00E53072" w:rsidP="00AC18ED">
            <w:pPr>
              <w:jc w:val="center"/>
              <w:rPr>
                <w:rFonts w:ascii="Times New Roman" w:eastAsiaTheme="majorEastAsia" w:hAnsi="Times New Roman" w:cs="Times New Roman"/>
                <w:b/>
                <w:sz w:val="20"/>
                <w:szCs w:val="22"/>
              </w:rPr>
            </w:pPr>
            <w:r w:rsidRPr="00AC18ED">
              <w:rPr>
                <w:rFonts w:ascii="Times New Roman" w:hAnsi="Times New Roman" w:cs="Times New Roman"/>
                <w:b/>
                <w:sz w:val="20"/>
                <w:szCs w:val="22"/>
              </w:rPr>
              <w:t>City specific policies (CSPs) in BAU scenario</w:t>
            </w:r>
          </w:p>
        </w:tc>
        <w:tc>
          <w:tcPr>
            <w:tcW w:w="8880" w:type="dxa"/>
            <w:gridSpan w:val="3"/>
          </w:tcPr>
          <w:p w14:paraId="3DFF6EA0" w14:textId="77777777" w:rsidR="00E53072" w:rsidRPr="00AC18ED" w:rsidRDefault="00E53072" w:rsidP="00AC18ED">
            <w:pPr>
              <w:jc w:val="center"/>
              <w:rPr>
                <w:rFonts w:ascii="Times New Roman" w:eastAsiaTheme="majorEastAsia" w:hAnsi="Times New Roman" w:cs="Times New Roman"/>
                <w:b/>
                <w:sz w:val="20"/>
                <w:szCs w:val="22"/>
              </w:rPr>
            </w:pPr>
            <w:r w:rsidRPr="00AC18ED">
              <w:rPr>
                <w:rFonts w:ascii="Times New Roman" w:eastAsiaTheme="majorEastAsia" w:hAnsi="Times New Roman" w:cs="Times New Roman"/>
                <w:b/>
                <w:sz w:val="20"/>
                <w:szCs w:val="22"/>
              </w:rPr>
              <w:t>Alternative Scenarios</w:t>
            </w:r>
          </w:p>
        </w:tc>
      </w:tr>
      <w:tr w:rsidR="00D45702" w:rsidRPr="00AC18ED" w14:paraId="503893A1" w14:textId="77777777" w:rsidTr="00D45702">
        <w:trPr>
          <w:trHeight w:val="103"/>
        </w:trPr>
        <w:tc>
          <w:tcPr>
            <w:tcW w:w="1417" w:type="dxa"/>
            <w:vMerge/>
          </w:tcPr>
          <w:p w14:paraId="407D135D" w14:textId="77777777" w:rsidR="00E53072" w:rsidRPr="00AC18ED" w:rsidRDefault="00E53072" w:rsidP="00AC18ED">
            <w:pPr>
              <w:jc w:val="center"/>
              <w:rPr>
                <w:rFonts w:ascii="Times New Roman" w:hAnsi="Times New Roman" w:cs="Times New Roman"/>
                <w:b/>
                <w:sz w:val="20"/>
                <w:szCs w:val="22"/>
              </w:rPr>
            </w:pPr>
          </w:p>
        </w:tc>
        <w:tc>
          <w:tcPr>
            <w:tcW w:w="3545" w:type="dxa"/>
            <w:vMerge/>
          </w:tcPr>
          <w:p w14:paraId="195CA5EA" w14:textId="77777777" w:rsidR="00E53072" w:rsidRPr="00AC18ED" w:rsidRDefault="00E53072" w:rsidP="00AC18ED">
            <w:pPr>
              <w:jc w:val="center"/>
              <w:rPr>
                <w:rFonts w:ascii="Times New Roman" w:hAnsi="Times New Roman" w:cs="Times New Roman"/>
                <w:b/>
                <w:sz w:val="20"/>
                <w:szCs w:val="22"/>
              </w:rPr>
            </w:pPr>
          </w:p>
        </w:tc>
        <w:tc>
          <w:tcPr>
            <w:tcW w:w="2835" w:type="dxa"/>
          </w:tcPr>
          <w:p w14:paraId="1255AE4B" w14:textId="77777777" w:rsidR="00E53072" w:rsidRPr="00AC18ED" w:rsidRDefault="00E53072" w:rsidP="00AC18ED">
            <w:pPr>
              <w:ind w:right="-131"/>
              <w:jc w:val="center"/>
              <w:rPr>
                <w:rFonts w:ascii="Times New Roman" w:eastAsiaTheme="majorEastAsia" w:hAnsi="Times New Roman" w:cs="Times New Roman"/>
                <w:b/>
                <w:sz w:val="20"/>
                <w:szCs w:val="22"/>
              </w:rPr>
            </w:pPr>
            <w:r w:rsidRPr="00AC18ED">
              <w:rPr>
                <w:rFonts w:ascii="Times New Roman" w:hAnsi="Times New Roman" w:cs="Times New Roman"/>
                <w:b/>
                <w:sz w:val="20"/>
                <w:szCs w:val="22"/>
              </w:rPr>
              <w:t>ACT scenario</w:t>
            </w:r>
          </w:p>
        </w:tc>
        <w:tc>
          <w:tcPr>
            <w:tcW w:w="2976" w:type="dxa"/>
          </w:tcPr>
          <w:p w14:paraId="7C0C3421" w14:textId="77777777" w:rsidR="00E53072" w:rsidRPr="00AC18ED" w:rsidRDefault="00E53072" w:rsidP="00AC18ED">
            <w:pPr>
              <w:jc w:val="center"/>
              <w:rPr>
                <w:rFonts w:ascii="Times New Roman" w:eastAsiaTheme="majorEastAsia" w:hAnsi="Times New Roman" w:cs="Times New Roman"/>
                <w:b/>
                <w:sz w:val="20"/>
                <w:szCs w:val="22"/>
              </w:rPr>
            </w:pPr>
            <w:r w:rsidRPr="00AC18ED">
              <w:rPr>
                <w:rFonts w:ascii="Times New Roman" w:hAnsi="Times New Roman" w:cs="Times New Roman"/>
                <w:b/>
                <w:sz w:val="20"/>
                <w:szCs w:val="22"/>
              </w:rPr>
              <w:t>LCI scenario</w:t>
            </w:r>
          </w:p>
        </w:tc>
        <w:tc>
          <w:tcPr>
            <w:tcW w:w="3069" w:type="dxa"/>
          </w:tcPr>
          <w:p w14:paraId="7B38E1BA" w14:textId="77777777" w:rsidR="00E53072" w:rsidRPr="00AC18ED" w:rsidRDefault="00E53072" w:rsidP="00AC18ED">
            <w:pPr>
              <w:jc w:val="center"/>
              <w:rPr>
                <w:rFonts w:ascii="Times New Roman" w:eastAsiaTheme="majorEastAsia" w:hAnsi="Times New Roman" w:cs="Times New Roman"/>
                <w:b/>
                <w:sz w:val="20"/>
                <w:szCs w:val="22"/>
              </w:rPr>
            </w:pPr>
            <w:r w:rsidRPr="00AC18ED">
              <w:rPr>
                <w:rFonts w:ascii="Times New Roman" w:hAnsi="Times New Roman" w:cs="Times New Roman"/>
                <w:b/>
                <w:sz w:val="20"/>
                <w:szCs w:val="22"/>
              </w:rPr>
              <w:t xml:space="preserve">CAS scenario </w:t>
            </w:r>
          </w:p>
        </w:tc>
      </w:tr>
      <w:tr w:rsidR="00D45702" w:rsidRPr="00AC18ED" w14:paraId="5C21A762" w14:textId="77777777" w:rsidTr="00D45702">
        <w:trPr>
          <w:trHeight w:val="221"/>
        </w:trPr>
        <w:tc>
          <w:tcPr>
            <w:tcW w:w="1417" w:type="dxa"/>
            <w:vMerge w:val="restart"/>
          </w:tcPr>
          <w:p w14:paraId="25847975" w14:textId="77777777" w:rsidR="00E53072" w:rsidRPr="00AC18ED" w:rsidRDefault="00E53072" w:rsidP="00AC18ED">
            <w:pPr>
              <w:jc w:val="both"/>
              <w:rPr>
                <w:rFonts w:ascii="Times New Roman" w:eastAsiaTheme="majorEastAsia" w:hAnsi="Times New Roman" w:cs="Times New Roman"/>
                <w:b/>
                <w:sz w:val="20"/>
                <w:szCs w:val="22"/>
              </w:rPr>
            </w:pPr>
            <w:r w:rsidRPr="00AC18ED">
              <w:rPr>
                <w:rFonts w:ascii="Times New Roman" w:hAnsi="Times New Roman" w:cs="Times New Roman"/>
                <w:sz w:val="20"/>
                <w:szCs w:val="22"/>
              </w:rPr>
              <w:t>Power plants</w:t>
            </w:r>
          </w:p>
        </w:tc>
        <w:tc>
          <w:tcPr>
            <w:tcW w:w="3545" w:type="dxa"/>
          </w:tcPr>
          <w:p w14:paraId="66343B8B" w14:textId="24E36D80" w:rsidR="00E53072" w:rsidRPr="00AC18ED" w:rsidRDefault="00E53072" w:rsidP="00AC18ED">
            <w:pPr>
              <w:adjustRightInd w:val="0"/>
              <w:jc w:val="both"/>
              <w:rPr>
                <w:rFonts w:ascii="Times New Roman" w:hAnsi="Times New Roman" w:cs="Times New Roman"/>
                <w:sz w:val="20"/>
                <w:szCs w:val="22"/>
              </w:rPr>
            </w:pPr>
            <w:r w:rsidRPr="00AC18ED">
              <w:rPr>
                <w:rFonts w:ascii="Times New Roman" w:hAnsi="Times New Roman" w:cs="Times New Roman"/>
                <w:sz w:val="20"/>
                <w:szCs w:val="22"/>
              </w:rPr>
              <w:t>Particulate emission control with high</w:t>
            </w:r>
            <w:r w:rsidR="00D11FA4">
              <w:rPr>
                <w:rFonts w:ascii="Times New Roman" w:hAnsi="Times New Roman" w:cs="Times New Roman"/>
                <w:sz w:val="20"/>
                <w:szCs w:val="22"/>
              </w:rPr>
              <w:t>-</w:t>
            </w:r>
            <w:r w:rsidRPr="00AC18ED">
              <w:rPr>
                <w:rFonts w:ascii="Times New Roman" w:hAnsi="Times New Roman" w:cs="Times New Roman"/>
                <w:sz w:val="20"/>
                <w:szCs w:val="22"/>
              </w:rPr>
              <w:t xml:space="preserve"> efficiency technology (ESP) in coal-based thermal power plants (as applicable)</w:t>
            </w:r>
          </w:p>
        </w:tc>
        <w:tc>
          <w:tcPr>
            <w:tcW w:w="2835" w:type="dxa"/>
          </w:tcPr>
          <w:p w14:paraId="7CDD2C9E" w14:textId="32D52712" w:rsidR="00E53072" w:rsidRPr="00AC18ED" w:rsidRDefault="00E53072" w:rsidP="00AC18ED">
            <w:pPr>
              <w:adjustRightInd w:val="0"/>
              <w:jc w:val="both"/>
              <w:rPr>
                <w:rFonts w:ascii="Times New Roman" w:eastAsiaTheme="majorEastAsia" w:hAnsi="Times New Roman" w:cs="Times New Roman"/>
                <w:b/>
                <w:sz w:val="20"/>
                <w:szCs w:val="22"/>
              </w:rPr>
            </w:pPr>
            <w:r w:rsidRPr="00AC18ED">
              <w:rPr>
                <w:rFonts w:ascii="Times New Roman" w:hAnsi="Times New Roman" w:cs="Times New Roman"/>
                <w:sz w:val="20"/>
                <w:szCs w:val="22"/>
              </w:rPr>
              <w:t>Particulate emission control with high</w:t>
            </w:r>
            <w:r w:rsidR="001D1A8E">
              <w:rPr>
                <w:rFonts w:ascii="Times New Roman" w:hAnsi="Times New Roman" w:cs="Times New Roman"/>
                <w:sz w:val="20"/>
                <w:szCs w:val="22"/>
              </w:rPr>
              <w:t>-</w:t>
            </w:r>
            <w:r w:rsidRPr="00AC18ED">
              <w:rPr>
                <w:rFonts w:ascii="Times New Roman" w:hAnsi="Times New Roman" w:cs="Times New Roman"/>
                <w:sz w:val="20"/>
                <w:szCs w:val="22"/>
              </w:rPr>
              <w:t>efficiency technology (ESP) in coal-based thermal power plants (as applicable)</w:t>
            </w:r>
          </w:p>
        </w:tc>
        <w:tc>
          <w:tcPr>
            <w:tcW w:w="2976" w:type="dxa"/>
          </w:tcPr>
          <w:p w14:paraId="4C05A388" w14:textId="36489C68" w:rsidR="00E53072" w:rsidRPr="00AC18ED" w:rsidRDefault="001D1A8E" w:rsidP="00AC18ED">
            <w:pPr>
              <w:jc w:val="both"/>
              <w:rPr>
                <w:rFonts w:ascii="Times New Roman" w:hAnsi="Times New Roman" w:cs="Times New Roman"/>
                <w:sz w:val="20"/>
                <w:szCs w:val="22"/>
              </w:rPr>
            </w:pPr>
            <w:r>
              <w:rPr>
                <w:rFonts w:ascii="Times New Roman" w:hAnsi="Times New Roman" w:cs="Times New Roman"/>
                <w:sz w:val="20"/>
                <w:szCs w:val="22"/>
              </w:rPr>
              <w:t>F</w:t>
            </w:r>
            <w:r w:rsidRPr="00AC18ED">
              <w:rPr>
                <w:rFonts w:ascii="Times New Roman" w:hAnsi="Times New Roman" w:cs="Times New Roman"/>
                <w:sz w:val="20"/>
                <w:szCs w:val="22"/>
              </w:rPr>
              <w:t xml:space="preserve">uel </w:t>
            </w:r>
            <w:r w:rsidR="00E53072" w:rsidRPr="00AC18ED">
              <w:rPr>
                <w:rFonts w:ascii="Times New Roman" w:hAnsi="Times New Roman" w:cs="Times New Roman"/>
                <w:sz w:val="20"/>
                <w:szCs w:val="22"/>
              </w:rPr>
              <w:t>switch</w:t>
            </w:r>
            <w:r>
              <w:rPr>
                <w:rFonts w:ascii="Times New Roman" w:hAnsi="Times New Roman" w:cs="Times New Roman"/>
                <w:sz w:val="20"/>
                <w:szCs w:val="22"/>
              </w:rPr>
              <w:t>ing</w:t>
            </w:r>
            <w:r w:rsidR="00E53072" w:rsidRPr="00AC18ED">
              <w:rPr>
                <w:rFonts w:ascii="Times New Roman" w:hAnsi="Times New Roman" w:cs="Times New Roman"/>
                <w:sz w:val="20"/>
                <w:szCs w:val="22"/>
              </w:rPr>
              <w:t xml:space="preserve"> for all thermal power plant (from coal-based to gas-based) by 2030</w:t>
            </w:r>
          </w:p>
        </w:tc>
        <w:tc>
          <w:tcPr>
            <w:tcW w:w="3069" w:type="dxa"/>
          </w:tcPr>
          <w:p w14:paraId="0F5F753F" w14:textId="1AA50478" w:rsidR="00E53072" w:rsidRPr="00AC18ED" w:rsidRDefault="00E53072" w:rsidP="00AC18ED">
            <w:pPr>
              <w:jc w:val="both"/>
              <w:rPr>
                <w:rFonts w:ascii="Times New Roman" w:hAnsi="Times New Roman" w:cs="Times New Roman"/>
                <w:sz w:val="20"/>
                <w:szCs w:val="22"/>
              </w:rPr>
            </w:pPr>
            <w:r w:rsidRPr="00AC18ED">
              <w:rPr>
                <w:rFonts w:ascii="Times New Roman" w:hAnsi="Times New Roman" w:cs="Times New Roman"/>
                <w:sz w:val="20"/>
                <w:szCs w:val="22"/>
              </w:rPr>
              <w:t>Same as ACT</w:t>
            </w:r>
          </w:p>
        </w:tc>
      </w:tr>
      <w:tr w:rsidR="00D45702" w:rsidRPr="00AC18ED" w14:paraId="01FEC23E" w14:textId="77777777" w:rsidTr="00D45702">
        <w:trPr>
          <w:trHeight w:val="161"/>
        </w:trPr>
        <w:tc>
          <w:tcPr>
            <w:tcW w:w="1417" w:type="dxa"/>
            <w:vMerge/>
          </w:tcPr>
          <w:p w14:paraId="121F4EF8" w14:textId="77777777" w:rsidR="00E53072" w:rsidRPr="00AC18ED" w:rsidRDefault="00E53072" w:rsidP="00AC18ED">
            <w:pPr>
              <w:jc w:val="both"/>
              <w:rPr>
                <w:rFonts w:ascii="Times New Roman" w:eastAsiaTheme="majorEastAsia" w:hAnsi="Times New Roman" w:cs="Times New Roman"/>
                <w:b/>
                <w:sz w:val="20"/>
                <w:szCs w:val="22"/>
              </w:rPr>
            </w:pPr>
          </w:p>
        </w:tc>
        <w:tc>
          <w:tcPr>
            <w:tcW w:w="3545" w:type="dxa"/>
          </w:tcPr>
          <w:p w14:paraId="562536F1" w14:textId="43EC87DD" w:rsidR="00E53072" w:rsidRPr="00AC18ED" w:rsidRDefault="00E53072" w:rsidP="00AC18ED">
            <w:pPr>
              <w:adjustRightInd w:val="0"/>
              <w:jc w:val="both"/>
              <w:rPr>
                <w:rFonts w:ascii="Times New Roman" w:hAnsi="Times New Roman" w:cs="Times New Roman"/>
                <w:sz w:val="20"/>
                <w:szCs w:val="22"/>
              </w:rPr>
            </w:pPr>
            <w:r w:rsidRPr="00AC18ED">
              <w:rPr>
                <w:rFonts w:ascii="Times New Roman" w:hAnsi="Times New Roman" w:cs="Times New Roman"/>
                <w:sz w:val="20"/>
                <w:szCs w:val="22"/>
              </w:rPr>
              <w:t>SO</w:t>
            </w:r>
            <w:r w:rsidRPr="00AC18ED">
              <w:rPr>
                <w:rFonts w:ascii="Times New Roman" w:hAnsi="Times New Roman" w:cs="Times New Roman"/>
                <w:sz w:val="20"/>
                <w:szCs w:val="22"/>
                <w:vertAlign w:val="subscript"/>
              </w:rPr>
              <w:t>2</w:t>
            </w:r>
            <w:r w:rsidRPr="00AC18ED">
              <w:rPr>
                <w:rFonts w:ascii="Times New Roman" w:hAnsi="Times New Roman" w:cs="Times New Roman"/>
                <w:sz w:val="20"/>
                <w:szCs w:val="22"/>
              </w:rPr>
              <w:t xml:space="preserve"> emission control (with Flue Gas Desulfurization technology) in power plants initiated from 2020</w:t>
            </w:r>
            <w:r w:rsidR="00D11FA4">
              <w:rPr>
                <w:rFonts w:ascii="Times New Roman" w:hAnsi="Times New Roman" w:cs="Times New Roman"/>
                <w:sz w:val="20"/>
                <w:szCs w:val="22"/>
              </w:rPr>
              <w:t>,</w:t>
            </w:r>
            <w:r w:rsidRPr="00AC18ED">
              <w:rPr>
                <w:rFonts w:ascii="Times New Roman" w:hAnsi="Times New Roman" w:cs="Times New Roman"/>
                <w:sz w:val="20"/>
                <w:szCs w:val="22"/>
              </w:rPr>
              <w:t xml:space="preserve"> fully implemented by 2030</w:t>
            </w:r>
          </w:p>
        </w:tc>
        <w:tc>
          <w:tcPr>
            <w:tcW w:w="2835" w:type="dxa"/>
          </w:tcPr>
          <w:p w14:paraId="6CB993E4" w14:textId="77777777" w:rsidR="00E53072" w:rsidRPr="00AC18ED" w:rsidRDefault="00E53072" w:rsidP="00AC18ED">
            <w:pPr>
              <w:adjustRightInd w:val="0"/>
              <w:jc w:val="both"/>
              <w:rPr>
                <w:rFonts w:ascii="Times New Roman" w:hAnsi="Times New Roman" w:cs="Times New Roman"/>
                <w:color w:val="2E74B5" w:themeColor="accent1" w:themeShade="BF"/>
                <w:sz w:val="20"/>
                <w:szCs w:val="22"/>
              </w:rPr>
            </w:pPr>
            <w:r w:rsidRPr="00AC18ED">
              <w:rPr>
                <w:rFonts w:ascii="Times New Roman" w:hAnsi="Times New Roman" w:cs="Times New Roman"/>
                <w:sz w:val="20"/>
                <w:szCs w:val="22"/>
              </w:rPr>
              <w:t>SO</w:t>
            </w:r>
            <w:r w:rsidRPr="00AC18ED">
              <w:rPr>
                <w:rFonts w:ascii="Times New Roman" w:hAnsi="Times New Roman" w:cs="Times New Roman"/>
                <w:sz w:val="20"/>
                <w:szCs w:val="22"/>
                <w:vertAlign w:val="subscript"/>
              </w:rPr>
              <w:t>2</w:t>
            </w:r>
            <w:r w:rsidRPr="00AC18ED">
              <w:rPr>
                <w:rFonts w:ascii="Times New Roman" w:hAnsi="Times New Roman" w:cs="Times New Roman"/>
                <w:sz w:val="20"/>
                <w:szCs w:val="22"/>
              </w:rPr>
              <w:t xml:space="preserve"> emission control (with Flue Gas Desulfurization technology) in power plants within 2020 (as applicable)</w:t>
            </w:r>
          </w:p>
        </w:tc>
        <w:tc>
          <w:tcPr>
            <w:tcW w:w="2976" w:type="dxa"/>
          </w:tcPr>
          <w:p w14:paraId="266B7197" w14:textId="427ECF80" w:rsidR="00E53072" w:rsidRPr="00AC18ED" w:rsidRDefault="001D1A8E" w:rsidP="00AC18ED">
            <w:pPr>
              <w:jc w:val="both"/>
              <w:rPr>
                <w:rFonts w:ascii="Times New Roman" w:hAnsi="Times New Roman" w:cs="Times New Roman"/>
                <w:sz w:val="20"/>
                <w:szCs w:val="22"/>
              </w:rPr>
            </w:pPr>
            <w:r>
              <w:rPr>
                <w:rFonts w:ascii="Times New Roman" w:hAnsi="Times New Roman" w:cs="Times New Roman"/>
                <w:sz w:val="20"/>
                <w:szCs w:val="22"/>
              </w:rPr>
              <w:t>N</w:t>
            </w:r>
            <w:r w:rsidR="00E53072" w:rsidRPr="00AC18ED">
              <w:rPr>
                <w:rFonts w:ascii="Times New Roman" w:hAnsi="Times New Roman" w:cs="Times New Roman"/>
                <w:sz w:val="20"/>
                <w:szCs w:val="22"/>
              </w:rPr>
              <w:t>ot applicable</w:t>
            </w:r>
          </w:p>
        </w:tc>
        <w:tc>
          <w:tcPr>
            <w:tcW w:w="3069" w:type="dxa"/>
          </w:tcPr>
          <w:p w14:paraId="02F166BB" w14:textId="77777777" w:rsidR="00E53072" w:rsidRPr="00AC18ED" w:rsidRDefault="00E53072" w:rsidP="00AC18ED">
            <w:pPr>
              <w:jc w:val="both"/>
              <w:rPr>
                <w:rFonts w:ascii="Times New Roman" w:hAnsi="Times New Roman" w:cs="Times New Roman"/>
                <w:sz w:val="20"/>
                <w:szCs w:val="22"/>
              </w:rPr>
            </w:pPr>
            <w:r w:rsidRPr="00AC18ED">
              <w:rPr>
                <w:rFonts w:ascii="Times New Roman" w:hAnsi="Times New Roman" w:cs="Times New Roman"/>
                <w:sz w:val="20"/>
                <w:szCs w:val="22"/>
              </w:rPr>
              <w:t>Same as ACT</w:t>
            </w:r>
          </w:p>
        </w:tc>
      </w:tr>
      <w:tr w:rsidR="00D45702" w:rsidRPr="00AC18ED" w14:paraId="0288F0A1" w14:textId="77777777" w:rsidTr="00D45702">
        <w:trPr>
          <w:trHeight w:val="345"/>
        </w:trPr>
        <w:tc>
          <w:tcPr>
            <w:tcW w:w="1417" w:type="dxa"/>
            <w:vMerge/>
          </w:tcPr>
          <w:p w14:paraId="256E81BF" w14:textId="77777777" w:rsidR="00E53072" w:rsidRPr="00AC18ED" w:rsidRDefault="00E53072" w:rsidP="00AC18ED">
            <w:pPr>
              <w:jc w:val="both"/>
              <w:rPr>
                <w:rFonts w:ascii="Times New Roman" w:eastAsiaTheme="majorEastAsia" w:hAnsi="Times New Roman" w:cs="Times New Roman"/>
                <w:sz w:val="20"/>
                <w:szCs w:val="22"/>
              </w:rPr>
            </w:pPr>
          </w:p>
        </w:tc>
        <w:tc>
          <w:tcPr>
            <w:tcW w:w="3545" w:type="dxa"/>
          </w:tcPr>
          <w:p w14:paraId="1B742FDC" w14:textId="77777777" w:rsidR="00E53072" w:rsidRPr="00AC18ED" w:rsidRDefault="00E53072" w:rsidP="00AC18ED">
            <w:pPr>
              <w:adjustRightInd w:val="0"/>
              <w:jc w:val="both"/>
              <w:rPr>
                <w:rFonts w:ascii="Times New Roman" w:hAnsi="Times New Roman" w:cs="Times New Roman"/>
                <w:sz w:val="20"/>
                <w:szCs w:val="22"/>
              </w:rPr>
            </w:pPr>
            <w:r w:rsidRPr="00AC18ED">
              <w:rPr>
                <w:rFonts w:ascii="Times New Roman" w:hAnsi="Times New Roman" w:cs="Times New Roman"/>
                <w:sz w:val="20"/>
                <w:szCs w:val="22"/>
              </w:rPr>
              <w:t>No specific policies regarding NO</w:t>
            </w:r>
            <w:r w:rsidRPr="00AC18ED">
              <w:rPr>
                <w:rFonts w:ascii="Times New Roman" w:hAnsi="Times New Roman" w:cs="Times New Roman"/>
                <w:sz w:val="20"/>
                <w:szCs w:val="22"/>
                <w:vertAlign w:val="subscript"/>
              </w:rPr>
              <w:t>x</w:t>
            </w:r>
            <w:r w:rsidRPr="00AC18ED">
              <w:rPr>
                <w:rFonts w:ascii="Times New Roman" w:hAnsi="Times New Roman" w:cs="Times New Roman"/>
                <w:sz w:val="20"/>
                <w:szCs w:val="22"/>
              </w:rPr>
              <w:t xml:space="preserve"> control technology at power plants </w:t>
            </w:r>
          </w:p>
        </w:tc>
        <w:tc>
          <w:tcPr>
            <w:tcW w:w="2835" w:type="dxa"/>
          </w:tcPr>
          <w:p w14:paraId="535CD4F3" w14:textId="7A78DF7C" w:rsidR="00E53072" w:rsidRPr="00AC18ED" w:rsidRDefault="001D1A8E" w:rsidP="00AC18ED">
            <w:pPr>
              <w:jc w:val="both"/>
              <w:rPr>
                <w:rFonts w:ascii="Times New Roman" w:hAnsi="Times New Roman" w:cs="Times New Roman"/>
                <w:sz w:val="20"/>
                <w:szCs w:val="22"/>
              </w:rPr>
            </w:pPr>
            <w:r>
              <w:rPr>
                <w:rFonts w:ascii="Times New Roman" w:hAnsi="Times New Roman" w:cs="Times New Roman"/>
                <w:sz w:val="20"/>
                <w:szCs w:val="22"/>
              </w:rPr>
              <w:t>C</w:t>
            </w:r>
            <w:r w:rsidRPr="00AC18ED">
              <w:rPr>
                <w:rFonts w:ascii="Times New Roman" w:hAnsi="Times New Roman" w:cs="Times New Roman"/>
                <w:sz w:val="20"/>
                <w:szCs w:val="22"/>
              </w:rPr>
              <w:t xml:space="preserve">ombustion </w:t>
            </w:r>
            <w:r w:rsidR="00E53072" w:rsidRPr="00AC18ED">
              <w:rPr>
                <w:rFonts w:ascii="Times New Roman" w:hAnsi="Times New Roman" w:cs="Times New Roman"/>
                <w:sz w:val="20"/>
                <w:szCs w:val="22"/>
              </w:rPr>
              <w:t xml:space="preserve">modification and selective catalytic reduction on existing </w:t>
            </w:r>
            <w:r w:rsidRPr="00AC18ED">
              <w:rPr>
                <w:rFonts w:ascii="Times New Roman" w:hAnsi="Times New Roman" w:cs="Times New Roman"/>
                <w:sz w:val="20"/>
                <w:szCs w:val="22"/>
              </w:rPr>
              <w:t>coal</w:t>
            </w:r>
            <w:r>
              <w:rPr>
                <w:rFonts w:ascii="Times New Roman" w:hAnsi="Times New Roman" w:cs="Times New Roman"/>
                <w:sz w:val="20"/>
                <w:szCs w:val="22"/>
              </w:rPr>
              <w:t>-</w:t>
            </w:r>
            <w:r w:rsidR="00E53072" w:rsidRPr="00AC18ED">
              <w:rPr>
                <w:rFonts w:ascii="Times New Roman" w:hAnsi="Times New Roman" w:cs="Times New Roman"/>
                <w:sz w:val="20"/>
                <w:szCs w:val="22"/>
              </w:rPr>
              <w:t>based thermal power plants for NO</w:t>
            </w:r>
            <w:r w:rsidR="00E53072" w:rsidRPr="00AC18ED">
              <w:rPr>
                <w:rFonts w:ascii="Times New Roman" w:hAnsi="Times New Roman" w:cs="Times New Roman"/>
                <w:sz w:val="20"/>
                <w:szCs w:val="22"/>
                <w:vertAlign w:val="subscript"/>
              </w:rPr>
              <w:t>x</w:t>
            </w:r>
            <w:r w:rsidR="00E53072" w:rsidRPr="00AC18ED">
              <w:rPr>
                <w:rFonts w:ascii="Times New Roman" w:hAnsi="Times New Roman" w:cs="Times New Roman"/>
                <w:sz w:val="20"/>
                <w:szCs w:val="22"/>
              </w:rPr>
              <w:t xml:space="preserve"> control (as applicable)</w:t>
            </w:r>
          </w:p>
        </w:tc>
        <w:tc>
          <w:tcPr>
            <w:tcW w:w="2976" w:type="dxa"/>
          </w:tcPr>
          <w:p w14:paraId="2B6259CD" w14:textId="77777777" w:rsidR="00E53072" w:rsidRPr="00AC18ED" w:rsidRDefault="00E53072" w:rsidP="00AC18ED">
            <w:pPr>
              <w:jc w:val="both"/>
              <w:rPr>
                <w:rFonts w:ascii="Times New Roman" w:hAnsi="Times New Roman" w:cs="Times New Roman"/>
                <w:sz w:val="20"/>
                <w:szCs w:val="22"/>
              </w:rPr>
            </w:pPr>
            <w:r w:rsidRPr="00AC18ED">
              <w:rPr>
                <w:rFonts w:ascii="Times New Roman" w:hAnsi="Times New Roman" w:cs="Times New Roman"/>
                <w:sz w:val="20"/>
                <w:szCs w:val="22"/>
              </w:rPr>
              <w:t>Appropriate control technology for NO</w:t>
            </w:r>
            <w:r w:rsidRPr="00AC18ED">
              <w:rPr>
                <w:rFonts w:ascii="Times New Roman" w:hAnsi="Times New Roman" w:cs="Times New Roman"/>
                <w:sz w:val="20"/>
                <w:szCs w:val="22"/>
                <w:vertAlign w:val="subscript"/>
              </w:rPr>
              <w:t>x</w:t>
            </w:r>
          </w:p>
        </w:tc>
        <w:tc>
          <w:tcPr>
            <w:tcW w:w="3069" w:type="dxa"/>
          </w:tcPr>
          <w:p w14:paraId="771BDA0C" w14:textId="77777777" w:rsidR="00E53072" w:rsidRPr="00AC18ED" w:rsidRDefault="00E53072" w:rsidP="00AC18ED">
            <w:pPr>
              <w:jc w:val="both"/>
              <w:rPr>
                <w:rFonts w:ascii="Times New Roman" w:eastAsiaTheme="majorEastAsia" w:hAnsi="Times New Roman" w:cs="Times New Roman"/>
                <w:b/>
                <w:sz w:val="20"/>
                <w:szCs w:val="22"/>
              </w:rPr>
            </w:pPr>
            <w:r w:rsidRPr="00AC18ED">
              <w:rPr>
                <w:rFonts w:ascii="Times New Roman" w:hAnsi="Times New Roman" w:cs="Times New Roman"/>
                <w:sz w:val="20"/>
                <w:szCs w:val="22"/>
              </w:rPr>
              <w:t>Same as ACT</w:t>
            </w:r>
          </w:p>
        </w:tc>
      </w:tr>
      <w:tr w:rsidR="00D45702" w:rsidRPr="00AC18ED" w14:paraId="0AAFCFBE" w14:textId="77777777" w:rsidTr="00D45702">
        <w:trPr>
          <w:trHeight w:val="452"/>
        </w:trPr>
        <w:tc>
          <w:tcPr>
            <w:tcW w:w="1417" w:type="dxa"/>
            <w:vMerge w:val="restart"/>
          </w:tcPr>
          <w:p w14:paraId="5A84041D" w14:textId="77777777" w:rsidR="00E53072" w:rsidRPr="00AC18ED" w:rsidRDefault="00E53072" w:rsidP="00AC18ED">
            <w:pPr>
              <w:jc w:val="both"/>
              <w:rPr>
                <w:rFonts w:ascii="Times New Roman" w:eastAsiaTheme="majorEastAsia" w:hAnsi="Times New Roman" w:cs="Times New Roman"/>
                <w:color w:val="000000" w:themeColor="text1"/>
                <w:sz w:val="20"/>
                <w:szCs w:val="22"/>
              </w:rPr>
            </w:pPr>
            <w:r w:rsidRPr="00AC18ED">
              <w:rPr>
                <w:rFonts w:ascii="Times New Roman" w:eastAsiaTheme="majorEastAsia" w:hAnsi="Times New Roman" w:cs="Times New Roman"/>
                <w:color w:val="000000" w:themeColor="text1"/>
                <w:sz w:val="20"/>
                <w:szCs w:val="22"/>
              </w:rPr>
              <w:t>Industries</w:t>
            </w:r>
          </w:p>
        </w:tc>
        <w:tc>
          <w:tcPr>
            <w:tcW w:w="3545" w:type="dxa"/>
          </w:tcPr>
          <w:p w14:paraId="159EAC26" w14:textId="69F2FB1E" w:rsidR="00E53072" w:rsidRPr="00AC18ED" w:rsidRDefault="00D11FA4" w:rsidP="00AC18ED">
            <w:pPr>
              <w:adjustRightInd w:val="0"/>
              <w:jc w:val="both"/>
              <w:rPr>
                <w:rFonts w:ascii="Times New Roman" w:eastAsiaTheme="majorEastAsia" w:hAnsi="Times New Roman" w:cs="Times New Roman"/>
                <w:b/>
                <w:color w:val="000000" w:themeColor="text1"/>
                <w:sz w:val="20"/>
                <w:szCs w:val="22"/>
              </w:rPr>
            </w:pPr>
            <w:r>
              <w:rPr>
                <w:rFonts w:ascii="Times New Roman" w:hAnsi="Times New Roman" w:cs="Times New Roman"/>
                <w:color w:val="000000" w:themeColor="text1"/>
                <w:sz w:val="20"/>
                <w:szCs w:val="22"/>
              </w:rPr>
              <w:t>No</w:t>
            </w:r>
            <w:r w:rsidR="00E53072" w:rsidRPr="00AC18ED">
              <w:rPr>
                <w:rFonts w:ascii="Times New Roman" w:hAnsi="Times New Roman" w:cs="Times New Roman"/>
                <w:color w:val="000000" w:themeColor="text1"/>
                <w:sz w:val="20"/>
                <w:szCs w:val="22"/>
              </w:rPr>
              <w:t xml:space="preserve"> new air</w:t>
            </w:r>
            <w:r>
              <w:rPr>
                <w:rFonts w:ascii="Times New Roman" w:hAnsi="Times New Roman" w:cs="Times New Roman"/>
                <w:color w:val="000000" w:themeColor="text1"/>
                <w:sz w:val="20"/>
                <w:szCs w:val="22"/>
              </w:rPr>
              <w:t>-</w:t>
            </w:r>
            <w:r w:rsidR="00E53072" w:rsidRPr="00AC18ED">
              <w:rPr>
                <w:rFonts w:ascii="Times New Roman" w:hAnsi="Times New Roman" w:cs="Times New Roman"/>
                <w:color w:val="000000" w:themeColor="text1"/>
                <w:sz w:val="20"/>
                <w:szCs w:val="22"/>
              </w:rPr>
              <w:t>polluting industries</w:t>
            </w:r>
            <w:r>
              <w:rPr>
                <w:rFonts w:ascii="Times New Roman" w:hAnsi="Times New Roman" w:cs="Times New Roman"/>
                <w:color w:val="000000" w:themeColor="text1"/>
                <w:sz w:val="20"/>
                <w:szCs w:val="22"/>
              </w:rPr>
              <w:t xml:space="preserve"> allowed</w:t>
            </w:r>
            <w:r w:rsidR="00E53072" w:rsidRPr="00AC18ED">
              <w:rPr>
                <w:rFonts w:ascii="Times New Roman" w:hAnsi="Times New Roman" w:cs="Times New Roman"/>
                <w:color w:val="000000" w:themeColor="text1"/>
                <w:sz w:val="20"/>
                <w:szCs w:val="22"/>
              </w:rPr>
              <w:t xml:space="preserve">. Closing </w:t>
            </w:r>
            <w:r>
              <w:rPr>
                <w:rFonts w:ascii="Times New Roman" w:hAnsi="Times New Roman" w:cs="Times New Roman"/>
                <w:color w:val="000000" w:themeColor="text1"/>
                <w:sz w:val="20"/>
                <w:szCs w:val="22"/>
              </w:rPr>
              <w:t xml:space="preserve">of </w:t>
            </w:r>
            <w:r w:rsidR="00E53072" w:rsidRPr="00AC18ED">
              <w:rPr>
                <w:rFonts w:ascii="Times New Roman" w:hAnsi="Times New Roman" w:cs="Times New Roman"/>
                <w:color w:val="000000" w:themeColor="text1"/>
                <w:sz w:val="20"/>
                <w:szCs w:val="22"/>
              </w:rPr>
              <w:t>highly polluting industries within city limits but continuing with fewer polluting industries</w:t>
            </w:r>
          </w:p>
        </w:tc>
        <w:tc>
          <w:tcPr>
            <w:tcW w:w="2835" w:type="dxa"/>
          </w:tcPr>
          <w:p w14:paraId="033EEF99" w14:textId="77777777" w:rsidR="00E53072" w:rsidRPr="00AC18ED" w:rsidRDefault="00E53072" w:rsidP="00AC18ED">
            <w:pPr>
              <w:jc w:val="both"/>
              <w:rPr>
                <w:rFonts w:ascii="Times New Roman" w:eastAsiaTheme="majorEastAsia" w:hAnsi="Times New Roman" w:cs="Times New Roman"/>
                <w:b/>
                <w:color w:val="000000" w:themeColor="text1"/>
                <w:sz w:val="20"/>
                <w:szCs w:val="22"/>
              </w:rPr>
            </w:pPr>
            <w:r w:rsidRPr="00AC18ED">
              <w:rPr>
                <w:rFonts w:ascii="Times New Roman" w:hAnsi="Times New Roman" w:cs="Times New Roman"/>
                <w:color w:val="000000" w:themeColor="text1"/>
                <w:sz w:val="20"/>
                <w:szCs w:val="22"/>
              </w:rPr>
              <w:t>Same as CSPs. Use of control equipment as applicable</w:t>
            </w:r>
          </w:p>
        </w:tc>
        <w:tc>
          <w:tcPr>
            <w:tcW w:w="2976" w:type="dxa"/>
          </w:tcPr>
          <w:p w14:paraId="207A6021" w14:textId="77777777" w:rsidR="00E53072" w:rsidRPr="00AC18ED" w:rsidRDefault="00E53072" w:rsidP="00AC18ED">
            <w:pPr>
              <w:adjustRightInd w:val="0"/>
              <w:jc w:val="both"/>
              <w:rPr>
                <w:rFonts w:ascii="Times New Roman" w:eastAsiaTheme="majorEastAsia" w:hAnsi="Times New Roman" w:cs="Times New Roman"/>
                <w:b/>
                <w:color w:val="000000" w:themeColor="text1"/>
                <w:sz w:val="20"/>
                <w:szCs w:val="22"/>
              </w:rPr>
            </w:pPr>
            <w:r w:rsidRPr="00AC18ED">
              <w:rPr>
                <w:rFonts w:ascii="Times New Roman" w:hAnsi="Times New Roman" w:cs="Times New Roman"/>
                <w:color w:val="000000" w:themeColor="text1"/>
                <w:sz w:val="20"/>
                <w:szCs w:val="22"/>
              </w:rPr>
              <w:t>Switching fuel in industrial sector from LDO/diesel/ fuel wood to Natural Gas, Use of control equipment same as CSPs</w:t>
            </w:r>
          </w:p>
        </w:tc>
        <w:tc>
          <w:tcPr>
            <w:tcW w:w="3069" w:type="dxa"/>
          </w:tcPr>
          <w:p w14:paraId="11C69787" w14:textId="77777777" w:rsidR="00E53072" w:rsidRPr="00AC18ED" w:rsidRDefault="00E53072" w:rsidP="00AC18ED">
            <w:pPr>
              <w:adjustRightInd w:val="0"/>
              <w:jc w:val="both"/>
              <w:rPr>
                <w:rFonts w:ascii="Times New Roman" w:eastAsiaTheme="majorEastAsia" w:hAnsi="Times New Roman" w:cs="Times New Roman"/>
                <w:b/>
                <w:color w:val="000000" w:themeColor="text1"/>
                <w:sz w:val="20"/>
                <w:szCs w:val="22"/>
              </w:rPr>
            </w:pPr>
            <w:r w:rsidRPr="00AC18ED">
              <w:rPr>
                <w:rFonts w:ascii="Times New Roman" w:hAnsi="Times New Roman" w:cs="Times New Roman"/>
                <w:color w:val="000000" w:themeColor="text1"/>
                <w:sz w:val="20"/>
                <w:szCs w:val="22"/>
              </w:rPr>
              <w:t xml:space="preserve">Same as LCI </w:t>
            </w:r>
          </w:p>
        </w:tc>
      </w:tr>
      <w:tr w:rsidR="00D45702" w:rsidRPr="00AC18ED" w14:paraId="208D130E" w14:textId="77777777" w:rsidTr="00D45702">
        <w:trPr>
          <w:trHeight w:val="41"/>
        </w:trPr>
        <w:tc>
          <w:tcPr>
            <w:tcW w:w="1417" w:type="dxa"/>
            <w:vMerge/>
          </w:tcPr>
          <w:p w14:paraId="15C15A42" w14:textId="77777777" w:rsidR="00E53072" w:rsidRPr="00AC18ED" w:rsidRDefault="00E53072" w:rsidP="00AC18ED">
            <w:pPr>
              <w:jc w:val="both"/>
              <w:rPr>
                <w:rFonts w:ascii="Times New Roman" w:eastAsiaTheme="majorEastAsia" w:hAnsi="Times New Roman" w:cs="Times New Roman"/>
                <w:color w:val="000000" w:themeColor="text1"/>
                <w:sz w:val="20"/>
                <w:szCs w:val="22"/>
              </w:rPr>
            </w:pPr>
          </w:p>
        </w:tc>
        <w:tc>
          <w:tcPr>
            <w:tcW w:w="3545" w:type="dxa"/>
          </w:tcPr>
          <w:p w14:paraId="35B04C3A" w14:textId="77777777" w:rsidR="00E53072" w:rsidRPr="00AC18ED" w:rsidRDefault="00E53072" w:rsidP="00AC18ED">
            <w:pPr>
              <w:adjustRightInd w:val="0"/>
              <w:jc w:val="both"/>
              <w:rPr>
                <w:rFonts w:ascii="Times New Roman" w:hAnsi="Times New Roman" w:cs="Times New Roman"/>
                <w:color w:val="000000" w:themeColor="text1"/>
                <w:sz w:val="20"/>
                <w:szCs w:val="22"/>
              </w:rPr>
            </w:pPr>
            <w:r w:rsidRPr="00AC18ED">
              <w:rPr>
                <w:rFonts w:ascii="Times New Roman" w:hAnsi="Times New Roman" w:cs="Times New Roman"/>
                <w:color w:val="000000" w:themeColor="text1"/>
                <w:sz w:val="20"/>
                <w:szCs w:val="22"/>
              </w:rPr>
              <w:t>Allowing non-polluting industries</w:t>
            </w:r>
          </w:p>
        </w:tc>
        <w:tc>
          <w:tcPr>
            <w:tcW w:w="2835" w:type="dxa"/>
          </w:tcPr>
          <w:p w14:paraId="47691407" w14:textId="77777777" w:rsidR="00E53072" w:rsidRPr="00AC18ED" w:rsidRDefault="00E53072" w:rsidP="00AC18ED">
            <w:pPr>
              <w:jc w:val="both"/>
              <w:rPr>
                <w:rFonts w:ascii="Times New Roman" w:hAnsi="Times New Roman" w:cs="Times New Roman"/>
                <w:color w:val="000000" w:themeColor="text1"/>
                <w:sz w:val="20"/>
                <w:szCs w:val="22"/>
              </w:rPr>
            </w:pPr>
            <w:r w:rsidRPr="00AC18ED">
              <w:rPr>
                <w:rFonts w:ascii="Times New Roman" w:hAnsi="Times New Roman" w:cs="Times New Roman"/>
                <w:color w:val="000000" w:themeColor="text1"/>
                <w:sz w:val="20"/>
                <w:szCs w:val="22"/>
              </w:rPr>
              <w:t>Same as CSPs</w:t>
            </w:r>
          </w:p>
        </w:tc>
        <w:tc>
          <w:tcPr>
            <w:tcW w:w="2976" w:type="dxa"/>
          </w:tcPr>
          <w:p w14:paraId="25322AE9" w14:textId="77777777" w:rsidR="00E53072" w:rsidRPr="00AC18ED" w:rsidRDefault="00E53072" w:rsidP="00AC18ED">
            <w:pPr>
              <w:jc w:val="both"/>
              <w:rPr>
                <w:rFonts w:ascii="Times New Roman" w:hAnsi="Times New Roman" w:cs="Times New Roman"/>
                <w:sz w:val="20"/>
                <w:szCs w:val="22"/>
              </w:rPr>
            </w:pPr>
            <w:r w:rsidRPr="00AC18ED">
              <w:rPr>
                <w:rFonts w:ascii="Times New Roman" w:hAnsi="Times New Roman" w:cs="Times New Roman"/>
                <w:sz w:val="20"/>
                <w:szCs w:val="22"/>
              </w:rPr>
              <w:t>Same as CSPs</w:t>
            </w:r>
          </w:p>
        </w:tc>
        <w:tc>
          <w:tcPr>
            <w:tcW w:w="3069" w:type="dxa"/>
          </w:tcPr>
          <w:p w14:paraId="10A4E25F" w14:textId="77777777" w:rsidR="00E53072" w:rsidRPr="00AC18ED" w:rsidRDefault="00E53072" w:rsidP="00AC18ED">
            <w:pPr>
              <w:jc w:val="both"/>
              <w:rPr>
                <w:rFonts w:ascii="Times New Roman" w:hAnsi="Times New Roman" w:cs="Times New Roman"/>
                <w:sz w:val="20"/>
                <w:szCs w:val="22"/>
              </w:rPr>
            </w:pPr>
            <w:r w:rsidRPr="00AC18ED">
              <w:rPr>
                <w:rFonts w:ascii="Times New Roman" w:hAnsi="Times New Roman" w:cs="Times New Roman"/>
                <w:sz w:val="20"/>
                <w:szCs w:val="22"/>
              </w:rPr>
              <w:t>Same as CSPs</w:t>
            </w:r>
          </w:p>
        </w:tc>
      </w:tr>
      <w:tr w:rsidR="00D45702" w:rsidRPr="00AC18ED" w14:paraId="097FCDDC" w14:textId="77777777" w:rsidTr="00D45702">
        <w:trPr>
          <w:trHeight w:val="62"/>
        </w:trPr>
        <w:tc>
          <w:tcPr>
            <w:tcW w:w="1417" w:type="dxa"/>
            <w:vMerge w:val="restart"/>
          </w:tcPr>
          <w:p w14:paraId="5F20D0EF" w14:textId="77777777" w:rsidR="005C0F2D" w:rsidRPr="00AC18ED" w:rsidRDefault="005C0F2D" w:rsidP="00AC18ED">
            <w:pPr>
              <w:jc w:val="both"/>
              <w:rPr>
                <w:rFonts w:ascii="Times New Roman" w:hAnsi="Times New Roman" w:cs="Times New Roman"/>
                <w:color w:val="000000" w:themeColor="text1"/>
                <w:sz w:val="20"/>
                <w:szCs w:val="22"/>
              </w:rPr>
            </w:pPr>
          </w:p>
          <w:p w14:paraId="08FC3A4B" w14:textId="77777777" w:rsidR="005C0F2D" w:rsidRPr="00AC18ED" w:rsidRDefault="005C0F2D" w:rsidP="00AC18ED">
            <w:pPr>
              <w:jc w:val="both"/>
              <w:rPr>
                <w:rFonts w:ascii="Times New Roman" w:eastAsiaTheme="majorEastAsia" w:hAnsi="Times New Roman" w:cs="Times New Roman"/>
                <w:b/>
                <w:color w:val="000000" w:themeColor="text1"/>
                <w:sz w:val="20"/>
                <w:szCs w:val="22"/>
              </w:rPr>
            </w:pPr>
            <w:r w:rsidRPr="00AC18ED">
              <w:rPr>
                <w:rFonts w:ascii="Times New Roman" w:hAnsi="Times New Roman" w:cs="Times New Roman"/>
                <w:color w:val="000000" w:themeColor="text1"/>
                <w:sz w:val="20"/>
                <w:szCs w:val="22"/>
              </w:rPr>
              <w:t>Transport</w:t>
            </w:r>
          </w:p>
        </w:tc>
        <w:tc>
          <w:tcPr>
            <w:tcW w:w="3545" w:type="dxa"/>
          </w:tcPr>
          <w:p w14:paraId="4F54FE13" w14:textId="082E8A35" w:rsidR="005C0F2D" w:rsidRPr="00AC18ED" w:rsidRDefault="005C0F2D" w:rsidP="00AC18ED">
            <w:pPr>
              <w:jc w:val="both"/>
              <w:rPr>
                <w:rFonts w:ascii="Times New Roman" w:eastAsiaTheme="majorEastAsia" w:hAnsi="Times New Roman" w:cs="Times New Roman"/>
                <w:b/>
                <w:sz w:val="20"/>
                <w:szCs w:val="22"/>
              </w:rPr>
            </w:pPr>
            <w:r w:rsidRPr="00AC18ED">
              <w:rPr>
                <w:rFonts w:ascii="Times New Roman" w:hAnsi="Times New Roman" w:cs="Times New Roman"/>
                <w:sz w:val="20"/>
                <w:szCs w:val="22"/>
              </w:rPr>
              <w:t>For heavy vehicles BS-VI measures</w:t>
            </w:r>
            <w:r w:rsidR="00D11FA4">
              <w:rPr>
                <w:rFonts w:ascii="Times New Roman" w:hAnsi="Times New Roman" w:cs="Times New Roman"/>
                <w:sz w:val="20"/>
                <w:szCs w:val="22"/>
              </w:rPr>
              <w:t>,</w:t>
            </w:r>
            <w:r w:rsidRPr="00AC18ED">
              <w:rPr>
                <w:rFonts w:ascii="Times New Roman" w:hAnsi="Times New Roman" w:cs="Times New Roman"/>
                <w:sz w:val="20"/>
                <w:szCs w:val="22"/>
              </w:rPr>
              <w:t xml:space="preserve"> from 2020</w:t>
            </w:r>
            <w:r w:rsidR="00D11FA4">
              <w:rPr>
                <w:rFonts w:ascii="Times New Roman" w:hAnsi="Times New Roman" w:cs="Times New Roman"/>
                <w:sz w:val="20"/>
                <w:szCs w:val="22"/>
              </w:rPr>
              <w:t xml:space="preserve"> cancellation of </w:t>
            </w:r>
            <w:r w:rsidRPr="00AC18ED">
              <w:rPr>
                <w:rFonts w:ascii="Times New Roman" w:hAnsi="Times New Roman" w:cs="Times New Roman"/>
                <w:sz w:val="20"/>
                <w:szCs w:val="22"/>
              </w:rPr>
              <w:t xml:space="preserve">registration </w:t>
            </w:r>
            <w:r w:rsidR="00D11FA4">
              <w:rPr>
                <w:rFonts w:ascii="Times New Roman" w:hAnsi="Times New Roman" w:cs="Times New Roman"/>
                <w:sz w:val="20"/>
                <w:szCs w:val="22"/>
              </w:rPr>
              <w:t>of</w:t>
            </w:r>
            <w:r w:rsidRPr="00AC18ED">
              <w:rPr>
                <w:rFonts w:ascii="Times New Roman" w:hAnsi="Times New Roman" w:cs="Times New Roman"/>
                <w:sz w:val="20"/>
                <w:szCs w:val="22"/>
              </w:rPr>
              <w:t xml:space="preserve"> vehicle more than 1</w:t>
            </w:r>
            <w:r w:rsidR="00D11FA4">
              <w:rPr>
                <w:rFonts w:ascii="Times New Roman" w:hAnsi="Times New Roman" w:cs="Times New Roman"/>
                <w:sz w:val="20"/>
                <w:szCs w:val="22"/>
              </w:rPr>
              <w:t>5</w:t>
            </w:r>
            <w:r w:rsidR="001D1A8E">
              <w:rPr>
                <w:rFonts w:ascii="Times New Roman" w:hAnsi="Times New Roman" w:cs="Times New Roman"/>
                <w:sz w:val="20"/>
                <w:szCs w:val="22"/>
              </w:rPr>
              <w:t xml:space="preserve"> </w:t>
            </w:r>
            <w:r w:rsidRPr="00AC18ED">
              <w:rPr>
                <w:rFonts w:ascii="Times New Roman" w:hAnsi="Times New Roman" w:cs="Times New Roman"/>
                <w:sz w:val="20"/>
                <w:szCs w:val="22"/>
              </w:rPr>
              <w:t>years</w:t>
            </w:r>
            <w:r w:rsidR="001D1A8E">
              <w:rPr>
                <w:rFonts w:ascii="Times New Roman" w:hAnsi="Times New Roman" w:cs="Times New Roman"/>
                <w:sz w:val="20"/>
                <w:szCs w:val="22"/>
              </w:rPr>
              <w:t xml:space="preserve"> </w:t>
            </w:r>
            <w:r w:rsidRPr="00AC18ED">
              <w:rPr>
                <w:rFonts w:ascii="Times New Roman" w:hAnsi="Times New Roman" w:cs="Times New Roman"/>
                <w:sz w:val="20"/>
                <w:szCs w:val="22"/>
              </w:rPr>
              <w:t>old*</w:t>
            </w:r>
          </w:p>
        </w:tc>
        <w:tc>
          <w:tcPr>
            <w:tcW w:w="2835" w:type="dxa"/>
          </w:tcPr>
          <w:p w14:paraId="0AA40CE7" w14:textId="77777777" w:rsidR="005C0F2D" w:rsidRPr="00AC18ED" w:rsidRDefault="005C0F2D" w:rsidP="00AC18ED">
            <w:pPr>
              <w:jc w:val="both"/>
              <w:rPr>
                <w:rFonts w:ascii="Times New Roman" w:hAnsi="Times New Roman" w:cs="Times New Roman"/>
                <w:sz w:val="20"/>
                <w:szCs w:val="22"/>
              </w:rPr>
            </w:pPr>
            <w:r w:rsidRPr="00AC18ED">
              <w:rPr>
                <w:rFonts w:ascii="Times New Roman" w:hAnsi="Times New Roman" w:cs="Times New Roman"/>
                <w:sz w:val="20"/>
                <w:szCs w:val="22"/>
              </w:rPr>
              <w:t>Same as CSPs</w:t>
            </w:r>
          </w:p>
        </w:tc>
        <w:tc>
          <w:tcPr>
            <w:tcW w:w="2976" w:type="dxa"/>
          </w:tcPr>
          <w:p w14:paraId="528F9FE8" w14:textId="77777777" w:rsidR="005C0F2D" w:rsidRPr="00AC18ED" w:rsidRDefault="005C0F2D" w:rsidP="00AC18ED">
            <w:pPr>
              <w:jc w:val="both"/>
              <w:rPr>
                <w:rFonts w:ascii="Times New Roman" w:hAnsi="Times New Roman" w:cs="Times New Roman"/>
                <w:sz w:val="20"/>
                <w:szCs w:val="22"/>
              </w:rPr>
            </w:pPr>
            <w:r w:rsidRPr="00AC18ED">
              <w:rPr>
                <w:rFonts w:ascii="Times New Roman" w:hAnsi="Times New Roman" w:cs="Times New Roman"/>
                <w:sz w:val="20"/>
                <w:szCs w:val="22"/>
              </w:rPr>
              <w:t>Same as CSPs</w:t>
            </w:r>
          </w:p>
        </w:tc>
        <w:tc>
          <w:tcPr>
            <w:tcW w:w="3069" w:type="dxa"/>
            <w:vMerge w:val="restart"/>
          </w:tcPr>
          <w:p w14:paraId="279FE335" w14:textId="77777777" w:rsidR="005C0F2D" w:rsidRPr="00AC18ED" w:rsidRDefault="005C0F2D" w:rsidP="00AC18ED">
            <w:pPr>
              <w:adjustRightInd w:val="0"/>
              <w:jc w:val="both"/>
              <w:rPr>
                <w:rFonts w:ascii="Times New Roman" w:hAnsi="Times New Roman" w:cs="Times New Roman"/>
                <w:sz w:val="20"/>
                <w:szCs w:val="22"/>
              </w:rPr>
            </w:pPr>
            <w:r w:rsidRPr="00AC18ED">
              <w:rPr>
                <w:rFonts w:ascii="Times New Roman" w:hAnsi="Times New Roman" w:cs="Times New Roman"/>
                <w:sz w:val="20"/>
                <w:szCs w:val="22"/>
              </w:rPr>
              <w:t>BAN on vehicles less than BS-IV from 2020 over and above CSPs</w:t>
            </w:r>
          </w:p>
          <w:p w14:paraId="6AF664A4" w14:textId="76D3F29E" w:rsidR="005C0F2D" w:rsidRPr="00AC18ED" w:rsidRDefault="005C0F2D" w:rsidP="00AC18ED">
            <w:pPr>
              <w:jc w:val="both"/>
              <w:rPr>
                <w:rFonts w:ascii="Times New Roman" w:hAnsi="Times New Roman" w:cs="Times New Roman"/>
                <w:sz w:val="20"/>
                <w:szCs w:val="22"/>
              </w:rPr>
            </w:pPr>
          </w:p>
        </w:tc>
      </w:tr>
      <w:tr w:rsidR="00D45702" w:rsidRPr="00AC18ED" w14:paraId="3EE5B83E" w14:textId="77777777" w:rsidTr="00D45702">
        <w:trPr>
          <w:trHeight w:val="306"/>
        </w:trPr>
        <w:tc>
          <w:tcPr>
            <w:tcW w:w="1417" w:type="dxa"/>
            <w:vMerge/>
          </w:tcPr>
          <w:p w14:paraId="07092227" w14:textId="77777777" w:rsidR="005C0F2D" w:rsidRPr="00AC18ED" w:rsidRDefault="005C0F2D" w:rsidP="00AC18ED">
            <w:pPr>
              <w:jc w:val="both"/>
              <w:rPr>
                <w:rFonts w:ascii="Times New Roman" w:eastAsiaTheme="majorEastAsia" w:hAnsi="Times New Roman" w:cs="Times New Roman"/>
                <w:b/>
                <w:color w:val="000000" w:themeColor="text1"/>
                <w:sz w:val="20"/>
                <w:szCs w:val="22"/>
              </w:rPr>
            </w:pPr>
          </w:p>
        </w:tc>
        <w:tc>
          <w:tcPr>
            <w:tcW w:w="3545" w:type="dxa"/>
          </w:tcPr>
          <w:p w14:paraId="046FF29C" w14:textId="020A7930" w:rsidR="005C0F2D" w:rsidRPr="00AC18ED" w:rsidRDefault="005C0F2D" w:rsidP="00AC18ED">
            <w:pPr>
              <w:adjustRightInd w:val="0"/>
              <w:jc w:val="both"/>
              <w:rPr>
                <w:rFonts w:ascii="Times New Roman" w:eastAsiaTheme="majorEastAsia" w:hAnsi="Times New Roman" w:cs="Times New Roman"/>
                <w:b/>
                <w:sz w:val="20"/>
                <w:szCs w:val="22"/>
              </w:rPr>
            </w:pPr>
            <w:r w:rsidRPr="00AC18ED">
              <w:rPr>
                <w:rFonts w:ascii="Times New Roman" w:hAnsi="Times New Roman" w:cs="Times New Roman"/>
                <w:sz w:val="20"/>
                <w:szCs w:val="22"/>
              </w:rPr>
              <w:t>Introduction of BS-III measures in 2</w:t>
            </w:r>
            <w:r w:rsidR="00D11FA4">
              <w:rPr>
                <w:rFonts w:ascii="Times New Roman" w:hAnsi="Times New Roman" w:cs="Times New Roman"/>
                <w:sz w:val="20"/>
                <w:szCs w:val="22"/>
              </w:rPr>
              <w:t>-</w:t>
            </w:r>
            <w:r w:rsidRPr="00AC18ED">
              <w:rPr>
                <w:rFonts w:ascii="Times New Roman" w:hAnsi="Times New Roman" w:cs="Times New Roman"/>
                <w:sz w:val="20"/>
                <w:szCs w:val="22"/>
              </w:rPr>
              <w:t>W and 3</w:t>
            </w:r>
            <w:r w:rsidR="00D11FA4">
              <w:rPr>
                <w:rFonts w:ascii="Times New Roman" w:hAnsi="Times New Roman" w:cs="Times New Roman"/>
                <w:sz w:val="20"/>
                <w:szCs w:val="22"/>
              </w:rPr>
              <w:t>-</w:t>
            </w:r>
            <w:r w:rsidRPr="00AC18ED">
              <w:rPr>
                <w:rFonts w:ascii="Times New Roman" w:hAnsi="Times New Roman" w:cs="Times New Roman"/>
                <w:sz w:val="20"/>
                <w:szCs w:val="22"/>
              </w:rPr>
              <w:t>W from 2010; registration cancellation for vehicle more than 15 years old*; BS-VI measures from 2020 for new registrations</w:t>
            </w:r>
          </w:p>
        </w:tc>
        <w:tc>
          <w:tcPr>
            <w:tcW w:w="2835" w:type="dxa"/>
          </w:tcPr>
          <w:p w14:paraId="55BB063D" w14:textId="77777777" w:rsidR="005C0F2D" w:rsidRPr="00AC18ED" w:rsidRDefault="005C0F2D" w:rsidP="00AC18ED">
            <w:pPr>
              <w:jc w:val="both"/>
              <w:rPr>
                <w:rFonts w:ascii="Times New Roman" w:hAnsi="Times New Roman" w:cs="Times New Roman"/>
                <w:sz w:val="20"/>
                <w:szCs w:val="22"/>
              </w:rPr>
            </w:pPr>
            <w:r w:rsidRPr="00AC18ED">
              <w:rPr>
                <w:rFonts w:ascii="Times New Roman" w:hAnsi="Times New Roman" w:cs="Times New Roman"/>
                <w:sz w:val="20"/>
                <w:szCs w:val="22"/>
              </w:rPr>
              <w:t>Same as CSPs</w:t>
            </w:r>
          </w:p>
        </w:tc>
        <w:tc>
          <w:tcPr>
            <w:tcW w:w="2976" w:type="dxa"/>
          </w:tcPr>
          <w:p w14:paraId="02EB3B83" w14:textId="77777777" w:rsidR="005C0F2D" w:rsidRPr="00AC18ED" w:rsidRDefault="005C0F2D" w:rsidP="00AC18ED">
            <w:pPr>
              <w:jc w:val="both"/>
              <w:rPr>
                <w:rFonts w:ascii="Times New Roman" w:hAnsi="Times New Roman" w:cs="Times New Roman"/>
                <w:sz w:val="20"/>
                <w:szCs w:val="22"/>
              </w:rPr>
            </w:pPr>
            <w:r w:rsidRPr="00AC18ED">
              <w:rPr>
                <w:rFonts w:ascii="Times New Roman" w:hAnsi="Times New Roman" w:cs="Times New Roman"/>
                <w:sz w:val="20"/>
                <w:szCs w:val="22"/>
              </w:rPr>
              <w:t>Same as CSPs</w:t>
            </w:r>
          </w:p>
        </w:tc>
        <w:tc>
          <w:tcPr>
            <w:tcW w:w="3069" w:type="dxa"/>
            <w:vMerge/>
          </w:tcPr>
          <w:p w14:paraId="1556D2E8" w14:textId="507EB2D8" w:rsidR="005C0F2D" w:rsidRPr="00AC18ED" w:rsidRDefault="005C0F2D" w:rsidP="00AC18ED">
            <w:pPr>
              <w:jc w:val="both"/>
              <w:rPr>
                <w:rFonts w:ascii="Times New Roman" w:hAnsi="Times New Roman" w:cs="Times New Roman"/>
                <w:sz w:val="20"/>
                <w:szCs w:val="22"/>
              </w:rPr>
            </w:pPr>
          </w:p>
        </w:tc>
      </w:tr>
      <w:tr w:rsidR="00D45702" w:rsidRPr="00AC18ED" w14:paraId="048F08D0" w14:textId="77777777" w:rsidTr="00D45702">
        <w:trPr>
          <w:trHeight w:val="425"/>
        </w:trPr>
        <w:tc>
          <w:tcPr>
            <w:tcW w:w="1417" w:type="dxa"/>
            <w:vMerge/>
          </w:tcPr>
          <w:p w14:paraId="0DDA0894" w14:textId="77777777" w:rsidR="005C0F2D" w:rsidRPr="00AC18ED" w:rsidRDefault="005C0F2D" w:rsidP="00AC18ED">
            <w:pPr>
              <w:jc w:val="both"/>
              <w:rPr>
                <w:rFonts w:ascii="Times New Roman" w:eastAsiaTheme="majorEastAsia" w:hAnsi="Times New Roman" w:cs="Times New Roman"/>
                <w:b/>
                <w:color w:val="000000" w:themeColor="text1"/>
                <w:sz w:val="20"/>
                <w:szCs w:val="22"/>
              </w:rPr>
            </w:pPr>
          </w:p>
        </w:tc>
        <w:tc>
          <w:tcPr>
            <w:tcW w:w="3545" w:type="dxa"/>
          </w:tcPr>
          <w:p w14:paraId="0087D862" w14:textId="77777777" w:rsidR="005C0F2D" w:rsidRPr="00AC18ED" w:rsidRDefault="005C0F2D" w:rsidP="00AC18ED">
            <w:pPr>
              <w:adjustRightInd w:val="0"/>
              <w:jc w:val="both"/>
              <w:rPr>
                <w:rFonts w:ascii="Times New Roman" w:hAnsi="Times New Roman" w:cs="Times New Roman"/>
                <w:sz w:val="20"/>
                <w:szCs w:val="22"/>
              </w:rPr>
            </w:pPr>
            <w:r w:rsidRPr="00AC18ED">
              <w:rPr>
                <w:rFonts w:ascii="Times New Roman" w:hAnsi="Times New Roman" w:cs="Times New Roman"/>
                <w:sz w:val="20"/>
                <w:szCs w:val="22"/>
              </w:rPr>
              <w:t>Introduction of BS-IV measures from 2010; registration cancellation for vehicle more than 15 years old*; BS-VI from 2020 for four wheelers</w:t>
            </w:r>
          </w:p>
        </w:tc>
        <w:tc>
          <w:tcPr>
            <w:tcW w:w="2835" w:type="dxa"/>
          </w:tcPr>
          <w:p w14:paraId="7684C712" w14:textId="77777777" w:rsidR="005C0F2D" w:rsidRPr="00AC18ED" w:rsidRDefault="005C0F2D" w:rsidP="00AC18ED">
            <w:pPr>
              <w:jc w:val="both"/>
              <w:rPr>
                <w:rFonts w:ascii="Times New Roman" w:hAnsi="Times New Roman" w:cs="Times New Roman"/>
                <w:sz w:val="20"/>
                <w:szCs w:val="22"/>
              </w:rPr>
            </w:pPr>
            <w:r w:rsidRPr="00AC18ED">
              <w:rPr>
                <w:rFonts w:ascii="Times New Roman" w:hAnsi="Times New Roman" w:cs="Times New Roman"/>
                <w:sz w:val="20"/>
                <w:szCs w:val="22"/>
              </w:rPr>
              <w:t>Same as CSPs</w:t>
            </w:r>
          </w:p>
        </w:tc>
        <w:tc>
          <w:tcPr>
            <w:tcW w:w="2976" w:type="dxa"/>
          </w:tcPr>
          <w:p w14:paraId="5ED5E278" w14:textId="77777777" w:rsidR="005C0F2D" w:rsidRPr="00AC18ED" w:rsidRDefault="005C0F2D" w:rsidP="00AC18ED">
            <w:pPr>
              <w:jc w:val="both"/>
              <w:rPr>
                <w:rFonts w:ascii="Times New Roman" w:hAnsi="Times New Roman" w:cs="Times New Roman"/>
                <w:sz w:val="20"/>
                <w:szCs w:val="22"/>
              </w:rPr>
            </w:pPr>
            <w:r w:rsidRPr="00AC18ED">
              <w:rPr>
                <w:rFonts w:ascii="Times New Roman" w:hAnsi="Times New Roman" w:cs="Times New Roman"/>
                <w:sz w:val="20"/>
                <w:szCs w:val="22"/>
              </w:rPr>
              <w:t>Same as CSPs</w:t>
            </w:r>
          </w:p>
        </w:tc>
        <w:tc>
          <w:tcPr>
            <w:tcW w:w="3069" w:type="dxa"/>
            <w:vMerge/>
          </w:tcPr>
          <w:p w14:paraId="4E5DEE62" w14:textId="0EAD5D2F" w:rsidR="005C0F2D" w:rsidRPr="00AC18ED" w:rsidRDefault="005C0F2D" w:rsidP="00AC18ED">
            <w:pPr>
              <w:jc w:val="both"/>
              <w:rPr>
                <w:rFonts w:ascii="Times New Roman" w:hAnsi="Times New Roman" w:cs="Times New Roman"/>
                <w:sz w:val="20"/>
                <w:szCs w:val="22"/>
              </w:rPr>
            </w:pPr>
          </w:p>
        </w:tc>
      </w:tr>
      <w:tr w:rsidR="00D45702" w:rsidRPr="00AC18ED" w14:paraId="2EC53DFF" w14:textId="77777777" w:rsidTr="00D45702">
        <w:trPr>
          <w:trHeight w:val="29"/>
        </w:trPr>
        <w:tc>
          <w:tcPr>
            <w:tcW w:w="1417" w:type="dxa"/>
            <w:vMerge/>
          </w:tcPr>
          <w:p w14:paraId="7E51B38E" w14:textId="77777777" w:rsidR="00E53072" w:rsidRPr="00AC18ED" w:rsidRDefault="00E53072" w:rsidP="00AC18ED">
            <w:pPr>
              <w:jc w:val="both"/>
              <w:rPr>
                <w:rFonts w:ascii="Times New Roman" w:eastAsiaTheme="majorEastAsia" w:hAnsi="Times New Roman" w:cs="Times New Roman"/>
                <w:b/>
                <w:color w:val="000000" w:themeColor="text1"/>
                <w:sz w:val="20"/>
                <w:szCs w:val="22"/>
              </w:rPr>
            </w:pPr>
          </w:p>
        </w:tc>
        <w:tc>
          <w:tcPr>
            <w:tcW w:w="3545" w:type="dxa"/>
          </w:tcPr>
          <w:p w14:paraId="1F623DEF" w14:textId="77777777" w:rsidR="00E53072" w:rsidRPr="00AC18ED" w:rsidRDefault="00E53072" w:rsidP="00AC18ED">
            <w:pPr>
              <w:adjustRightInd w:val="0"/>
              <w:jc w:val="both"/>
              <w:rPr>
                <w:rFonts w:ascii="Times New Roman" w:hAnsi="Times New Roman" w:cs="Times New Roman"/>
                <w:color w:val="000000" w:themeColor="text1"/>
                <w:sz w:val="20"/>
                <w:szCs w:val="22"/>
              </w:rPr>
            </w:pPr>
            <w:r w:rsidRPr="00AC18ED">
              <w:rPr>
                <w:rFonts w:ascii="Times New Roman" w:hAnsi="Times New Roman" w:cs="Times New Roman"/>
                <w:color w:val="000000" w:themeColor="text1"/>
                <w:sz w:val="20"/>
                <w:szCs w:val="22"/>
              </w:rPr>
              <w:t>No restriction in number of vehicles in active fleet</w:t>
            </w:r>
          </w:p>
        </w:tc>
        <w:tc>
          <w:tcPr>
            <w:tcW w:w="2835" w:type="dxa"/>
          </w:tcPr>
          <w:p w14:paraId="16EEAA4E" w14:textId="77777777" w:rsidR="00E53072" w:rsidRPr="00AC18ED" w:rsidRDefault="00E53072" w:rsidP="00AC18ED">
            <w:pPr>
              <w:adjustRightInd w:val="0"/>
              <w:jc w:val="both"/>
              <w:rPr>
                <w:rFonts w:ascii="Times New Roman" w:hAnsi="Times New Roman" w:cs="Times New Roman"/>
                <w:color w:val="000000" w:themeColor="text1"/>
                <w:sz w:val="20"/>
                <w:szCs w:val="22"/>
              </w:rPr>
            </w:pPr>
            <w:r w:rsidRPr="00AC18ED">
              <w:rPr>
                <w:rFonts w:ascii="Times New Roman" w:hAnsi="Times New Roman" w:cs="Times New Roman"/>
                <w:color w:val="000000" w:themeColor="text1"/>
                <w:sz w:val="20"/>
                <w:szCs w:val="22"/>
              </w:rPr>
              <w:t>No restriction</w:t>
            </w:r>
          </w:p>
        </w:tc>
        <w:tc>
          <w:tcPr>
            <w:tcW w:w="2976" w:type="dxa"/>
          </w:tcPr>
          <w:p w14:paraId="5D0839D1" w14:textId="77777777" w:rsidR="00E53072" w:rsidRPr="00AC18ED" w:rsidRDefault="00E53072" w:rsidP="00AC18ED">
            <w:pPr>
              <w:jc w:val="both"/>
              <w:rPr>
                <w:rFonts w:ascii="Times New Roman" w:hAnsi="Times New Roman" w:cs="Times New Roman"/>
                <w:color w:val="000000" w:themeColor="text1"/>
                <w:sz w:val="20"/>
                <w:szCs w:val="22"/>
              </w:rPr>
            </w:pPr>
            <w:r w:rsidRPr="00AC18ED">
              <w:rPr>
                <w:rFonts w:ascii="Times New Roman" w:hAnsi="Times New Roman" w:cs="Times New Roman"/>
                <w:color w:val="000000" w:themeColor="text1"/>
                <w:sz w:val="20"/>
                <w:szCs w:val="22"/>
              </w:rPr>
              <w:t>No restriction</w:t>
            </w:r>
          </w:p>
        </w:tc>
        <w:tc>
          <w:tcPr>
            <w:tcW w:w="3069" w:type="dxa"/>
          </w:tcPr>
          <w:p w14:paraId="1F9EEBB5" w14:textId="3E44DE70" w:rsidR="00E53072" w:rsidRPr="00AC18ED" w:rsidRDefault="00E53072" w:rsidP="00AC18ED">
            <w:pPr>
              <w:jc w:val="both"/>
              <w:rPr>
                <w:rFonts w:ascii="Times New Roman" w:hAnsi="Times New Roman" w:cs="Times New Roman"/>
                <w:color w:val="000000" w:themeColor="text1"/>
                <w:sz w:val="20"/>
                <w:szCs w:val="22"/>
              </w:rPr>
            </w:pPr>
            <w:r w:rsidRPr="00AC18ED">
              <w:rPr>
                <w:rFonts w:ascii="Times New Roman" w:hAnsi="Times New Roman" w:cs="Times New Roman"/>
                <w:color w:val="000000" w:themeColor="text1"/>
                <w:sz w:val="20"/>
                <w:szCs w:val="22"/>
              </w:rPr>
              <w:t>Restriction for 2</w:t>
            </w:r>
            <w:r w:rsidR="001D1A8E">
              <w:rPr>
                <w:rFonts w:ascii="Times New Roman" w:hAnsi="Times New Roman" w:cs="Times New Roman"/>
                <w:color w:val="000000" w:themeColor="text1"/>
                <w:sz w:val="20"/>
                <w:szCs w:val="22"/>
              </w:rPr>
              <w:t>-</w:t>
            </w:r>
            <w:r w:rsidRPr="00AC18ED">
              <w:rPr>
                <w:rFonts w:ascii="Times New Roman" w:hAnsi="Times New Roman" w:cs="Times New Roman"/>
                <w:color w:val="000000" w:themeColor="text1"/>
                <w:sz w:val="20"/>
                <w:szCs w:val="22"/>
              </w:rPr>
              <w:t>W and 4</w:t>
            </w:r>
            <w:r w:rsidR="001D1A8E">
              <w:rPr>
                <w:rFonts w:ascii="Times New Roman" w:hAnsi="Times New Roman" w:cs="Times New Roman"/>
                <w:color w:val="000000" w:themeColor="text1"/>
                <w:sz w:val="20"/>
                <w:szCs w:val="22"/>
              </w:rPr>
              <w:t>-</w:t>
            </w:r>
            <w:r w:rsidRPr="00AC18ED">
              <w:rPr>
                <w:rFonts w:ascii="Times New Roman" w:hAnsi="Times New Roman" w:cs="Times New Roman"/>
                <w:color w:val="000000" w:themeColor="text1"/>
                <w:sz w:val="20"/>
                <w:szCs w:val="22"/>
              </w:rPr>
              <w:t xml:space="preserve">W car in active fleet (up to 50% by 2030 of </w:t>
            </w:r>
            <w:r w:rsidRPr="00AC18ED">
              <w:rPr>
                <w:rFonts w:ascii="Times New Roman" w:hAnsi="Times New Roman" w:cs="Times New Roman"/>
                <w:color w:val="000000" w:themeColor="text1"/>
                <w:sz w:val="20"/>
                <w:szCs w:val="22"/>
              </w:rPr>
              <w:lastRenderedPageBreak/>
              <w:t xml:space="preserve">CSP scenario) with shift </w:t>
            </w:r>
            <w:r w:rsidR="00D066B9">
              <w:rPr>
                <w:rFonts w:ascii="Times New Roman" w:hAnsi="Times New Roman" w:cs="Times New Roman"/>
                <w:color w:val="000000" w:themeColor="text1"/>
                <w:sz w:val="20"/>
                <w:szCs w:val="22"/>
              </w:rPr>
              <w:t>toward</w:t>
            </w:r>
            <w:r w:rsidRPr="00AC18ED">
              <w:rPr>
                <w:rFonts w:ascii="Times New Roman" w:hAnsi="Times New Roman" w:cs="Times New Roman"/>
                <w:color w:val="000000" w:themeColor="text1"/>
                <w:sz w:val="20"/>
                <w:szCs w:val="22"/>
              </w:rPr>
              <w:t xml:space="preserve"> public transport (BS-VI compliant </w:t>
            </w:r>
            <w:r w:rsidR="001D1A8E">
              <w:rPr>
                <w:rFonts w:ascii="Times New Roman" w:hAnsi="Times New Roman" w:cs="Times New Roman"/>
                <w:color w:val="000000" w:themeColor="text1"/>
                <w:sz w:val="20"/>
                <w:szCs w:val="22"/>
              </w:rPr>
              <w:t>b</w:t>
            </w:r>
            <w:r w:rsidR="001D1A8E" w:rsidRPr="00AC18ED">
              <w:rPr>
                <w:rFonts w:ascii="Times New Roman" w:hAnsi="Times New Roman" w:cs="Times New Roman"/>
                <w:color w:val="000000" w:themeColor="text1"/>
                <w:sz w:val="20"/>
                <w:szCs w:val="22"/>
              </w:rPr>
              <w:t>uses</w:t>
            </w:r>
            <w:r w:rsidRPr="00AC18ED">
              <w:rPr>
                <w:rFonts w:ascii="Times New Roman" w:hAnsi="Times New Roman" w:cs="Times New Roman"/>
                <w:color w:val="000000" w:themeColor="text1"/>
                <w:sz w:val="20"/>
                <w:szCs w:val="22"/>
              </w:rPr>
              <w:t>)</w:t>
            </w:r>
          </w:p>
        </w:tc>
      </w:tr>
      <w:tr w:rsidR="00D45702" w:rsidRPr="00AC18ED" w14:paraId="0E45B843" w14:textId="77777777" w:rsidTr="00D45702">
        <w:trPr>
          <w:trHeight w:val="488"/>
        </w:trPr>
        <w:tc>
          <w:tcPr>
            <w:tcW w:w="1417" w:type="dxa"/>
          </w:tcPr>
          <w:p w14:paraId="5FE81ECD" w14:textId="77777777" w:rsidR="00E53072" w:rsidRPr="00AC18ED" w:rsidRDefault="00E53072" w:rsidP="00AC18ED">
            <w:pPr>
              <w:rPr>
                <w:rFonts w:ascii="Times New Roman" w:eastAsiaTheme="majorEastAsia" w:hAnsi="Times New Roman" w:cs="Times New Roman"/>
                <w:color w:val="000000" w:themeColor="text1"/>
                <w:sz w:val="20"/>
                <w:szCs w:val="22"/>
              </w:rPr>
            </w:pPr>
            <w:r w:rsidRPr="00AC18ED">
              <w:rPr>
                <w:rFonts w:ascii="Times New Roman" w:eastAsiaTheme="majorEastAsia" w:hAnsi="Times New Roman" w:cs="Times New Roman"/>
                <w:color w:val="000000" w:themeColor="text1"/>
                <w:sz w:val="20"/>
                <w:szCs w:val="22"/>
              </w:rPr>
              <w:lastRenderedPageBreak/>
              <w:t>F</w:t>
            </w:r>
            <w:r w:rsidRPr="00AC18ED">
              <w:rPr>
                <w:rFonts w:ascii="Times New Roman" w:hAnsi="Times New Roman" w:cs="Times New Roman"/>
                <w:color w:val="000000" w:themeColor="text1"/>
                <w:sz w:val="20"/>
                <w:szCs w:val="22"/>
              </w:rPr>
              <w:t xml:space="preserve">uel switch and </w:t>
            </w:r>
            <w:r w:rsidRPr="00AC18ED">
              <w:rPr>
                <w:rFonts w:ascii="Times New Roman" w:eastAsiaTheme="majorEastAsia" w:hAnsi="Times New Roman" w:cs="Times New Roman"/>
                <w:color w:val="000000" w:themeColor="text1"/>
                <w:sz w:val="20"/>
                <w:szCs w:val="22"/>
              </w:rPr>
              <w:t xml:space="preserve">Fuel quality </w:t>
            </w:r>
            <w:r w:rsidRPr="00AC18ED">
              <w:rPr>
                <w:rFonts w:ascii="Times New Roman" w:hAnsi="Times New Roman" w:cs="Times New Roman"/>
                <w:color w:val="000000" w:themeColor="text1"/>
                <w:sz w:val="20"/>
                <w:szCs w:val="22"/>
              </w:rPr>
              <w:t>in transport sector</w:t>
            </w:r>
          </w:p>
        </w:tc>
        <w:tc>
          <w:tcPr>
            <w:tcW w:w="3545" w:type="dxa"/>
          </w:tcPr>
          <w:p w14:paraId="66F27D08" w14:textId="731639D6" w:rsidR="00E53072" w:rsidRPr="00AC18ED" w:rsidRDefault="00E53072" w:rsidP="00AC18ED">
            <w:pPr>
              <w:adjustRightInd w:val="0"/>
              <w:jc w:val="both"/>
              <w:rPr>
                <w:rFonts w:ascii="Times New Roman" w:hAnsi="Times New Roman" w:cs="Times New Roman"/>
                <w:color w:val="000000" w:themeColor="text1"/>
                <w:sz w:val="20"/>
                <w:szCs w:val="22"/>
              </w:rPr>
            </w:pPr>
            <w:r w:rsidRPr="00AC18ED">
              <w:rPr>
                <w:rFonts w:ascii="Times New Roman" w:hAnsi="Times New Roman" w:cs="Times New Roman"/>
                <w:color w:val="000000" w:themeColor="text1"/>
                <w:sz w:val="20"/>
                <w:szCs w:val="22"/>
              </w:rPr>
              <w:t xml:space="preserve">Use of low sulfur diesel and shifting </w:t>
            </w:r>
            <w:r w:rsidR="00D11FA4">
              <w:rPr>
                <w:rFonts w:ascii="Times New Roman" w:hAnsi="Times New Roman" w:cs="Times New Roman"/>
                <w:color w:val="000000" w:themeColor="text1"/>
                <w:sz w:val="20"/>
                <w:szCs w:val="22"/>
              </w:rPr>
              <w:t xml:space="preserve">from </w:t>
            </w:r>
            <w:r w:rsidR="00D11FA4" w:rsidRPr="00AC18ED">
              <w:rPr>
                <w:rFonts w:ascii="Times New Roman" w:hAnsi="Times New Roman" w:cs="Times New Roman"/>
                <w:color w:val="000000" w:themeColor="text1"/>
                <w:sz w:val="20"/>
                <w:szCs w:val="22"/>
              </w:rPr>
              <w:t xml:space="preserve">diesel to CNG </w:t>
            </w:r>
            <w:r w:rsidRPr="00AC18ED">
              <w:rPr>
                <w:rFonts w:ascii="Times New Roman" w:hAnsi="Times New Roman" w:cs="Times New Roman"/>
                <w:color w:val="000000" w:themeColor="text1"/>
                <w:sz w:val="20"/>
                <w:szCs w:val="22"/>
              </w:rPr>
              <w:t>of public transport buses</w:t>
            </w:r>
            <w:r w:rsidR="00774A64">
              <w:rPr>
                <w:rFonts w:ascii="Times New Roman" w:hAnsi="Times New Roman" w:cs="Times New Roman"/>
                <w:color w:val="000000" w:themeColor="text1"/>
                <w:sz w:val="20"/>
                <w:szCs w:val="22"/>
              </w:rPr>
              <w:t xml:space="preserve"> </w:t>
            </w:r>
            <w:r w:rsidRPr="00AC18ED">
              <w:rPr>
                <w:rFonts w:ascii="Times New Roman" w:hAnsi="Times New Roman" w:cs="Times New Roman"/>
                <w:color w:val="000000" w:themeColor="text1"/>
                <w:sz w:val="20"/>
                <w:szCs w:val="22"/>
              </w:rPr>
              <w:t xml:space="preserve"> in Kolkata (50% by 2030)</w:t>
            </w:r>
          </w:p>
        </w:tc>
        <w:tc>
          <w:tcPr>
            <w:tcW w:w="2835" w:type="dxa"/>
          </w:tcPr>
          <w:p w14:paraId="7FB37E95" w14:textId="77777777" w:rsidR="00E53072" w:rsidRPr="00AC18ED" w:rsidRDefault="00E53072" w:rsidP="00AC18ED">
            <w:pPr>
              <w:adjustRightInd w:val="0"/>
              <w:jc w:val="both"/>
              <w:rPr>
                <w:rFonts w:ascii="Times New Roman" w:hAnsi="Times New Roman" w:cs="Times New Roman"/>
                <w:color w:val="000000" w:themeColor="text1"/>
                <w:sz w:val="20"/>
                <w:szCs w:val="22"/>
              </w:rPr>
            </w:pPr>
            <w:r w:rsidRPr="00AC18ED">
              <w:rPr>
                <w:rFonts w:ascii="Times New Roman" w:hAnsi="Times New Roman" w:cs="Times New Roman"/>
                <w:color w:val="000000" w:themeColor="text1"/>
                <w:sz w:val="20"/>
                <w:szCs w:val="22"/>
              </w:rPr>
              <w:t>Same as CSPs with use of ultra-low sulfur fuel for both diesel and petrol (&lt;10ppm) from 2020</w:t>
            </w:r>
          </w:p>
        </w:tc>
        <w:tc>
          <w:tcPr>
            <w:tcW w:w="2976" w:type="dxa"/>
          </w:tcPr>
          <w:p w14:paraId="240C22CD" w14:textId="77777777" w:rsidR="00E53072" w:rsidRPr="00AC18ED" w:rsidRDefault="00E53072" w:rsidP="00AC18ED">
            <w:pPr>
              <w:jc w:val="both"/>
              <w:rPr>
                <w:rFonts w:ascii="Times New Roman" w:hAnsi="Times New Roman" w:cs="Times New Roman"/>
                <w:color w:val="000000" w:themeColor="text1"/>
                <w:sz w:val="20"/>
                <w:szCs w:val="22"/>
              </w:rPr>
            </w:pPr>
            <w:r w:rsidRPr="00AC18ED">
              <w:rPr>
                <w:rFonts w:ascii="Times New Roman" w:hAnsi="Times New Roman" w:cs="Times New Roman"/>
                <w:color w:val="000000" w:themeColor="text1"/>
                <w:sz w:val="20"/>
                <w:szCs w:val="22"/>
              </w:rPr>
              <w:t xml:space="preserve">Same as </w:t>
            </w:r>
            <w:r w:rsidRPr="00AC18ED">
              <w:rPr>
                <w:rFonts w:ascii="Times New Roman" w:hAnsi="Times New Roman" w:cs="Times New Roman"/>
                <w:sz w:val="20"/>
                <w:szCs w:val="22"/>
              </w:rPr>
              <w:t>CSP</w:t>
            </w:r>
          </w:p>
        </w:tc>
        <w:tc>
          <w:tcPr>
            <w:tcW w:w="3069" w:type="dxa"/>
          </w:tcPr>
          <w:p w14:paraId="009FD1F1" w14:textId="36B5CE10" w:rsidR="00E53072" w:rsidRPr="00AC18ED" w:rsidRDefault="00E53072" w:rsidP="00AC18ED">
            <w:pPr>
              <w:jc w:val="both"/>
              <w:rPr>
                <w:rFonts w:ascii="Times New Roman" w:eastAsiaTheme="majorEastAsia" w:hAnsi="Times New Roman" w:cs="Times New Roman"/>
                <w:color w:val="000000" w:themeColor="text1"/>
                <w:sz w:val="20"/>
                <w:szCs w:val="22"/>
              </w:rPr>
            </w:pPr>
            <w:r w:rsidRPr="00AC18ED">
              <w:rPr>
                <w:rFonts w:ascii="Times New Roman" w:hAnsi="Times New Roman" w:cs="Times New Roman"/>
                <w:color w:val="000000" w:themeColor="text1"/>
                <w:sz w:val="20"/>
                <w:szCs w:val="22"/>
              </w:rPr>
              <w:t xml:space="preserve">Same as </w:t>
            </w:r>
            <w:r w:rsidR="001D1A8E" w:rsidRPr="00AC18ED">
              <w:rPr>
                <w:rFonts w:ascii="Times New Roman" w:hAnsi="Times New Roman" w:cs="Times New Roman"/>
                <w:color w:val="000000" w:themeColor="text1"/>
                <w:sz w:val="20"/>
                <w:szCs w:val="22"/>
              </w:rPr>
              <w:t>ACT</w:t>
            </w:r>
            <w:r w:rsidR="001D1A8E">
              <w:rPr>
                <w:rFonts w:ascii="Times New Roman" w:hAnsi="Times New Roman" w:cs="Times New Roman"/>
                <w:color w:val="000000" w:themeColor="text1"/>
                <w:sz w:val="20"/>
                <w:szCs w:val="22"/>
              </w:rPr>
              <w:t xml:space="preserve"> </w:t>
            </w:r>
          </w:p>
        </w:tc>
      </w:tr>
      <w:tr w:rsidR="00D45702" w:rsidRPr="00AC18ED" w14:paraId="3401D320" w14:textId="77777777" w:rsidTr="00D45702">
        <w:trPr>
          <w:trHeight w:val="562"/>
        </w:trPr>
        <w:tc>
          <w:tcPr>
            <w:tcW w:w="1417" w:type="dxa"/>
          </w:tcPr>
          <w:p w14:paraId="23BA8E2D" w14:textId="77777777" w:rsidR="00E53072" w:rsidRPr="00AC18ED" w:rsidRDefault="00E53072" w:rsidP="00AC18ED">
            <w:pPr>
              <w:jc w:val="both"/>
              <w:rPr>
                <w:rFonts w:ascii="Times New Roman" w:eastAsiaTheme="majorEastAsia" w:hAnsi="Times New Roman" w:cs="Times New Roman"/>
                <w:color w:val="000000" w:themeColor="text1"/>
                <w:sz w:val="20"/>
                <w:szCs w:val="22"/>
              </w:rPr>
            </w:pPr>
            <w:r w:rsidRPr="00AC18ED">
              <w:rPr>
                <w:rFonts w:ascii="Times New Roman" w:eastAsiaTheme="majorEastAsia" w:hAnsi="Times New Roman" w:cs="Times New Roman"/>
                <w:color w:val="000000" w:themeColor="text1"/>
                <w:sz w:val="20"/>
                <w:szCs w:val="22"/>
              </w:rPr>
              <w:t>Residential/ Commercial</w:t>
            </w:r>
          </w:p>
        </w:tc>
        <w:tc>
          <w:tcPr>
            <w:tcW w:w="3545" w:type="dxa"/>
          </w:tcPr>
          <w:p w14:paraId="46ED1D4A" w14:textId="1323763D" w:rsidR="00E53072" w:rsidRPr="00AC18ED" w:rsidRDefault="00E53072" w:rsidP="00AC18ED">
            <w:pPr>
              <w:adjustRightInd w:val="0"/>
              <w:jc w:val="both"/>
              <w:rPr>
                <w:rFonts w:ascii="Times New Roman" w:hAnsi="Times New Roman" w:cs="Times New Roman"/>
                <w:color w:val="000000" w:themeColor="text1"/>
                <w:sz w:val="20"/>
                <w:szCs w:val="22"/>
              </w:rPr>
            </w:pPr>
            <w:r w:rsidRPr="00AC18ED">
              <w:rPr>
                <w:rFonts w:ascii="Times New Roman" w:hAnsi="Times New Roman" w:cs="Times New Roman"/>
                <w:color w:val="000000" w:themeColor="text1"/>
                <w:sz w:val="20"/>
                <w:szCs w:val="22"/>
              </w:rPr>
              <w:t xml:space="preserve">Switch </w:t>
            </w:r>
            <w:r w:rsidR="00D066B9">
              <w:rPr>
                <w:rFonts w:ascii="Times New Roman" w:hAnsi="Times New Roman" w:cs="Times New Roman"/>
                <w:color w:val="000000" w:themeColor="text1"/>
                <w:sz w:val="20"/>
                <w:szCs w:val="22"/>
              </w:rPr>
              <w:t>toward</w:t>
            </w:r>
            <w:r w:rsidRPr="00AC18ED">
              <w:rPr>
                <w:rFonts w:ascii="Times New Roman" w:hAnsi="Times New Roman" w:cs="Times New Roman"/>
                <w:color w:val="000000" w:themeColor="text1"/>
                <w:sz w:val="20"/>
                <w:szCs w:val="22"/>
              </w:rPr>
              <w:t xml:space="preserve"> LPG from biomass fuel via national policy i.e.</w:t>
            </w:r>
            <w:r w:rsidR="00D11FA4">
              <w:rPr>
                <w:rFonts w:ascii="Times New Roman" w:hAnsi="Times New Roman" w:cs="Times New Roman"/>
                <w:color w:val="000000" w:themeColor="text1"/>
                <w:sz w:val="20"/>
                <w:szCs w:val="22"/>
              </w:rPr>
              <w:t>,</w:t>
            </w:r>
            <w:r w:rsidRPr="00AC18ED">
              <w:rPr>
                <w:rFonts w:ascii="Times New Roman" w:hAnsi="Times New Roman" w:cs="Times New Roman"/>
                <w:color w:val="000000" w:themeColor="text1"/>
                <w:sz w:val="20"/>
                <w:szCs w:val="22"/>
              </w:rPr>
              <w:t xml:space="preserve"> </w:t>
            </w:r>
            <w:r w:rsidRPr="003D0A04">
              <w:rPr>
                <w:rFonts w:ascii="Times New Roman" w:hAnsi="Times New Roman" w:cs="Times New Roman"/>
                <w:color w:val="000000" w:themeColor="text1"/>
                <w:sz w:val="20"/>
                <w:szCs w:val="22"/>
              </w:rPr>
              <w:t>Pradhan Mantri Ujjwala Yojna (PMUY).</w:t>
            </w:r>
            <w:r w:rsidRPr="00AC18ED">
              <w:rPr>
                <w:rFonts w:ascii="Times New Roman" w:hAnsi="Times New Roman" w:cs="Times New Roman"/>
                <w:color w:val="000000" w:themeColor="text1"/>
                <w:sz w:val="20"/>
                <w:szCs w:val="22"/>
              </w:rPr>
              <w:t xml:space="preserve"> No city</w:t>
            </w:r>
            <w:r w:rsidR="00D11FA4">
              <w:rPr>
                <w:rFonts w:ascii="Times New Roman" w:hAnsi="Times New Roman" w:cs="Times New Roman"/>
                <w:color w:val="000000" w:themeColor="text1"/>
                <w:sz w:val="20"/>
                <w:szCs w:val="22"/>
              </w:rPr>
              <w:t>-</w:t>
            </w:r>
            <w:r w:rsidRPr="00AC18ED">
              <w:rPr>
                <w:rFonts w:ascii="Times New Roman" w:hAnsi="Times New Roman" w:cs="Times New Roman"/>
                <w:color w:val="000000" w:themeColor="text1"/>
                <w:sz w:val="20"/>
                <w:szCs w:val="22"/>
              </w:rPr>
              <w:t>specific policy</w:t>
            </w:r>
          </w:p>
        </w:tc>
        <w:tc>
          <w:tcPr>
            <w:tcW w:w="2835" w:type="dxa"/>
          </w:tcPr>
          <w:p w14:paraId="11898647" w14:textId="527BC585" w:rsidR="00E53072" w:rsidRPr="00AC18ED" w:rsidRDefault="00E53072" w:rsidP="00AC18ED">
            <w:pPr>
              <w:jc w:val="both"/>
              <w:rPr>
                <w:rFonts w:ascii="Times New Roman" w:eastAsiaTheme="majorEastAsia" w:hAnsi="Times New Roman" w:cs="Times New Roman"/>
                <w:color w:val="000000" w:themeColor="text1"/>
                <w:sz w:val="20"/>
                <w:szCs w:val="22"/>
              </w:rPr>
            </w:pPr>
            <w:r w:rsidRPr="00AC18ED">
              <w:rPr>
                <w:rFonts w:ascii="Times New Roman" w:eastAsiaTheme="majorEastAsia" w:hAnsi="Times New Roman" w:cs="Times New Roman"/>
                <w:color w:val="000000" w:themeColor="text1"/>
                <w:sz w:val="20"/>
                <w:szCs w:val="22"/>
              </w:rPr>
              <w:t>Switch over from traditional to advanced cookstoves</w:t>
            </w:r>
          </w:p>
        </w:tc>
        <w:tc>
          <w:tcPr>
            <w:tcW w:w="2976" w:type="dxa"/>
          </w:tcPr>
          <w:p w14:paraId="63F0FA41" w14:textId="39AB0152" w:rsidR="00E53072" w:rsidRPr="00AC18ED" w:rsidRDefault="00E53072" w:rsidP="00AC18ED">
            <w:pPr>
              <w:adjustRightInd w:val="0"/>
              <w:jc w:val="both"/>
              <w:rPr>
                <w:rFonts w:ascii="Times New Roman" w:hAnsi="Times New Roman" w:cs="Times New Roman"/>
                <w:color w:val="000000" w:themeColor="text1"/>
                <w:sz w:val="20"/>
                <w:szCs w:val="22"/>
              </w:rPr>
            </w:pPr>
            <w:r w:rsidRPr="00AC18ED">
              <w:rPr>
                <w:rFonts w:ascii="Times New Roman" w:hAnsi="Times New Roman" w:cs="Times New Roman"/>
                <w:color w:val="000000" w:themeColor="text1"/>
                <w:sz w:val="20"/>
                <w:szCs w:val="22"/>
              </w:rPr>
              <w:t>Faster switch from solid fuels /kerosene to clean fuels (LPG, NG</w:t>
            </w:r>
            <w:r w:rsidR="001D1A8E">
              <w:rPr>
                <w:rFonts w:ascii="Times New Roman" w:hAnsi="Times New Roman" w:cs="Times New Roman"/>
                <w:color w:val="000000" w:themeColor="text1"/>
                <w:sz w:val="20"/>
                <w:szCs w:val="22"/>
              </w:rPr>
              <w:t>,</w:t>
            </w:r>
            <w:r w:rsidRPr="00AC18ED">
              <w:rPr>
                <w:rFonts w:ascii="Times New Roman" w:hAnsi="Times New Roman" w:cs="Times New Roman"/>
                <w:color w:val="000000" w:themeColor="text1"/>
                <w:sz w:val="20"/>
                <w:szCs w:val="22"/>
              </w:rPr>
              <w:t xml:space="preserve"> or electricity) over and above CSP</w:t>
            </w:r>
          </w:p>
        </w:tc>
        <w:tc>
          <w:tcPr>
            <w:tcW w:w="3069" w:type="dxa"/>
          </w:tcPr>
          <w:p w14:paraId="2EBD6CC0" w14:textId="71556478" w:rsidR="00E53072" w:rsidRPr="00AC18ED" w:rsidRDefault="00E53072" w:rsidP="00AC18ED">
            <w:pPr>
              <w:adjustRightInd w:val="0"/>
              <w:jc w:val="both"/>
              <w:rPr>
                <w:rFonts w:ascii="Times New Roman" w:hAnsi="Times New Roman" w:cs="Times New Roman"/>
                <w:color w:val="000000" w:themeColor="text1"/>
                <w:sz w:val="20"/>
                <w:szCs w:val="22"/>
              </w:rPr>
            </w:pPr>
            <w:r w:rsidRPr="00AC18ED">
              <w:rPr>
                <w:rFonts w:ascii="Times New Roman" w:hAnsi="Times New Roman" w:cs="Times New Roman"/>
                <w:color w:val="000000" w:themeColor="text1"/>
                <w:sz w:val="20"/>
                <w:szCs w:val="22"/>
              </w:rPr>
              <w:t>Faster switch from solid fuels/kerosene to clean fuels (LPG, NG</w:t>
            </w:r>
            <w:r w:rsidR="001D1A8E">
              <w:rPr>
                <w:rFonts w:ascii="Times New Roman" w:hAnsi="Times New Roman" w:cs="Times New Roman"/>
                <w:color w:val="000000" w:themeColor="text1"/>
                <w:sz w:val="20"/>
                <w:szCs w:val="22"/>
              </w:rPr>
              <w:t>,</w:t>
            </w:r>
            <w:r w:rsidRPr="00AC18ED">
              <w:rPr>
                <w:rFonts w:ascii="Times New Roman" w:hAnsi="Times New Roman" w:cs="Times New Roman"/>
                <w:color w:val="000000" w:themeColor="text1"/>
                <w:sz w:val="20"/>
                <w:szCs w:val="22"/>
              </w:rPr>
              <w:t xml:space="preserve"> or electricity) by 2030</w:t>
            </w:r>
            <w:r w:rsidR="001D1A8E">
              <w:rPr>
                <w:rFonts w:ascii="Times New Roman" w:hAnsi="Times New Roman" w:cs="Times New Roman"/>
                <w:color w:val="000000" w:themeColor="text1"/>
                <w:sz w:val="20"/>
                <w:szCs w:val="22"/>
              </w:rPr>
              <w:t>;</w:t>
            </w:r>
            <w:r w:rsidRPr="00AC18ED">
              <w:rPr>
                <w:rFonts w:ascii="Times New Roman" w:hAnsi="Times New Roman" w:cs="Times New Roman"/>
                <w:color w:val="000000" w:themeColor="text1"/>
                <w:sz w:val="20"/>
                <w:szCs w:val="22"/>
              </w:rPr>
              <w:t xml:space="preserve"> ban on firewood from 2020. 10% coal combustion remain</w:t>
            </w:r>
            <w:r w:rsidR="001D1A8E">
              <w:rPr>
                <w:rFonts w:ascii="Times New Roman" w:hAnsi="Times New Roman" w:cs="Times New Roman"/>
                <w:color w:val="000000" w:themeColor="text1"/>
                <w:sz w:val="20"/>
                <w:szCs w:val="22"/>
              </w:rPr>
              <w:t>s</w:t>
            </w:r>
            <w:r w:rsidRPr="00AC18ED">
              <w:rPr>
                <w:rFonts w:ascii="Times New Roman" w:hAnsi="Times New Roman" w:cs="Times New Roman"/>
                <w:color w:val="000000" w:themeColor="text1"/>
                <w:sz w:val="20"/>
                <w:szCs w:val="22"/>
              </w:rPr>
              <w:t xml:space="preserve"> for tandoor activity with advanced cookstove in residential/ commercial sector</w:t>
            </w:r>
          </w:p>
        </w:tc>
      </w:tr>
      <w:tr w:rsidR="00D45702" w:rsidRPr="00AC18ED" w14:paraId="096F757D" w14:textId="77777777" w:rsidTr="00D45702">
        <w:trPr>
          <w:trHeight w:val="278"/>
        </w:trPr>
        <w:tc>
          <w:tcPr>
            <w:tcW w:w="1417" w:type="dxa"/>
          </w:tcPr>
          <w:p w14:paraId="450D3024" w14:textId="77777777" w:rsidR="00E53072" w:rsidRPr="00AC18ED" w:rsidRDefault="00E53072" w:rsidP="00AC18ED">
            <w:pPr>
              <w:jc w:val="both"/>
              <w:rPr>
                <w:rFonts w:ascii="Times New Roman" w:eastAsiaTheme="majorEastAsia" w:hAnsi="Times New Roman" w:cs="Times New Roman"/>
                <w:color w:val="000000" w:themeColor="text1"/>
                <w:sz w:val="20"/>
                <w:szCs w:val="22"/>
              </w:rPr>
            </w:pPr>
            <w:r w:rsidRPr="00AC18ED">
              <w:rPr>
                <w:rFonts w:ascii="Times New Roman" w:eastAsiaTheme="majorEastAsia" w:hAnsi="Times New Roman" w:cs="Times New Roman"/>
                <w:color w:val="000000" w:themeColor="text1"/>
                <w:sz w:val="20"/>
                <w:szCs w:val="22"/>
              </w:rPr>
              <w:t>Crematorium</w:t>
            </w:r>
          </w:p>
        </w:tc>
        <w:tc>
          <w:tcPr>
            <w:tcW w:w="3545" w:type="dxa"/>
          </w:tcPr>
          <w:p w14:paraId="25FCB3CA" w14:textId="77777777" w:rsidR="00E53072" w:rsidRPr="00AC18ED" w:rsidRDefault="00E53072" w:rsidP="00AC18ED">
            <w:pPr>
              <w:adjustRightInd w:val="0"/>
              <w:jc w:val="both"/>
              <w:rPr>
                <w:rFonts w:ascii="Times New Roman" w:hAnsi="Times New Roman" w:cs="Times New Roman"/>
                <w:color w:val="000000" w:themeColor="text1"/>
                <w:sz w:val="20"/>
                <w:szCs w:val="22"/>
              </w:rPr>
            </w:pPr>
            <w:r w:rsidRPr="00AC18ED">
              <w:rPr>
                <w:rFonts w:ascii="Times New Roman" w:hAnsi="Times New Roman" w:cs="Times New Roman"/>
                <w:color w:val="000000" w:themeColor="text1"/>
                <w:sz w:val="20"/>
                <w:szCs w:val="22"/>
              </w:rPr>
              <w:t>No specific policy</w:t>
            </w:r>
          </w:p>
        </w:tc>
        <w:tc>
          <w:tcPr>
            <w:tcW w:w="2835" w:type="dxa"/>
          </w:tcPr>
          <w:p w14:paraId="6A8A16A2" w14:textId="77777777" w:rsidR="00E53072" w:rsidRPr="00AC18ED" w:rsidRDefault="00E53072" w:rsidP="00AC18ED">
            <w:pPr>
              <w:jc w:val="both"/>
              <w:rPr>
                <w:rFonts w:ascii="Times New Roman" w:eastAsiaTheme="majorEastAsia" w:hAnsi="Times New Roman" w:cs="Times New Roman"/>
                <w:color w:val="000000" w:themeColor="text1"/>
                <w:sz w:val="20"/>
                <w:szCs w:val="22"/>
              </w:rPr>
            </w:pPr>
            <w:r w:rsidRPr="00AC18ED">
              <w:rPr>
                <w:rFonts w:ascii="Times New Roman" w:hAnsi="Times New Roman" w:cs="Times New Roman"/>
                <w:color w:val="000000" w:themeColor="text1"/>
                <w:sz w:val="20"/>
                <w:szCs w:val="22"/>
              </w:rPr>
              <w:t xml:space="preserve">No specific policy </w:t>
            </w:r>
          </w:p>
        </w:tc>
        <w:tc>
          <w:tcPr>
            <w:tcW w:w="2976" w:type="dxa"/>
          </w:tcPr>
          <w:p w14:paraId="4E934547" w14:textId="19B7DC9B" w:rsidR="00E53072" w:rsidRPr="00AC18ED" w:rsidRDefault="003D0A04" w:rsidP="003D0A04">
            <w:pPr>
              <w:adjustRightInd w:val="0"/>
              <w:jc w:val="both"/>
              <w:rPr>
                <w:rFonts w:ascii="Times New Roman" w:hAnsi="Times New Roman" w:cs="Times New Roman"/>
                <w:color w:val="000000" w:themeColor="text1"/>
                <w:sz w:val="20"/>
                <w:szCs w:val="22"/>
              </w:rPr>
            </w:pPr>
            <w:r>
              <w:rPr>
                <w:rFonts w:ascii="Times New Roman" w:hAnsi="Times New Roman" w:cs="Times New Roman"/>
                <w:color w:val="000000" w:themeColor="text1"/>
                <w:sz w:val="20"/>
                <w:szCs w:val="22"/>
              </w:rPr>
              <w:t>Complete s</w:t>
            </w:r>
            <w:r w:rsidR="00E53072" w:rsidRPr="00AC18ED">
              <w:rPr>
                <w:rFonts w:ascii="Times New Roman" w:hAnsi="Times New Roman" w:cs="Times New Roman"/>
                <w:color w:val="000000" w:themeColor="text1"/>
                <w:sz w:val="20"/>
                <w:szCs w:val="22"/>
              </w:rPr>
              <w:t xml:space="preserve">witch from wood to electricity </w:t>
            </w:r>
          </w:p>
        </w:tc>
        <w:tc>
          <w:tcPr>
            <w:tcW w:w="3069" w:type="dxa"/>
          </w:tcPr>
          <w:p w14:paraId="02D59B60" w14:textId="31836122" w:rsidR="00E53072" w:rsidRPr="00AC18ED" w:rsidRDefault="003D0A04" w:rsidP="00AC18ED">
            <w:pPr>
              <w:adjustRightInd w:val="0"/>
              <w:jc w:val="both"/>
              <w:rPr>
                <w:rFonts w:ascii="Times New Roman" w:hAnsi="Times New Roman" w:cs="Times New Roman"/>
                <w:color w:val="000000" w:themeColor="text1"/>
                <w:sz w:val="20"/>
                <w:szCs w:val="22"/>
              </w:rPr>
            </w:pPr>
            <w:r>
              <w:rPr>
                <w:rFonts w:ascii="Times New Roman" w:hAnsi="Times New Roman" w:cs="Times New Roman"/>
                <w:color w:val="000000" w:themeColor="text1"/>
                <w:sz w:val="20"/>
                <w:szCs w:val="22"/>
              </w:rPr>
              <w:t>Complete s</w:t>
            </w:r>
            <w:r w:rsidRPr="00AC18ED">
              <w:rPr>
                <w:rFonts w:ascii="Times New Roman" w:hAnsi="Times New Roman" w:cs="Times New Roman"/>
                <w:color w:val="000000" w:themeColor="text1"/>
                <w:sz w:val="20"/>
                <w:szCs w:val="22"/>
              </w:rPr>
              <w:t xml:space="preserve">witch </w:t>
            </w:r>
            <w:r w:rsidR="00E53072" w:rsidRPr="00AC18ED">
              <w:rPr>
                <w:rFonts w:ascii="Times New Roman" w:hAnsi="Times New Roman" w:cs="Times New Roman"/>
                <w:color w:val="000000" w:themeColor="text1"/>
                <w:sz w:val="20"/>
                <w:szCs w:val="22"/>
              </w:rPr>
              <w:t xml:space="preserve"> from</w:t>
            </w:r>
          </w:p>
          <w:p w14:paraId="57B65889" w14:textId="77777777" w:rsidR="00E53072" w:rsidRPr="00AC18ED" w:rsidRDefault="00E53072" w:rsidP="00AC18ED">
            <w:pPr>
              <w:jc w:val="both"/>
              <w:rPr>
                <w:rFonts w:ascii="Times New Roman" w:eastAsiaTheme="majorEastAsia" w:hAnsi="Times New Roman" w:cs="Times New Roman"/>
                <w:color w:val="000000" w:themeColor="text1"/>
                <w:sz w:val="20"/>
                <w:szCs w:val="22"/>
              </w:rPr>
            </w:pPr>
            <w:r w:rsidRPr="00AC18ED">
              <w:rPr>
                <w:rFonts w:ascii="Times New Roman" w:hAnsi="Times New Roman" w:cs="Times New Roman"/>
                <w:color w:val="000000" w:themeColor="text1"/>
                <w:sz w:val="20"/>
                <w:szCs w:val="22"/>
              </w:rPr>
              <w:t>wood to electricity</w:t>
            </w:r>
          </w:p>
        </w:tc>
      </w:tr>
      <w:tr w:rsidR="00D45702" w:rsidRPr="00AC18ED" w14:paraId="1B56FE38" w14:textId="77777777" w:rsidTr="00D45702">
        <w:trPr>
          <w:trHeight w:val="210"/>
        </w:trPr>
        <w:tc>
          <w:tcPr>
            <w:tcW w:w="1417" w:type="dxa"/>
          </w:tcPr>
          <w:p w14:paraId="13FAEE3E" w14:textId="77777777" w:rsidR="00E53072" w:rsidRPr="00AC18ED" w:rsidRDefault="00E53072" w:rsidP="00AC18ED">
            <w:pPr>
              <w:jc w:val="both"/>
              <w:rPr>
                <w:rFonts w:ascii="Times New Roman" w:eastAsiaTheme="majorEastAsia" w:hAnsi="Times New Roman" w:cs="Times New Roman"/>
                <w:color w:val="000000" w:themeColor="text1"/>
                <w:sz w:val="20"/>
                <w:szCs w:val="22"/>
              </w:rPr>
            </w:pPr>
            <w:r w:rsidRPr="00AC18ED">
              <w:rPr>
                <w:rFonts w:ascii="Times New Roman" w:hAnsi="Times New Roman" w:cs="Times New Roman"/>
                <w:color w:val="000000" w:themeColor="text1"/>
                <w:sz w:val="20"/>
                <w:szCs w:val="22"/>
              </w:rPr>
              <w:t>Waste</w:t>
            </w:r>
          </w:p>
        </w:tc>
        <w:tc>
          <w:tcPr>
            <w:tcW w:w="3545" w:type="dxa"/>
          </w:tcPr>
          <w:p w14:paraId="1C926BFC" w14:textId="73FC31AC" w:rsidR="00E53072" w:rsidRPr="00AC18ED" w:rsidRDefault="00E53072" w:rsidP="00AC18ED">
            <w:pPr>
              <w:adjustRightInd w:val="0"/>
              <w:jc w:val="both"/>
              <w:rPr>
                <w:rFonts w:ascii="Times New Roman" w:hAnsi="Times New Roman" w:cs="Times New Roman"/>
                <w:color w:val="000000" w:themeColor="text1"/>
                <w:sz w:val="20"/>
                <w:szCs w:val="22"/>
              </w:rPr>
            </w:pPr>
            <w:r w:rsidRPr="00AC18ED">
              <w:rPr>
                <w:rFonts w:ascii="Times New Roman" w:hAnsi="Times New Roman" w:cs="Times New Roman"/>
                <w:color w:val="000000" w:themeColor="text1"/>
                <w:sz w:val="20"/>
                <w:szCs w:val="22"/>
              </w:rPr>
              <w:t>Ban on open burning of household waste</w:t>
            </w:r>
          </w:p>
        </w:tc>
        <w:tc>
          <w:tcPr>
            <w:tcW w:w="2835" w:type="dxa"/>
          </w:tcPr>
          <w:p w14:paraId="38456383" w14:textId="77777777" w:rsidR="00E53072" w:rsidRPr="00AC18ED" w:rsidRDefault="00E53072" w:rsidP="00AC18ED">
            <w:pPr>
              <w:jc w:val="both"/>
              <w:rPr>
                <w:rFonts w:ascii="Times New Roman" w:eastAsiaTheme="majorEastAsia" w:hAnsi="Times New Roman" w:cs="Times New Roman"/>
                <w:color w:val="000000" w:themeColor="text1"/>
                <w:sz w:val="20"/>
                <w:szCs w:val="22"/>
              </w:rPr>
            </w:pPr>
            <w:r w:rsidRPr="00AC18ED">
              <w:rPr>
                <w:rFonts w:ascii="Times New Roman" w:hAnsi="Times New Roman" w:cs="Times New Roman"/>
                <w:color w:val="000000" w:themeColor="text1"/>
                <w:sz w:val="20"/>
                <w:szCs w:val="22"/>
              </w:rPr>
              <w:t>Same as CSPs but with strict compliance</w:t>
            </w:r>
          </w:p>
        </w:tc>
        <w:tc>
          <w:tcPr>
            <w:tcW w:w="2976" w:type="dxa"/>
          </w:tcPr>
          <w:p w14:paraId="59075E92" w14:textId="77777777" w:rsidR="00E53072" w:rsidRPr="00AC18ED" w:rsidRDefault="00E53072" w:rsidP="00AC18ED">
            <w:pPr>
              <w:jc w:val="both"/>
              <w:rPr>
                <w:rFonts w:ascii="Times New Roman" w:hAnsi="Times New Roman" w:cs="Times New Roman"/>
                <w:sz w:val="20"/>
                <w:szCs w:val="22"/>
              </w:rPr>
            </w:pPr>
            <w:r w:rsidRPr="00AC18ED">
              <w:rPr>
                <w:rFonts w:ascii="Times New Roman" w:hAnsi="Times New Roman" w:cs="Times New Roman"/>
                <w:color w:val="000000" w:themeColor="text1"/>
                <w:sz w:val="20"/>
                <w:szCs w:val="22"/>
              </w:rPr>
              <w:t>Same as CSPs but with strict compliance</w:t>
            </w:r>
          </w:p>
        </w:tc>
        <w:tc>
          <w:tcPr>
            <w:tcW w:w="3069" w:type="dxa"/>
          </w:tcPr>
          <w:p w14:paraId="0AC3F9E8" w14:textId="77777777" w:rsidR="00E53072" w:rsidRPr="00AC18ED" w:rsidRDefault="00E53072" w:rsidP="00AC18ED">
            <w:pPr>
              <w:jc w:val="both"/>
              <w:rPr>
                <w:rFonts w:ascii="Times New Roman" w:hAnsi="Times New Roman" w:cs="Times New Roman"/>
                <w:sz w:val="20"/>
                <w:szCs w:val="22"/>
              </w:rPr>
            </w:pPr>
            <w:r w:rsidRPr="00AC18ED">
              <w:rPr>
                <w:rFonts w:ascii="Times New Roman" w:hAnsi="Times New Roman" w:cs="Times New Roman"/>
                <w:color w:val="000000" w:themeColor="text1"/>
                <w:sz w:val="20"/>
                <w:szCs w:val="22"/>
              </w:rPr>
              <w:t>Same as CSPs but with strict compliance</w:t>
            </w:r>
          </w:p>
        </w:tc>
      </w:tr>
      <w:tr w:rsidR="00D45702" w:rsidRPr="00AC18ED" w14:paraId="1CF34B96" w14:textId="77777777" w:rsidTr="00D45702">
        <w:trPr>
          <w:trHeight w:val="41"/>
        </w:trPr>
        <w:tc>
          <w:tcPr>
            <w:tcW w:w="1417" w:type="dxa"/>
          </w:tcPr>
          <w:p w14:paraId="73636203" w14:textId="77777777" w:rsidR="00E53072" w:rsidRPr="00AC18ED" w:rsidRDefault="00E53072" w:rsidP="00AC18ED">
            <w:pPr>
              <w:jc w:val="both"/>
              <w:rPr>
                <w:rFonts w:ascii="Times New Roman" w:eastAsiaTheme="majorEastAsia" w:hAnsi="Times New Roman" w:cs="Times New Roman"/>
                <w:color w:val="000000" w:themeColor="text1"/>
                <w:sz w:val="20"/>
                <w:szCs w:val="22"/>
              </w:rPr>
            </w:pPr>
            <w:r w:rsidRPr="00AC18ED">
              <w:rPr>
                <w:rFonts w:ascii="Times New Roman" w:eastAsiaTheme="majorEastAsia" w:hAnsi="Times New Roman" w:cs="Times New Roman"/>
                <w:color w:val="000000" w:themeColor="text1"/>
                <w:sz w:val="20"/>
                <w:szCs w:val="22"/>
              </w:rPr>
              <w:t>Road dust</w:t>
            </w:r>
          </w:p>
        </w:tc>
        <w:tc>
          <w:tcPr>
            <w:tcW w:w="3545" w:type="dxa"/>
          </w:tcPr>
          <w:p w14:paraId="46B40BB8" w14:textId="77777777" w:rsidR="00E53072" w:rsidRPr="00AC18ED" w:rsidRDefault="00E53072" w:rsidP="00AC18ED">
            <w:pPr>
              <w:adjustRightInd w:val="0"/>
              <w:jc w:val="both"/>
              <w:rPr>
                <w:rFonts w:ascii="Times New Roman" w:hAnsi="Times New Roman" w:cs="Times New Roman"/>
                <w:color w:val="000000" w:themeColor="text1"/>
                <w:sz w:val="20"/>
                <w:szCs w:val="22"/>
              </w:rPr>
            </w:pPr>
            <w:r w:rsidRPr="00AC18ED">
              <w:rPr>
                <w:rFonts w:ascii="Times New Roman" w:hAnsi="Times New Roman" w:cs="Times New Roman"/>
                <w:color w:val="000000" w:themeColor="text1"/>
                <w:sz w:val="20"/>
                <w:szCs w:val="22"/>
              </w:rPr>
              <w:t>No specific policy</w:t>
            </w:r>
          </w:p>
        </w:tc>
        <w:tc>
          <w:tcPr>
            <w:tcW w:w="2835" w:type="dxa"/>
          </w:tcPr>
          <w:p w14:paraId="04326ACA" w14:textId="77777777" w:rsidR="00E53072" w:rsidRPr="00AC18ED" w:rsidRDefault="00E53072" w:rsidP="00AC18ED">
            <w:pPr>
              <w:jc w:val="both"/>
              <w:rPr>
                <w:rFonts w:ascii="Times New Roman" w:hAnsi="Times New Roman" w:cs="Times New Roman"/>
                <w:sz w:val="20"/>
                <w:szCs w:val="22"/>
              </w:rPr>
            </w:pPr>
            <w:r w:rsidRPr="00AC18ED">
              <w:rPr>
                <w:rFonts w:ascii="Times New Roman" w:hAnsi="Times New Roman" w:cs="Times New Roman"/>
                <w:color w:val="000000" w:themeColor="text1"/>
                <w:sz w:val="20"/>
                <w:szCs w:val="22"/>
              </w:rPr>
              <w:t>No specific policy</w:t>
            </w:r>
          </w:p>
        </w:tc>
        <w:tc>
          <w:tcPr>
            <w:tcW w:w="2976" w:type="dxa"/>
          </w:tcPr>
          <w:p w14:paraId="1D376BCD" w14:textId="77777777" w:rsidR="00E53072" w:rsidRPr="00AC18ED" w:rsidRDefault="00E53072" w:rsidP="00AC18ED">
            <w:pPr>
              <w:jc w:val="both"/>
              <w:rPr>
                <w:rFonts w:ascii="Times New Roman" w:hAnsi="Times New Roman" w:cs="Times New Roman"/>
                <w:sz w:val="20"/>
                <w:szCs w:val="22"/>
              </w:rPr>
            </w:pPr>
            <w:r w:rsidRPr="00AC18ED">
              <w:rPr>
                <w:rFonts w:ascii="Times New Roman" w:hAnsi="Times New Roman" w:cs="Times New Roman"/>
                <w:color w:val="000000" w:themeColor="text1"/>
                <w:sz w:val="20"/>
                <w:szCs w:val="22"/>
              </w:rPr>
              <w:t>No specific policy</w:t>
            </w:r>
          </w:p>
        </w:tc>
        <w:tc>
          <w:tcPr>
            <w:tcW w:w="3069" w:type="dxa"/>
          </w:tcPr>
          <w:p w14:paraId="722F5596" w14:textId="77777777" w:rsidR="00E53072" w:rsidRPr="00AC18ED" w:rsidRDefault="00E53072" w:rsidP="00AC18ED">
            <w:pPr>
              <w:jc w:val="both"/>
              <w:rPr>
                <w:rFonts w:ascii="Times New Roman" w:hAnsi="Times New Roman" w:cs="Times New Roman"/>
                <w:color w:val="000000" w:themeColor="text1"/>
                <w:sz w:val="20"/>
                <w:szCs w:val="22"/>
              </w:rPr>
            </w:pPr>
            <w:r w:rsidRPr="00AC18ED">
              <w:rPr>
                <w:rFonts w:ascii="Times New Roman" w:hAnsi="Times New Roman" w:cs="Times New Roman"/>
                <w:color w:val="000000" w:themeColor="text1"/>
                <w:sz w:val="20"/>
                <w:szCs w:val="22"/>
              </w:rPr>
              <w:t>Road paving, water sprinkling/ cleaning of roads</w:t>
            </w:r>
          </w:p>
        </w:tc>
      </w:tr>
      <w:tr w:rsidR="00D45702" w:rsidRPr="00AC18ED" w14:paraId="5A96B3B7" w14:textId="77777777" w:rsidTr="00D45702">
        <w:trPr>
          <w:trHeight w:val="166"/>
        </w:trPr>
        <w:tc>
          <w:tcPr>
            <w:tcW w:w="1417" w:type="dxa"/>
            <w:tcBorders>
              <w:bottom w:val="single" w:sz="4" w:space="0" w:color="auto"/>
            </w:tcBorders>
          </w:tcPr>
          <w:p w14:paraId="3CA78924" w14:textId="77777777" w:rsidR="00E53072" w:rsidRPr="00AC18ED" w:rsidRDefault="00E53072" w:rsidP="00AC18ED">
            <w:pPr>
              <w:jc w:val="both"/>
              <w:rPr>
                <w:rFonts w:ascii="Times New Roman" w:eastAsiaTheme="majorEastAsia" w:hAnsi="Times New Roman" w:cs="Times New Roman"/>
                <w:color w:val="000000" w:themeColor="text1"/>
                <w:sz w:val="20"/>
                <w:szCs w:val="22"/>
              </w:rPr>
            </w:pPr>
            <w:r w:rsidRPr="00AC18ED">
              <w:rPr>
                <w:rFonts w:ascii="Times New Roman" w:eastAsiaTheme="majorEastAsia" w:hAnsi="Times New Roman" w:cs="Times New Roman"/>
                <w:color w:val="000000" w:themeColor="text1"/>
                <w:sz w:val="20"/>
                <w:szCs w:val="22"/>
              </w:rPr>
              <w:t>Construction</w:t>
            </w:r>
          </w:p>
        </w:tc>
        <w:tc>
          <w:tcPr>
            <w:tcW w:w="3545" w:type="dxa"/>
            <w:tcBorders>
              <w:bottom w:val="single" w:sz="4" w:space="0" w:color="auto"/>
            </w:tcBorders>
          </w:tcPr>
          <w:p w14:paraId="02450725" w14:textId="77777777" w:rsidR="00E53072" w:rsidRPr="00AC18ED" w:rsidRDefault="00E53072" w:rsidP="00AC18ED">
            <w:pPr>
              <w:adjustRightInd w:val="0"/>
              <w:jc w:val="both"/>
              <w:rPr>
                <w:rFonts w:ascii="Times New Roman" w:hAnsi="Times New Roman" w:cs="Times New Roman"/>
                <w:color w:val="000000" w:themeColor="text1"/>
                <w:sz w:val="20"/>
                <w:szCs w:val="22"/>
              </w:rPr>
            </w:pPr>
            <w:r w:rsidRPr="00AC18ED">
              <w:rPr>
                <w:rFonts w:ascii="Times New Roman" w:hAnsi="Times New Roman" w:cs="Times New Roman"/>
                <w:color w:val="000000" w:themeColor="text1"/>
                <w:sz w:val="20"/>
                <w:szCs w:val="22"/>
              </w:rPr>
              <w:t>No specific policy</w:t>
            </w:r>
          </w:p>
        </w:tc>
        <w:tc>
          <w:tcPr>
            <w:tcW w:w="2835" w:type="dxa"/>
            <w:tcBorders>
              <w:bottom w:val="single" w:sz="4" w:space="0" w:color="auto"/>
            </w:tcBorders>
          </w:tcPr>
          <w:p w14:paraId="2D2FBA7C" w14:textId="087D67F3" w:rsidR="00E53072" w:rsidRPr="00AC18ED" w:rsidRDefault="00E53072" w:rsidP="00AC18ED">
            <w:pPr>
              <w:jc w:val="both"/>
              <w:rPr>
                <w:rFonts w:ascii="Times New Roman" w:eastAsiaTheme="majorEastAsia" w:hAnsi="Times New Roman" w:cs="Times New Roman"/>
                <w:sz w:val="20"/>
                <w:szCs w:val="22"/>
              </w:rPr>
            </w:pPr>
            <w:r w:rsidRPr="00AC18ED">
              <w:rPr>
                <w:rFonts w:ascii="Times New Roman" w:eastAsiaTheme="majorEastAsia" w:hAnsi="Times New Roman" w:cs="Times New Roman"/>
                <w:sz w:val="20"/>
                <w:szCs w:val="22"/>
              </w:rPr>
              <w:t>Use of spray in 50</w:t>
            </w:r>
            <w:r w:rsidR="00D11FA4">
              <w:rPr>
                <w:rFonts w:ascii="Times New Roman" w:eastAsiaTheme="majorEastAsia" w:hAnsi="Times New Roman" w:cs="Times New Roman"/>
                <w:sz w:val="20"/>
                <w:szCs w:val="22"/>
              </w:rPr>
              <w:t>–</w:t>
            </w:r>
            <w:r w:rsidRPr="00AC18ED">
              <w:rPr>
                <w:rFonts w:ascii="Times New Roman" w:eastAsiaTheme="majorEastAsia" w:hAnsi="Times New Roman" w:cs="Times New Roman"/>
                <w:sz w:val="20"/>
                <w:szCs w:val="22"/>
              </w:rPr>
              <w:t>80% activity between 2020 to 2030</w:t>
            </w:r>
          </w:p>
        </w:tc>
        <w:tc>
          <w:tcPr>
            <w:tcW w:w="2976" w:type="dxa"/>
            <w:tcBorders>
              <w:bottom w:val="single" w:sz="4" w:space="0" w:color="auto"/>
            </w:tcBorders>
          </w:tcPr>
          <w:p w14:paraId="1B11E8B0" w14:textId="77777777" w:rsidR="00E53072" w:rsidRPr="00AC18ED" w:rsidRDefault="00E53072" w:rsidP="00AC18ED">
            <w:pPr>
              <w:jc w:val="both"/>
              <w:rPr>
                <w:rFonts w:ascii="Times New Roman" w:hAnsi="Times New Roman" w:cs="Times New Roman"/>
                <w:sz w:val="20"/>
                <w:szCs w:val="22"/>
              </w:rPr>
            </w:pPr>
            <w:r w:rsidRPr="00AC18ED">
              <w:rPr>
                <w:rFonts w:ascii="Times New Roman" w:hAnsi="Times New Roman" w:cs="Times New Roman"/>
                <w:sz w:val="20"/>
                <w:szCs w:val="22"/>
              </w:rPr>
              <w:t>Same as CSP</w:t>
            </w:r>
          </w:p>
        </w:tc>
        <w:tc>
          <w:tcPr>
            <w:tcW w:w="3069" w:type="dxa"/>
            <w:tcBorders>
              <w:bottom w:val="single" w:sz="4" w:space="0" w:color="auto"/>
            </w:tcBorders>
          </w:tcPr>
          <w:p w14:paraId="191876EA" w14:textId="77777777" w:rsidR="00E53072" w:rsidRPr="00AC18ED" w:rsidRDefault="00E53072" w:rsidP="00AC18ED">
            <w:pPr>
              <w:jc w:val="both"/>
              <w:rPr>
                <w:rFonts w:ascii="Times New Roman" w:hAnsi="Times New Roman" w:cs="Times New Roman"/>
                <w:sz w:val="20"/>
                <w:szCs w:val="22"/>
              </w:rPr>
            </w:pPr>
            <w:r w:rsidRPr="00AC18ED">
              <w:rPr>
                <w:rFonts w:ascii="Times New Roman" w:eastAsiaTheme="majorEastAsia" w:hAnsi="Times New Roman" w:cs="Times New Roman"/>
                <w:sz w:val="20"/>
                <w:szCs w:val="22"/>
              </w:rPr>
              <w:t>Use of water spray in 100% activity by 2030</w:t>
            </w:r>
          </w:p>
        </w:tc>
      </w:tr>
      <w:tr w:rsidR="00D45702" w:rsidRPr="00AC18ED" w14:paraId="37A129C0" w14:textId="77777777" w:rsidTr="00D45702">
        <w:trPr>
          <w:trHeight w:val="449"/>
        </w:trPr>
        <w:tc>
          <w:tcPr>
            <w:tcW w:w="1417" w:type="dxa"/>
            <w:tcBorders>
              <w:bottom w:val="single" w:sz="4" w:space="0" w:color="auto"/>
            </w:tcBorders>
          </w:tcPr>
          <w:p w14:paraId="627962F9" w14:textId="77777777" w:rsidR="00E53072" w:rsidRPr="00AC18ED" w:rsidRDefault="00E53072" w:rsidP="00AC18ED">
            <w:pPr>
              <w:ind w:right="-41"/>
              <w:jc w:val="both"/>
              <w:rPr>
                <w:rFonts w:ascii="Times New Roman" w:eastAsiaTheme="majorEastAsia" w:hAnsi="Times New Roman" w:cs="Times New Roman"/>
                <w:sz w:val="20"/>
                <w:szCs w:val="22"/>
              </w:rPr>
            </w:pPr>
            <w:r w:rsidRPr="00AC18ED">
              <w:rPr>
                <w:rFonts w:ascii="Times New Roman" w:eastAsiaTheme="majorEastAsia" w:hAnsi="Times New Roman" w:cs="Times New Roman"/>
                <w:sz w:val="20"/>
                <w:szCs w:val="22"/>
              </w:rPr>
              <w:t>Other/fugitive</w:t>
            </w:r>
          </w:p>
        </w:tc>
        <w:tc>
          <w:tcPr>
            <w:tcW w:w="3545" w:type="dxa"/>
            <w:tcBorders>
              <w:bottom w:val="single" w:sz="4" w:space="0" w:color="auto"/>
            </w:tcBorders>
          </w:tcPr>
          <w:p w14:paraId="65D6CF15" w14:textId="77777777" w:rsidR="00E53072" w:rsidRPr="00AC18ED" w:rsidRDefault="00E53072" w:rsidP="00AC18ED">
            <w:pPr>
              <w:adjustRightInd w:val="0"/>
              <w:jc w:val="both"/>
              <w:rPr>
                <w:rFonts w:ascii="Times New Roman" w:hAnsi="Times New Roman" w:cs="Times New Roman"/>
                <w:sz w:val="20"/>
                <w:szCs w:val="22"/>
              </w:rPr>
            </w:pPr>
            <w:r w:rsidRPr="00AC18ED">
              <w:rPr>
                <w:rFonts w:ascii="Times New Roman" w:hAnsi="Times New Roman" w:cs="Times New Roman"/>
                <w:sz w:val="20"/>
                <w:szCs w:val="22"/>
              </w:rPr>
              <w:t>No specific policy</w:t>
            </w:r>
          </w:p>
        </w:tc>
        <w:tc>
          <w:tcPr>
            <w:tcW w:w="2835" w:type="dxa"/>
            <w:tcBorders>
              <w:bottom w:val="single" w:sz="4" w:space="0" w:color="auto"/>
            </w:tcBorders>
          </w:tcPr>
          <w:p w14:paraId="7CD356A8" w14:textId="77777777" w:rsidR="00E53072" w:rsidRPr="00AC18ED" w:rsidRDefault="00E53072" w:rsidP="00AC18ED">
            <w:pPr>
              <w:jc w:val="both"/>
              <w:rPr>
                <w:rFonts w:ascii="Times New Roman" w:eastAsiaTheme="majorEastAsia" w:hAnsi="Times New Roman" w:cs="Times New Roman"/>
                <w:sz w:val="20"/>
                <w:szCs w:val="22"/>
              </w:rPr>
            </w:pPr>
            <w:r w:rsidRPr="00AC18ED">
              <w:rPr>
                <w:rFonts w:ascii="Times New Roman" w:hAnsi="Times New Roman" w:cs="Times New Roman"/>
                <w:sz w:val="20"/>
                <w:szCs w:val="22"/>
              </w:rPr>
              <w:t>Implementation of best management practices where applicable</w:t>
            </w:r>
          </w:p>
        </w:tc>
        <w:tc>
          <w:tcPr>
            <w:tcW w:w="2976" w:type="dxa"/>
            <w:tcBorders>
              <w:bottom w:val="single" w:sz="4" w:space="0" w:color="auto"/>
            </w:tcBorders>
          </w:tcPr>
          <w:p w14:paraId="52B058CD" w14:textId="77777777" w:rsidR="00E53072" w:rsidRPr="00AC18ED" w:rsidRDefault="00E53072" w:rsidP="00AC18ED">
            <w:pPr>
              <w:jc w:val="both"/>
              <w:rPr>
                <w:rFonts w:ascii="Times New Roman" w:hAnsi="Times New Roman" w:cs="Times New Roman"/>
                <w:sz w:val="20"/>
                <w:szCs w:val="22"/>
              </w:rPr>
            </w:pPr>
            <w:r w:rsidRPr="00AC18ED">
              <w:rPr>
                <w:rFonts w:ascii="Times New Roman" w:hAnsi="Times New Roman" w:cs="Times New Roman"/>
                <w:sz w:val="20"/>
                <w:szCs w:val="22"/>
              </w:rPr>
              <w:t>Same as CSP</w:t>
            </w:r>
          </w:p>
        </w:tc>
        <w:tc>
          <w:tcPr>
            <w:tcW w:w="3069" w:type="dxa"/>
            <w:tcBorders>
              <w:bottom w:val="single" w:sz="4" w:space="0" w:color="auto"/>
            </w:tcBorders>
          </w:tcPr>
          <w:p w14:paraId="524B8E5B" w14:textId="77777777" w:rsidR="00E53072" w:rsidRPr="00AC18ED" w:rsidRDefault="00E53072" w:rsidP="00AC18ED">
            <w:pPr>
              <w:jc w:val="both"/>
              <w:rPr>
                <w:rFonts w:ascii="Times New Roman" w:hAnsi="Times New Roman" w:cs="Times New Roman"/>
                <w:sz w:val="20"/>
                <w:szCs w:val="22"/>
              </w:rPr>
            </w:pPr>
            <w:r w:rsidRPr="00AC18ED">
              <w:rPr>
                <w:rFonts w:ascii="Times New Roman" w:hAnsi="Times New Roman" w:cs="Times New Roman"/>
                <w:sz w:val="20"/>
                <w:szCs w:val="22"/>
              </w:rPr>
              <w:t>Same as ACT</w:t>
            </w:r>
          </w:p>
        </w:tc>
      </w:tr>
      <w:tr w:rsidR="00E53072" w:rsidRPr="00AC18ED" w14:paraId="67BE5A1C" w14:textId="77777777" w:rsidTr="00306141">
        <w:trPr>
          <w:trHeight w:val="449"/>
        </w:trPr>
        <w:tc>
          <w:tcPr>
            <w:tcW w:w="13842" w:type="dxa"/>
            <w:gridSpan w:val="5"/>
            <w:tcBorders>
              <w:top w:val="single" w:sz="4" w:space="0" w:color="auto"/>
              <w:left w:val="nil"/>
              <w:bottom w:val="nil"/>
              <w:right w:val="nil"/>
            </w:tcBorders>
          </w:tcPr>
          <w:p w14:paraId="3CCB8BC8" w14:textId="08A8B534" w:rsidR="00E53072" w:rsidRPr="00AC18ED" w:rsidRDefault="00E53072" w:rsidP="003D0A04">
            <w:pPr>
              <w:jc w:val="both"/>
              <w:rPr>
                <w:rFonts w:ascii="Times New Roman" w:hAnsi="Times New Roman" w:cs="Times New Roman"/>
                <w:sz w:val="20"/>
                <w:szCs w:val="22"/>
              </w:rPr>
            </w:pPr>
            <w:r w:rsidRPr="00AC18ED">
              <w:rPr>
                <w:rFonts w:ascii="Times New Roman" w:hAnsi="Times New Roman" w:cs="Times New Roman"/>
                <w:sz w:val="20"/>
                <w:szCs w:val="22"/>
              </w:rPr>
              <w:t xml:space="preserve">*It is assumed that a fraction of active vehicular fleet </w:t>
            </w:r>
            <w:r w:rsidR="00D11FA4">
              <w:rPr>
                <w:rFonts w:ascii="Times New Roman" w:hAnsi="Times New Roman" w:cs="Times New Roman"/>
                <w:sz w:val="20"/>
                <w:szCs w:val="22"/>
              </w:rPr>
              <w:t>are</w:t>
            </w:r>
            <w:r w:rsidRPr="00AC18ED">
              <w:rPr>
                <w:rFonts w:ascii="Times New Roman" w:hAnsi="Times New Roman" w:cs="Times New Roman"/>
                <w:sz w:val="20"/>
                <w:szCs w:val="22"/>
              </w:rPr>
              <w:t xml:space="preserve"> older than 15 years </w:t>
            </w:r>
            <w:r w:rsidR="00D11FA4">
              <w:rPr>
                <w:rFonts w:ascii="Times New Roman" w:hAnsi="Times New Roman" w:cs="Times New Roman"/>
                <w:sz w:val="20"/>
                <w:szCs w:val="22"/>
              </w:rPr>
              <w:t>and</w:t>
            </w:r>
            <w:r w:rsidR="00D11FA4" w:rsidRPr="00AC18ED">
              <w:rPr>
                <w:rFonts w:ascii="Times New Roman" w:hAnsi="Times New Roman" w:cs="Times New Roman"/>
                <w:sz w:val="20"/>
                <w:szCs w:val="22"/>
              </w:rPr>
              <w:t xml:space="preserve"> </w:t>
            </w:r>
            <w:r w:rsidRPr="00AC18ED">
              <w:rPr>
                <w:rFonts w:ascii="Times New Roman" w:hAnsi="Times New Roman" w:cs="Times New Roman"/>
                <w:sz w:val="20"/>
                <w:szCs w:val="22"/>
              </w:rPr>
              <w:t xml:space="preserve">are registered outside </w:t>
            </w:r>
            <w:r w:rsidR="00D11FA4">
              <w:rPr>
                <w:rFonts w:ascii="Times New Roman" w:hAnsi="Times New Roman" w:cs="Times New Roman"/>
                <w:sz w:val="20"/>
                <w:szCs w:val="22"/>
              </w:rPr>
              <w:t xml:space="preserve">the </w:t>
            </w:r>
            <w:r w:rsidRPr="00AC18ED">
              <w:rPr>
                <w:rFonts w:ascii="Times New Roman" w:hAnsi="Times New Roman" w:cs="Times New Roman"/>
                <w:sz w:val="20"/>
                <w:szCs w:val="22"/>
              </w:rPr>
              <w:t>city.</w:t>
            </w:r>
            <w:r w:rsidR="00774A64">
              <w:rPr>
                <w:rFonts w:ascii="Times New Roman" w:hAnsi="Times New Roman" w:cs="Times New Roman"/>
                <w:sz w:val="20"/>
                <w:szCs w:val="22"/>
              </w:rPr>
              <w:t xml:space="preserve">                                                                                                                                                                                                                                                                                                                                                                                                                                                                                                                                                                                                                                                                                                                                                                                                                                                                                                                                                                                                                                                                                                                                                                                                                                                                                                                                                                                                                                                                                                                                                                                                                                                                                                                                                                                                                                                                                                                                                                                                                                                                                                                                                                                                                                                                                                                                                                                                                                                                                                                                                                                </w:t>
            </w:r>
            <w:r w:rsidRPr="00AC18ED">
              <w:rPr>
                <w:rFonts w:ascii="Times New Roman" w:hAnsi="Times New Roman" w:cs="Times New Roman"/>
                <w:sz w:val="20"/>
                <w:szCs w:val="22"/>
              </w:rPr>
              <w:t xml:space="preserve"> </w:t>
            </w:r>
          </w:p>
        </w:tc>
      </w:tr>
    </w:tbl>
    <w:p w14:paraId="3D21253B" w14:textId="77777777" w:rsidR="00E53072" w:rsidRPr="00AC18ED" w:rsidRDefault="00E53072" w:rsidP="00AC18ED">
      <w:pPr>
        <w:autoSpaceDE w:val="0"/>
        <w:autoSpaceDN w:val="0"/>
        <w:adjustRightInd w:val="0"/>
        <w:spacing w:after="120" w:line="276" w:lineRule="auto"/>
        <w:jc w:val="both"/>
        <w:rPr>
          <w:rFonts w:ascii="Times New Roman" w:hAnsi="Times New Roman" w:cs="Times New Roman"/>
          <w:szCs w:val="22"/>
          <w:lang w:val="en-GB" w:bidi="ar-SA"/>
        </w:rPr>
      </w:pPr>
    </w:p>
    <w:p w14:paraId="7E2C9109" w14:textId="77777777" w:rsidR="005C0F2D" w:rsidRPr="00AC18ED" w:rsidRDefault="005C0F2D" w:rsidP="00AC18ED">
      <w:pPr>
        <w:autoSpaceDE w:val="0"/>
        <w:autoSpaceDN w:val="0"/>
        <w:adjustRightInd w:val="0"/>
        <w:spacing w:after="120" w:line="276" w:lineRule="auto"/>
        <w:jc w:val="both"/>
        <w:rPr>
          <w:rFonts w:ascii="Times New Roman" w:hAnsi="Times New Roman" w:cs="Times New Roman"/>
          <w:szCs w:val="22"/>
          <w:lang w:val="en-GB" w:bidi="ar-SA"/>
        </w:rPr>
      </w:pPr>
    </w:p>
    <w:p w14:paraId="0EC509EC" w14:textId="77777777" w:rsidR="005C0F2D" w:rsidRPr="00AC18ED" w:rsidRDefault="005C0F2D" w:rsidP="00AC18ED">
      <w:pPr>
        <w:autoSpaceDE w:val="0"/>
        <w:autoSpaceDN w:val="0"/>
        <w:adjustRightInd w:val="0"/>
        <w:spacing w:after="120" w:line="276" w:lineRule="auto"/>
        <w:jc w:val="both"/>
        <w:rPr>
          <w:rFonts w:ascii="Times New Roman" w:hAnsi="Times New Roman" w:cs="Times New Roman"/>
          <w:szCs w:val="22"/>
          <w:lang w:val="en-GB" w:bidi="ar-SA"/>
        </w:rPr>
      </w:pPr>
    </w:p>
    <w:p w14:paraId="381A5BC1" w14:textId="77777777" w:rsidR="005C0F2D" w:rsidRPr="00AC18ED" w:rsidRDefault="005C0F2D" w:rsidP="00AC18ED">
      <w:pPr>
        <w:autoSpaceDE w:val="0"/>
        <w:autoSpaceDN w:val="0"/>
        <w:adjustRightInd w:val="0"/>
        <w:spacing w:after="120" w:line="276" w:lineRule="auto"/>
        <w:jc w:val="both"/>
        <w:rPr>
          <w:rFonts w:ascii="Times New Roman" w:hAnsi="Times New Roman" w:cs="Times New Roman"/>
          <w:szCs w:val="22"/>
          <w:lang w:val="en-GB" w:bidi="ar-SA"/>
        </w:rPr>
      </w:pPr>
    </w:p>
    <w:p w14:paraId="663EDDB8" w14:textId="77777777" w:rsidR="005C0F2D" w:rsidRPr="00AC18ED" w:rsidRDefault="005C0F2D" w:rsidP="00AC18ED">
      <w:pPr>
        <w:autoSpaceDE w:val="0"/>
        <w:autoSpaceDN w:val="0"/>
        <w:adjustRightInd w:val="0"/>
        <w:spacing w:after="120" w:line="276" w:lineRule="auto"/>
        <w:jc w:val="both"/>
        <w:rPr>
          <w:rFonts w:ascii="Times New Roman" w:hAnsi="Times New Roman" w:cs="Times New Roman"/>
          <w:szCs w:val="22"/>
          <w:lang w:val="en-GB" w:bidi="ar-SA"/>
        </w:rPr>
      </w:pPr>
    </w:p>
    <w:p w14:paraId="67249530" w14:textId="77777777" w:rsidR="005C0F2D" w:rsidRPr="00AC18ED" w:rsidRDefault="005C0F2D" w:rsidP="00AC18ED">
      <w:pPr>
        <w:autoSpaceDE w:val="0"/>
        <w:autoSpaceDN w:val="0"/>
        <w:adjustRightInd w:val="0"/>
        <w:spacing w:after="120" w:line="276" w:lineRule="auto"/>
        <w:jc w:val="both"/>
        <w:rPr>
          <w:rFonts w:ascii="Times New Roman" w:hAnsi="Times New Roman" w:cs="Times New Roman"/>
          <w:szCs w:val="22"/>
          <w:lang w:val="en-GB" w:bidi="ar-SA"/>
        </w:rPr>
        <w:sectPr w:rsidR="005C0F2D" w:rsidRPr="00AC18ED" w:rsidSect="009E618C">
          <w:pgSz w:w="16838" w:h="11906" w:orient="landscape"/>
          <w:pgMar w:top="1440" w:right="1440" w:bottom="1440" w:left="1440" w:header="709" w:footer="709" w:gutter="0"/>
          <w:cols w:space="708"/>
          <w:docGrid w:linePitch="360"/>
        </w:sectPr>
      </w:pPr>
    </w:p>
    <w:p w14:paraId="2D035FC0" w14:textId="59AA9A32" w:rsidR="00D710FC" w:rsidRPr="00AC18ED" w:rsidRDefault="00D710FC" w:rsidP="00AC18ED">
      <w:pPr>
        <w:pStyle w:val="Heading1"/>
        <w:numPr>
          <w:ilvl w:val="0"/>
          <w:numId w:val="11"/>
        </w:numPr>
        <w:spacing w:before="0" w:after="120" w:line="276" w:lineRule="auto"/>
        <w:rPr>
          <w:rFonts w:ascii="Times New Roman" w:hAnsi="Times New Roman" w:cs="Times New Roman"/>
          <w:b/>
          <w:sz w:val="24"/>
          <w:szCs w:val="22"/>
        </w:rPr>
      </w:pPr>
      <w:bookmarkStart w:id="36" w:name="_Toc22630753"/>
      <w:r w:rsidRPr="00AC18ED">
        <w:rPr>
          <w:rFonts w:ascii="Times New Roman" w:hAnsi="Times New Roman" w:cs="Times New Roman"/>
          <w:b/>
          <w:sz w:val="24"/>
          <w:szCs w:val="22"/>
        </w:rPr>
        <w:lastRenderedPageBreak/>
        <w:t>Comparison of 2015 emission</w:t>
      </w:r>
      <w:r w:rsidR="00AC2E1B">
        <w:rPr>
          <w:rFonts w:ascii="Times New Roman" w:hAnsi="Times New Roman" w:cs="Times New Roman"/>
          <w:b/>
          <w:sz w:val="24"/>
          <w:szCs w:val="22"/>
        </w:rPr>
        <w:t>s</w:t>
      </w:r>
      <w:r w:rsidRPr="00AC18ED">
        <w:rPr>
          <w:rFonts w:ascii="Times New Roman" w:hAnsi="Times New Roman" w:cs="Times New Roman"/>
          <w:b/>
          <w:sz w:val="24"/>
          <w:szCs w:val="22"/>
        </w:rPr>
        <w:t xml:space="preserve"> inventory</w:t>
      </w:r>
      <w:bookmarkEnd w:id="36"/>
      <w:r w:rsidRPr="00AC18ED">
        <w:rPr>
          <w:rFonts w:ascii="Times New Roman" w:hAnsi="Times New Roman" w:cs="Times New Roman"/>
          <w:b/>
          <w:sz w:val="24"/>
          <w:szCs w:val="22"/>
        </w:rPr>
        <w:t xml:space="preserve"> </w:t>
      </w:r>
    </w:p>
    <w:p w14:paraId="7363275D" w14:textId="00EE4E82" w:rsidR="001E3A7E" w:rsidRPr="0074320F" w:rsidRDefault="008F6DBB" w:rsidP="00AC18ED">
      <w:pPr>
        <w:spacing w:after="120" w:line="276" w:lineRule="auto"/>
        <w:jc w:val="both"/>
        <w:rPr>
          <w:rFonts w:ascii="Times New Roman" w:hAnsi="Times New Roman" w:cs="Times New Roman"/>
          <w:szCs w:val="22"/>
        </w:rPr>
      </w:pPr>
      <w:r>
        <w:rPr>
          <w:rFonts w:ascii="Times New Roman" w:hAnsi="Times New Roman" w:cs="Times New Roman"/>
          <w:szCs w:val="22"/>
        </w:rPr>
        <w:t>Few</w:t>
      </w:r>
      <w:r w:rsidR="00D710FC" w:rsidRPr="00AC18ED">
        <w:rPr>
          <w:rFonts w:ascii="Times New Roman" w:hAnsi="Times New Roman" w:cs="Times New Roman"/>
          <w:szCs w:val="22"/>
        </w:rPr>
        <w:t xml:space="preserve"> </w:t>
      </w:r>
      <w:r w:rsidRPr="00AC18ED">
        <w:rPr>
          <w:rFonts w:ascii="Times New Roman" w:hAnsi="Times New Roman" w:cs="Times New Roman"/>
          <w:szCs w:val="22"/>
        </w:rPr>
        <w:t xml:space="preserve">studies </w:t>
      </w:r>
      <w:r w:rsidR="00955DFD">
        <w:rPr>
          <w:rFonts w:ascii="Times New Roman" w:hAnsi="Times New Roman" w:cs="Times New Roman"/>
          <w:szCs w:val="22"/>
        </w:rPr>
        <w:t xml:space="preserve">on </w:t>
      </w:r>
      <w:r w:rsidR="00D710FC" w:rsidRPr="00AC18ED">
        <w:rPr>
          <w:rFonts w:ascii="Times New Roman" w:hAnsi="Times New Roman" w:cs="Times New Roman"/>
          <w:szCs w:val="22"/>
        </w:rPr>
        <w:t xml:space="preserve"> air quality</w:t>
      </w:r>
      <w:r>
        <w:rPr>
          <w:rFonts w:ascii="Times New Roman" w:hAnsi="Times New Roman" w:cs="Times New Roman"/>
          <w:szCs w:val="22"/>
        </w:rPr>
        <w:t xml:space="preserve"> have been</w:t>
      </w:r>
      <w:r w:rsidR="00D710FC" w:rsidRPr="00AC18ED">
        <w:rPr>
          <w:rFonts w:ascii="Times New Roman" w:hAnsi="Times New Roman" w:cs="Times New Roman"/>
          <w:szCs w:val="22"/>
        </w:rPr>
        <w:t xml:space="preserve"> conducted in Kolkata city during </w:t>
      </w:r>
      <w:r w:rsidR="00F7557A">
        <w:rPr>
          <w:rFonts w:ascii="Times New Roman" w:hAnsi="Times New Roman" w:cs="Times New Roman"/>
          <w:szCs w:val="22"/>
        </w:rPr>
        <w:t xml:space="preserve">the </w:t>
      </w:r>
      <w:r w:rsidR="00D710FC" w:rsidRPr="00AC18ED">
        <w:rPr>
          <w:rFonts w:ascii="Times New Roman" w:hAnsi="Times New Roman" w:cs="Times New Roman"/>
          <w:szCs w:val="22"/>
        </w:rPr>
        <w:t xml:space="preserve">past two decades. </w:t>
      </w:r>
      <w:r w:rsidR="00F7557A">
        <w:rPr>
          <w:rFonts w:ascii="Times New Roman" w:hAnsi="Times New Roman" w:cs="Times New Roman"/>
          <w:szCs w:val="22"/>
        </w:rPr>
        <w:t>Very</w:t>
      </w:r>
      <w:r w:rsidR="00D710FC" w:rsidRPr="00AC18ED">
        <w:rPr>
          <w:rFonts w:ascii="Times New Roman" w:hAnsi="Times New Roman" w:cs="Times New Roman"/>
          <w:szCs w:val="22"/>
        </w:rPr>
        <w:t xml:space="preserve"> few reported studies deal with emission </w:t>
      </w:r>
      <w:r w:rsidR="00F7557A" w:rsidRPr="00AC18ED">
        <w:rPr>
          <w:rFonts w:ascii="Times New Roman" w:hAnsi="Times New Roman" w:cs="Times New Roman"/>
          <w:szCs w:val="22"/>
        </w:rPr>
        <w:t>inventor</w:t>
      </w:r>
      <w:r w:rsidR="00F7557A">
        <w:rPr>
          <w:rFonts w:ascii="Times New Roman" w:hAnsi="Times New Roman" w:cs="Times New Roman"/>
          <w:szCs w:val="22"/>
        </w:rPr>
        <w:t>ies</w:t>
      </w:r>
      <w:r w:rsidR="00774A64">
        <w:rPr>
          <w:rFonts w:ascii="Times New Roman" w:hAnsi="Times New Roman" w:cs="Times New Roman"/>
          <w:szCs w:val="22"/>
        </w:rPr>
        <w:t xml:space="preserve"> </w:t>
      </w:r>
      <w:r w:rsidR="00F7557A">
        <w:rPr>
          <w:rFonts w:ascii="Times New Roman" w:hAnsi="Times New Roman" w:cs="Times New Roman"/>
          <w:szCs w:val="22"/>
        </w:rPr>
        <w:t xml:space="preserve">for </w:t>
      </w:r>
      <w:r w:rsidR="00D710FC" w:rsidRPr="00AC18ED">
        <w:rPr>
          <w:rFonts w:ascii="Times New Roman" w:hAnsi="Times New Roman" w:cs="Times New Roman"/>
          <w:szCs w:val="22"/>
        </w:rPr>
        <w:t xml:space="preserve">air pollutants for </w:t>
      </w:r>
      <w:r w:rsidR="00F7557A">
        <w:rPr>
          <w:rFonts w:ascii="Times New Roman" w:hAnsi="Times New Roman" w:cs="Times New Roman"/>
          <w:szCs w:val="22"/>
        </w:rPr>
        <w:t xml:space="preserve">the </w:t>
      </w:r>
      <w:r w:rsidR="00A7166F">
        <w:rPr>
          <w:rFonts w:ascii="Times New Roman" w:hAnsi="Times New Roman" w:cs="Times New Roman"/>
          <w:szCs w:val="22"/>
        </w:rPr>
        <w:t>KMC</w:t>
      </w:r>
      <w:r w:rsidR="00D710FC" w:rsidRPr="00AC18ED">
        <w:rPr>
          <w:rFonts w:ascii="Times New Roman" w:hAnsi="Times New Roman" w:cs="Times New Roman"/>
          <w:szCs w:val="22"/>
        </w:rPr>
        <w:t xml:space="preserve">. Table </w:t>
      </w:r>
      <w:r w:rsidR="00947527">
        <w:rPr>
          <w:rFonts w:ascii="Times New Roman" w:hAnsi="Times New Roman" w:cs="Times New Roman"/>
          <w:szCs w:val="22"/>
        </w:rPr>
        <w:t>S4</w:t>
      </w:r>
      <w:r w:rsidR="00955DFD">
        <w:rPr>
          <w:rFonts w:ascii="Times New Roman" w:hAnsi="Times New Roman" w:cs="Times New Roman"/>
          <w:szCs w:val="22"/>
        </w:rPr>
        <w:t xml:space="preserve"> </w:t>
      </w:r>
      <w:r w:rsidR="00D710FC" w:rsidRPr="00AC18ED">
        <w:rPr>
          <w:rFonts w:ascii="Times New Roman" w:hAnsi="Times New Roman" w:cs="Times New Roman"/>
          <w:szCs w:val="22"/>
        </w:rPr>
        <w:t xml:space="preserve">presents </w:t>
      </w:r>
      <w:r w:rsidR="00F7557A">
        <w:rPr>
          <w:rFonts w:ascii="Times New Roman" w:hAnsi="Times New Roman" w:cs="Times New Roman"/>
          <w:szCs w:val="22"/>
        </w:rPr>
        <w:t xml:space="preserve">a </w:t>
      </w:r>
      <w:r w:rsidR="00D710FC" w:rsidRPr="0074320F">
        <w:rPr>
          <w:rFonts w:ascii="Times New Roman" w:hAnsi="Times New Roman" w:cs="Times New Roman"/>
          <w:szCs w:val="22"/>
        </w:rPr>
        <w:t>comparison of our result</w:t>
      </w:r>
      <w:r w:rsidR="00F7557A" w:rsidRPr="0074320F">
        <w:rPr>
          <w:rFonts w:ascii="Times New Roman" w:hAnsi="Times New Roman" w:cs="Times New Roman"/>
          <w:szCs w:val="22"/>
        </w:rPr>
        <w:t xml:space="preserve">s </w:t>
      </w:r>
      <w:r w:rsidR="00EA3388" w:rsidRPr="0074320F">
        <w:rPr>
          <w:rFonts w:ascii="Times New Roman" w:hAnsi="Times New Roman" w:cs="Times New Roman"/>
          <w:szCs w:val="22"/>
        </w:rPr>
        <w:t>regarding pollutant emissions from different sector</w:t>
      </w:r>
      <w:r w:rsidR="00B043F3" w:rsidRPr="0074320F">
        <w:rPr>
          <w:rFonts w:ascii="Times New Roman" w:hAnsi="Times New Roman" w:cs="Times New Roman"/>
          <w:szCs w:val="22"/>
        </w:rPr>
        <w:t>s</w:t>
      </w:r>
      <w:r w:rsidR="00D710FC" w:rsidRPr="0074320F">
        <w:rPr>
          <w:rFonts w:ascii="Times New Roman" w:hAnsi="Times New Roman" w:cs="Times New Roman"/>
          <w:szCs w:val="22"/>
        </w:rPr>
        <w:t xml:space="preserve"> with previously reported studies. Sharma et al. (2002) </w:t>
      </w:r>
      <w:r w:rsidR="00F7557A" w:rsidRPr="0074320F">
        <w:rPr>
          <w:rFonts w:ascii="Times New Roman" w:hAnsi="Times New Roman" w:cs="Times New Roman"/>
          <w:szCs w:val="22"/>
        </w:rPr>
        <w:t xml:space="preserve">report </w:t>
      </w:r>
      <w:r w:rsidR="00D710FC" w:rsidRPr="0074320F">
        <w:rPr>
          <w:rFonts w:ascii="Times New Roman" w:hAnsi="Times New Roman" w:cs="Times New Roman"/>
          <w:szCs w:val="22"/>
        </w:rPr>
        <w:t xml:space="preserve">0.55 kt of </w:t>
      </w:r>
      <w:r w:rsidR="00F7557A" w:rsidRPr="0074320F">
        <w:rPr>
          <w:rFonts w:ascii="Times New Roman" w:hAnsi="Times New Roman" w:cs="Times New Roman"/>
          <w:szCs w:val="22"/>
        </w:rPr>
        <w:t xml:space="preserve">“particulate” </w:t>
      </w:r>
      <w:r w:rsidR="00D710FC" w:rsidRPr="0074320F">
        <w:rPr>
          <w:rFonts w:ascii="Times New Roman" w:hAnsi="Times New Roman" w:cs="Times New Roman"/>
          <w:szCs w:val="22"/>
        </w:rPr>
        <w:t>emission</w:t>
      </w:r>
      <w:r w:rsidR="00AC2E1B" w:rsidRPr="0074320F">
        <w:rPr>
          <w:rFonts w:ascii="Times New Roman" w:hAnsi="Times New Roman" w:cs="Times New Roman"/>
          <w:szCs w:val="22"/>
        </w:rPr>
        <w:t>s</w:t>
      </w:r>
      <w:r w:rsidR="00D710FC" w:rsidRPr="0074320F">
        <w:rPr>
          <w:rFonts w:ascii="Times New Roman" w:hAnsi="Times New Roman" w:cs="Times New Roman"/>
          <w:szCs w:val="22"/>
        </w:rPr>
        <w:t xml:space="preserve"> for </w:t>
      </w:r>
      <w:r w:rsidR="00F7557A" w:rsidRPr="0074320F">
        <w:rPr>
          <w:rFonts w:ascii="Times New Roman" w:hAnsi="Times New Roman" w:cs="Times New Roman"/>
          <w:szCs w:val="22"/>
        </w:rPr>
        <w:t xml:space="preserve">the </w:t>
      </w:r>
      <w:r w:rsidR="00D710FC" w:rsidRPr="0074320F">
        <w:rPr>
          <w:rFonts w:ascii="Times New Roman" w:hAnsi="Times New Roman" w:cs="Times New Roman"/>
          <w:szCs w:val="22"/>
        </w:rPr>
        <w:t>year 1990</w:t>
      </w:r>
      <w:r w:rsidR="001E3A7E" w:rsidRPr="0074320F">
        <w:rPr>
          <w:rFonts w:ascii="Times New Roman" w:hAnsi="Times New Roman" w:cs="Times New Roman"/>
          <w:szCs w:val="22"/>
        </w:rPr>
        <w:t xml:space="preserve"> using a rather simplistic approach</w:t>
      </w:r>
      <w:r w:rsidR="00F7557A" w:rsidRPr="0074320F">
        <w:rPr>
          <w:rFonts w:ascii="Times New Roman" w:hAnsi="Times New Roman" w:cs="Times New Roman"/>
          <w:szCs w:val="22"/>
        </w:rPr>
        <w:t>,</w:t>
      </w:r>
      <w:r w:rsidR="00774A64" w:rsidRPr="0074320F">
        <w:rPr>
          <w:rFonts w:ascii="Times New Roman" w:hAnsi="Times New Roman" w:cs="Times New Roman"/>
          <w:szCs w:val="22"/>
        </w:rPr>
        <w:t xml:space="preserve"> </w:t>
      </w:r>
      <w:r w:rsidR="00D710FC" w:rsidRPr="0074320F">
        <w:rPr>
          <w:rFonts w:ascii="Times New Roman" w:hAnsi="Times New Roman" w:cs="Times New Roman"/>
          <w:szCs w:val="22"/>
        </w:rPr>
        <w:t xml:space="preserve">based on per capita pollutant emissions </w:t>
      </w:r>
      <w:r w:rsidR="00F7557A" w:rsidRPr="0074320F">
        <w:rPr>
          <w:rFonts w:ascii="Times New Roman" w:hAnsi="Times New Roman" w:cs="Times New Roman"/>
          <w:szCs w:val="22"/>
        </w:rPr>
        <w:t xml:space="preserve">in the transport sector </w:t>
      </w:r>
      <w:r w:rsidR="001E3A7E" w:rsidRPr="0074320F">
        <w:rPr>
          <w:rFonts w:ascii="Times New Roman" w:hAnsi="Times New Roman" w:cs="Times New Roman"/>
          <w:szCs w:val="22"/>
        </w:rPr>
        <w:t>only</w:t>
      </w:r>
      <w:r w:rsidR="00F7557A" w:rsidRPr="0074320F">
        <w:rPr>
          <w:rFonts w:ascii="Times New Roman" w:hAnsi="Times New Roman" w:cs="Times New Roman"/>
          <w:szCs w:val="22"/>
        </w:rPr>
        <w:t>.</w:t>
      </w:r>
      <w:r w:rsidR="00774A64" w:rsidRPr="0074320F">
        <w:rPr>
          <w:rFonts w:ascii="Times New Roman" w:hAnsi="Times New Roman" w:cs="Times New Roman"/>
          <w:szCs w:val="22"/>
        </w:rPr>
        <w:t xml:space="preserve"> </w:t>
      </w:r>
      <w:r w:rsidR="00D710FC" w:rsidRPr="0074320F">
        <w:rPr>
          <w:rFonts w:ascii="Times New Roman" w:hAnsi="Times New Roman" w:cs="Times New Roman"/>
          <w:szCs w:val="22"/>
        </w:rPr>
        <w:t>The total PM</w:t>
      </w:r>
      <w:r w:rsidR="00D710FC" w:rsidRPr="0074320F">
        <w:rPr>
          <w:rFonts w:ascii="Times New Roman" w:hAnsi="Times New Roman" w:cs="Times New Roman"/>
          <w:szCs w:val="22"/>
          <w:vertAlign w:val="subscript"/>
        </w:rPr>
        <w:t>10</w:t>
      </w:r>
      <w:r w:rsidR="00D710FC" w:rsidRPr="0074320F">
        <w:rPr>
          <w:rFonts w:ascii="Times New Roman" w:hAnsi="Times New Roman" w:cs="Times New Roman"/>
          <w:szCs w:val="22"/>
        </w:rPr>
        <w:t xml:space="preserve"> reported in ADB (2005) for the city is 76 kt for 2003 which is 32% higher than estimated in this study for 2015. ADB (2005) indicated </w:t>
      </w:r>
      <w:r w:rsidR="001D1A8E" w:rsidRPr="00AC18ED">
        <w:rPr>
          <w:rFonts w:ascii="Times New Roman" w:hAnsi="Times New Roman" w:cs="Times New Roman"/>
          <w:szCs w:val="22"/>
        </w:rPr>
        <w:t xml:space="preserve">road dust </w:t>
      </w:r>
      <w:r w:rsidR="001D1A8E">
        <w:rPr>
          <w:rFonts w:ascii="Times New Roman" w:hAnsi="Times New Roman" w:cs="Times New Roman"/>
          <w:szCs w:val="22"/>
        </w:rPr>
        <w:t xml:space="preserve">as a </w:t>
      </w:r>
      <w:r w:rsidR="00D710FC" w:rsidRPr="00AC18ED">
        <w:rPr>
          <w:rFonts w:ascii="Times New Roman" w:hAnsi="Times New Roman" w:cs="Times New Roman"/>
          <w:szCs w:val="22"/>
        </w:rPr>
        <w:t>major contributing source</w:t>
      </w:r>
      <w:r w:rsidR="00774A64">
        <w:rPr>
          <w:rFonts w:ascii="Times New Roman" w:hAnsi="Times New Roman" w:cs="Times New Roman"/>
          <w:szCs w:val="22"/>
        </w:rPr>
        <w:t xml:space="preserve"> </w:t>
      </w:r>
      <w:r w:rsidR="00D710FC" w:rsidRPr="00AC18ED">
        <w:rPr>
          <w:rFonts w:ascii="Times New Roman" w:hAnsi="Times New Roman" w:cs="Times New Roman"/>
          <w:szCs w:val="22"/>
        </w:rPr>
        <w:t xml:space="preserve">(60%) followed by </w:t>
      </w:r>
      <w:r w:rsidR="001D1A8E" w:rsidRPr="001D1A8E">
        <w:rPr>
          <w:rFonts w:ascii="Times New Roman" w:hAnsi="Times New Roman" w:cs="Times New Roman"/>
          <w:szCs w:val="22"/>
        </w:rPr>
        <w:t xml:space="preserve">the </w:t>
      </w:r>
      <w:r w:rsidR="00D710FC" w:rsidRPr="001D1A8E">
        <w:rPr>
          <w:rFonts w:ascii="Times New Roman" w:hAnsi="Times New Roman" w:cs="Times New Roman"/>
          <w:szCs w:val="22"/>
        </w:rPr>
        <w:t>transport sector</w:t>
      </w:r>
      <w:r w:rsidR="00D710FC" w:rsidRPr="00AC18ED">
        <w:rPr>
          <w:rFonts w:ascii="Times New Roman" w:hAnsi="Times New Roman" w:cs="Times New Roman"/>
          <w:szCs w:val="22"/>
        </w:rPr>
        <w:t xml:space="preserve"> (22%) and industrial emissions (9%) for the year 2003. The projected PM</w:t>
      </w:r>
      <w:r w:rsidR="00D710FC" w:rsidRPr="00AC18ED">
        <w:rPr>
          <w:rFonts w:ascii="Times New Roman" w:hAnsi="Times New Roman" w:cs="Times New Roman"/>
          <w:szCs w:val="22"/>
          <w:vertAlign w:val="subscript"/>
        </w:rPr>
        <w:t>10</w:t>
      </w:r>
      <w:r w:rsidR="00D710FC" w:rsidRPr="00AC18ED">
        <w:rPr>
          <w:rFonts w:ascii="Times New Roman" w:hAnsi="Times New Roman" w:cs="Times New Roman"/>
          <w:szCs w:val="22"/>
        </w:rPr>
        <w:t xml:space="preserve"> emission of the city from all sources for 2014 was ~55 kt after </w:t>
      </w:r>
      <w:r w:rsidR="00D710FC" w:rsidRPr="0074320F">
        <w:rPr>
          <w:rFonts w:ascii="Times New Roman" w:hAnsi="Times New Roman" w:cs="Times New Roman"/>
          <w:szCs w:val="22"/>
        </w:rPr>
        <w:t>implementation of controls proposed at that time. Interestingly, our study estimates of PM</w:t>
      </w:r>
      <w:r w:rsidR="00D710FC" w:rsidRPr="0074320F">
        <w:rPr>
          <w:rFonts w:ascii="Times New Roman" w:hAnsi="Times New Roman" w:cs="Times New Roman"/>
          <w:szCs w:val="22"/>
          <w:vertAlign w:val="subscript"/>
        </w:rPr>
        <w:t>10</w:t>
      </w:r>
      <w:r w:rsidR="00D710FC" w:rsidRPr="0074320F">
        <w:rPr>
          <w:rFonts w:ascii="Times New Roman" w:hAnsi="Times New Roman" w:cs="Times New Roman"/>
          <w:szCs w:val="22"/>
        </w:rPr>
        <w:t xml:space="preserve"> for 2015 </w:t>
      </w:r>
      <w:r w:rsidR="00F7557A" w:rsidRPr="0074320F">
        <w:rPr>
          <w:rFonts w:ascii="Times New Roman" w:hAnsi="Times New Roman" w:cs="Times New Roman"/>
          <w:szCs w:val="22"/>
        </w:rPr>
        <w:t>c</w:t>
      </w:r>
      <w:r w:rsidR="001E3A7E" w:rsidRPr="0074320F">
        <w:rPr>
          <w:rFonts w:ascii="Times New Roman" w:hAnsi="Times New Roman" w:cs="Times New Roman"/>
          <w:szCs w:val="22"/>
        </w:rPr>
        <w:t>a</w:t>
      </w:r>
      <w:r w:rsidR="00F7557A" w:rsidRPr="0074320F">
        <w:rPr>
          <w:rFonts w:ascii="Times New Roman" w:hAnsi="Times New Roman" w:cs="Times New Roman"/>
          <w:szCs w:val="22"/>
        </w:rPr>
        <w:t xml:space="preserve">me </w:t>
      </w:r>
      <w:r w:rsidR="00D710FC" w:rsidRPr="0074320F">
        <w:rPr>
          <w:rFonts w:ascii="Times New Roman" w:hAnsi="Times New Roman" w:cs="Times New Roman"/>
          <w:szCs w:val="22"/>
        </w:rPr>
        <w:t>very close to the projected level</w:t>
      </w:r>
      <w:r w:rsidR="00F7557A" w:rsidRPr="0074320F">
        <w:rPr>
          <w:rFonts w:ascii="Times New Roman" w:hAnsi="Times New Roman" w:cs="Times New Roman"/>
          <w:szCs w:val="22"/>
        </w:rPr>
        <w:t>,</w:t>
      </w:r>
      <w:r w:rsidR="00D710FC" w:rsidRPr="0074320F">
        <w:rPr>
          <w:rFonts w:ascii="Times New Roman" w:hAnsi="Times New Roman" w:cs="Times New Roman"/>
          <w:szCs w:val="22"/>
        </w:rPr>
        <w:t xml:space="preserve"> although the percentage source contribution for various sources varies considerably. Gurjar et al. (2010) estimated 11 kt and 9 kt of total suspended particulate matter in the year 2000 and 2010 from vehicular exhaust emission</w:t>
      </w:r>
      <w:r w:rsidR="001E3A7E" w:rsidRPr="0074320F">
        <w:rPr>
          <w:rFonts w:ascii="Times New Roman" w:hAnsi="Times New Roman" w:cs="Times New Roman"/>
          <w:szCs w:val="22"/>
        </w:rPr>
        <w:t>s</w:t>
      </w:r>
      <w:r w:rsidR="00D710FC" w:rsidRPr="0074320F">
        <w:rPr>
          <w:rFonts w:ascii="Times New Roman" w:hAnsi="Times New Roman" w:cs="Times New Roman"/>
          <w:szCs w:val="22"/>
        </w:rPr>
        <w:t xml:space="preserve"> only. The reduction is </w:t>
      </w:r>
      <w:r w:rsidR="00F7557A" w:rsidRPr="0074320F">
        <w:rPr>
          <w:rFonts w:ascii="Times New Roman" w:hAnsi="Times New Roman" w:cs="Times New Roman"/>
          <w:szCs w:val="22"/>
        </w:rPr>
        <w:t>attributed to the</w:t>
      </w:r>
      <w:r w:rsidR="00D710FC" w:rsidRPr="0074320F">
        <w:rPr>
          <w:rFonts w:ascii="Times New Roman" w:hAnsi="Times New Roman" w:cs="Times New Roman"/>
          <w:szCs w:val="22"/>
        </w:rPr>
        <w:t xml:space="preserve"> </w:t>
      </w:r>
      <w:r w:rsidR="00F7557A" w:rsidRPr="0074320F">
        <w:rPr>
          <w:rFonts w:ascii="Times New Roman" w:hAnsi="Times New Roman" w:cs="Times New Roman"/>
          <w:szCs w:val="22"/>
        </w:rPr>
        <w:t>phasing-</w:t>
      </w:r>
      <w:r w:rsidR="00D710FC" w:rsidRPr="0074320F">
        <w:rPr>
          <w:rFonts w:ascii="Times New Roman" w:hAnsi="Times New Roman" w:cs="Times New Roman"/>
          <w:szCs w:val="22"/>
        </w:rPr>
        <w:t>out of older vehicle</w:t>
      </w:r>
      <w:r w:rsidR="00F7557A" w:rsidRPr="0074320F">
        <w:rPr>
          <w:rFonts w:ascii="Times New Roman" w:hAnsi="Times New Roman" w:cs="Times New Roman"/>
          <w:szCs w:val="22"/>
        </w:rPr>
        <w:t>s</w:t>
      </w:r>
      <w:r w:rsidR="00D710FC" w:rsidRPr="0074320F">
        <w:rPr>
          <w:rFonts w:ascii="Times New Roman" w:hAnsi="Times New Roman" w:cs="Times New Roman"/>
          <w:szCs w:val="22"/>
        </w:rPr>
        <w:t xml:space="preserve">. </w:t>
      </w:r>
      <w:r w:rsidRPr="0074320F">
        <w:rPr>
          <w:rFonts w:ascii="Times New Roman" w:hAnsi="Times New Roman" w:cs="Times New Roman"/>
          <w:szCs w:val="22"/>
        </w:rPr>
        <w:t>Vehicular emissions are</w:t>
      </w:r>
      <w:r w:rsidR="00D710FC" w:rsidRPr="0074320F">
        <w:rPr>
          <w:rFonts w:ascii="Times New Roman" w:hAnsi="Times New Roman" w:cs="Times New Roman"/>
          <w:szCs w:val="22"/>
        </w:rPr>
        <w:t xml:space="preserve"> identified as </w:t>
      </w:r>
      <w:r w:rsidRPr="0074320F">
        <w:rPr>
          <w:rFonts w:ascii="Times New Roman" w:hAnsi="Times New Roman" w:cs="Times New Roman"/>
          <w:szCs w:val="22"/>
        </w:rPr>
        <w:t xml:space="preserve">the </w:t>
      </w:r>
      <w:r w:rsidR="00D710FC" w:rsidRPr="0074320F">
        <w:rPr>
          <w:rFonts w:ascii="Times New Roman" w:hAnsi="Times New Roman" w:cs="Times New Roman"/>
          <w:szCs w:val="22"/>
        </w:rPr>
        <w:t xml:space="preserve">dominant </w:t>
      </w:r>
      <w:r w:rsidRPr="0074320F">
        <w:rPr>
          <w:rFonts w:ascii="Times New Roman" w:hAnsi="Times New Roman" w:cs="Times New Roman"/>
          <w:szCs w:val="22"/>
        </w:rPr>
        <w:t>source</w:t>
      </w:r>
      <w:r w:rsidR="00774A64" w:rsidRPr="0074320F">
        <w:rPr>
          <w:rFonts w:ascii="Times New Roman" w:hAnsi="Times New Roman" w:cs="Times New Roman"/>
          <w:szCs w:val="22"/>
        </w:rPr>
        <w:t xml:space="preserve"> </w:t>
      </w:r>
      <w:r w:rsidRPr="0074320F">
        <w:rPr>
          <w:rFonts w:ascii="Times New Roman" w:hAnsi="Times New Roman" w:cs="Times New Roman"/>
          <w:szCs w:val="22"/>
        </w:rPr>
        <w:t>of</w:t>
      </w:r>
      <w:r w:rsidR="00774A64" w:rsidRPr="0074320F">
        <w:rPr>
          <w:rFonts w:ascii="Times New Roman" w:hAnsi="Times New Roman" w:cs="Times New Roman"/>
          <w:szCs w:val="22"/>
        </w:rPr>
        <w:t xml:space="preserve"> </w:t>
      </w:r>
      <w:r w:rsidRPr="0074320F">
        <w:rPr>
          <w:rFonts w:ascii="Times New Roman" w:hAnsi="Times New Roman" w:cs="Times New Roman"/>
          <w:szCs w:val="22"/>
        </w:rPr>
        <w:t>PM</w:t>
      </w:r>
      <w:r w:rsidRPr="0074320F">
        <w:rPr>
          <w:rFonts w:ascii="Times New Roman" w:hAnsi="Times New Roman" w:cs="Times New Roman"/>
          <w:szCs w:val="22"/>
          <w:vertAlign w:val="subscript"/>
        </w:rPr>
        <w:t>2.5</w:t>
      </w:r>
      <w:r w:rsidRPr="0074320F">
        <w:rPr>
          <w:rFonts w:ascii="Times New Roman" w:hAnsi="Times New Roman" w:cs="Times New Roman"/>
          <w:szCs w:val="22"/>
        </w:rPr>
        <w:t xml:space="preserve"> (derived from the PM</w:t>
      </w:r>
      <w:r w:rsidRPr="0074320F">
        <w:rPr>
          <w:rFonts w:ascii="Times New Roman" w:hAnsi="Times New Roman" w:cs="Times New Roman"/>
          <w:szCs w:val="22"/>
          <w:vertAlign w:val="subscript"/>
        </w:rPr>
        <w:t xml:space="preserve">10 </w:t>
      </w:r>
      <w:r w:rsidRPr="0074320F">
        <w:rPr>
          <w:rFonts w:ascii="Times New Roman" w:hAnsi="Times New Roman" w:cs="Times New Roman"/>
          <w:szCs w:val="22"/>
        </w:rPr>
        <w:t xml:space="preserve">inventory) </w:t>
      </w:r>
      <w:r w:rsidR="00D710FC" w:rsidRPr="0074320F">
        <w:rPr>
          <w:rFonts w:ascii="Times New Roman" w:hAnsi="Times New Roman" w:cs="Times New Roman"/>
          <w:szCs w:val="22"/>
        </w:rPr>
        <w:t xml:space="preserve">with </w:t>
      </w:r>
      <w:r w:rsidRPr="0074320F">
        <w:rPr>
          <w:rFonts w:ascii="Times New Roman" w:hAnsi="Times New Roman" w:cs="Times New Roman"/>
          <w:szCs w:val="22"/>
        </w:rPr>
        <w:t xml:space="preserve">a </w:t>
      </w:r>
      <w:r w:rsidR="00D710FC" w:rsidRPr="0074320F">
        <w:rPr>
          <w:rFonts w:ascii="Times New Roman" w:hAnsi="Times New Roman" w:cs="Times New Roman"/>
          <w:szCs w:val="22"/>
        </w:rPr>
        <w:t>49% contribution</w:t>
      </w:r>
      <w:r w:rsidRPr="0074320F">
        <w:rPr>
          <w:rFonts w:ascii="Times New Roman" w:hAnsi="Times New Roman" w:cs="Times New Roman"/>
          <w:szCs w:val="22"/>
        </w:rPr>
        <w:t>, followed</w:t>
      </w:r>
      <w:r w:rsidR="00774A64" w:rsidRPr="0074320F">
        <w:rPr>
          <w:rFonts w:ascii="Times New Roman" w:hAnsi="Times New Roman" w:cs="Times New Roman"/>
          <w:szCs w:val="22"/>
        </w:rPr>
        <w:t xml:space="preserve"> </w:t>
      </w:r>
      <w:r w:rsidRPr="0074320F">
        <w:rPr>
          <w:rFonts w:ascii="Times New Roman" w:hAnsi="Times New Roman" w:cs="Times New Roman"/>
          <w:szCs w:val="22"/>
        </w:rPr>
        <w:t>by</w:t>
      </w:r>
      <w:r w:rsidR="00D710FC" w:rsidRPr="0074320F">
        <w:rPr>
          <w:rFonts w:ascii="Times New Roman" w:hAnsi="Times New Roman" w:cs="Times New Roman"/>
          <w:szCs w:val="22"/>
        </w:rPr>
        <w:t xml:space="preserve"> industrial emission</w:t>
      </w:r>
      <w:r w:rsidRPr="0074320F">
        <w:rPr>
          <w:rFonts w:ascii="Times New Roman" w:hAnsi="Times New Roman" w:cs="Times New Roman"/>
          <w:szCs w:val="22"/>
        </w:rPr>
        <w:t>s</w:t>
      </w:r>
      <w:r w:rsidR="00D710FC" w:rsidRPr="0074320F">
        <w:rPr>
          <w:rFonts w:ascii="Times New Roman" w:hAnsi="Times New Roman" w:cs="Times New Roman"/>
          <w:szCs w:val="22"/>
        </w:rPr>
        <w:t xml:space="preserve"> (17%)</w:t>
      </w:r>
      <w:r w:rsidR="00774A64" w:rsidRPr="0074320F">
        <w:rPr>
          <w:rFonts w:ascii="Times New Roman" w:hAnsi="Times New Roman" w:cs="Times New Roman"/>
          <w:szCs w:val="22"/>
        </w:rPr>
        <w:t xml:space="preserve"> </w:t>
      </w:r>
      <w:r w:rsidR="0059672B" w:rsidRPr="0074320F">
        <w:rPr>
          <w:rFonts w:ascii="Times New Roman" w:hAnsi="Times New Roman" w:cs="Times New Roman"/>
          <w:szCs w:val="22"/>
        </w:rPr>
        <w:t>(</w:t>
      </w:r>
      <w:r w:rsidR="00D710FC" w:rsidRPr="0074320F">
        <w:rPr>
          <w:rFonts w:ascii="Times New Roman" w:hAnsi="Times New Roman" w:cs="Times New Roman"/>
          <w:szCs w:val="22"/>
        </w:rPr>
        <w:t>ADB</w:t>
      </w:r>
      <w:r w:rsidR="0059672B" w:rsidRPr="0074320F">
        <w:rPr>
          <w:rFonts w:ascii="Times New Roman" w:hAnsi="Times New Roman" w:cs="Times New Roman"/>
          <w:szCs w:val="22"/>
        </w:rPr>
        <w:t xml:space="preserve">, </w:t>
      </w:r>
      <w:r w:rsidR="00D710FC" w:rsidRPr="0074320F">
        <w:rPr>
          <w:rFonts w:ascii="Times New Roman" w:hAnsi="Times New Roman" w:cs="Times New Roman"/>
          <w:szCs w:val="22"/>
        </w:rPr>
        <w:t xml:space="preserve">2005). Particulate emissions from </w:t>
      </w:r>
      <w:r w:rsidRPr="0074320F">
        <w:rPr>
          <w:rFonts w:ascii="Times New Roman" w:hAnsi="Times New Roman" w:cs="Times New Roman"/>
          <w:szCs w:val="22"/>
        </w:rPr>
        <w:t xml:space="preserve">the </w:t>
      </w:r>
      <w:r w:rsidR="00D710FC" w:rsidRPr="0074320F">
        <w:rPr>
          <w:rFonts w:ascii="Times New Roman" w:hAnsi="Times New Roman" w:cs="Times New Roman"/>
          <w:szCs w:val="22"/>
        </w:rPr>
        <w:t xml:space="preserve">transport sector have been estimated </w:t>
      </w:r>
      <w:r w:rsidRPr="0074320F">
        <w:rPr>
          <w:rFonts w:ascii="Times New Roman" w:hAnsi="Times New Roman" w:cs="Times New Roman"/>
          <w:szCs w:val="22"/>
        </w:rPr>
        <w:t>a</w:t>
      </w:r>
      <w:r w:rsidR="0059672B" w:rsidRPr="0074320F">
        <w:rPr>
          <w:rFonts w:ascii="Times New Roman" w:hAnsi="Times New Roman" w:cs="Times New Roman"/>
          <w:szCs w:val="22"/>
        </w:rPr>
        <w:t>t</w:t>
      </w:r>
      <w:r w:rsidR="00D710FC" w:rsidRPr="0074320F">
        <w:rPr>
          <w:rFonts w:ascii="Times New Roman" w:hAnsi="Times New Roman" w:cs="Times New Roman"/>
          <w:szCs w:val="22"/>
        </w:rPr>
        <w:t xml:space="preserve"> 4.6 ton/day (1.7 kt /year) for Kolkata city (187 km</w:t>
      </w:r>
      <w:r w:rsidR="00D710FC" w:rsidRPr="0074320F">
        <w:rPr>
          <w:rFonts w:ascii="Times New Roman" w:hAnsi="Times New Roman" w:cs="Times New Roman"/>
          <w:szCs w:val="22"/>
          <w:vertAlign w:val="superscript"/>
        </w:rPr>
        <w:t>2</w:t>
      </w:r>
      <w:r w:rsidR="00D710FC" w:rsidRPr="0074320F">
        <w:rPr>
          <w:rFonts w:ascii="Times New Roman" w:hAnsi="Times New Roman" w:cs="Times New Roman"/>
          <w:szCs w:val="22"/>
        </w:rPr>
        <w:t>) for the year 2011</w:t>
      </w:r>
      <w:r w:rsidR="001E3A7E" w:rsidRPr="0074320F">
        <w:rPr>
          <w:rFonts w:ascii="Times New Roman" w:hAnsi="Times New Roman" w:cs="Times New Roman"/>
          <w:szCs w:val="22"/>
        </w:rPr>
        <w:t xml:space="preserve"> by </w:t>
      </w:r>
      <w:r w:rsidR="00D710FC" w:rsidRPr="0074320F">
        <w:rPr>
          <w:rFonts w:ascii="Times New Roman" w:hAnsi="Times New Roman" w:cs="Times New Roman"/>
          <w:szCs w:val="22"/>
        </w:rPr>
        <w:t xml:space="preserve">CPCB </w:t>
      </w:r>
      <w:r w:rsidR="001E3A7E" w:rsidRPr="0074320F">
        <w:rPr>
          <w:rFonts w:ascii="Times New Roman" w:hAnsi="Times New Roman" w:cs="Times New Roman"/>
          <w:szCs w:val="22"/>
        </w:rPr>
        <w:t>(</w:t>
      </w:r>
      <w:r w:rsidR="00D710FC" w:rsidRPr="0074320F">
        <w:rPr>
          <w:rFonts w:ascii="Times New Roman" w:hAnsi="Times New Roman" w:cs="Times New Roman"/>
          <w:szCs w:val="22"/>
        </w:rPr>
        <w:t>2015</w:t>
      </w:r>
      <w:r w:rsidR="001E3A7E" w:rsidRPr="0074320F">
        <w:rPr>
          <w:rFonts w:ascii="Times New Roman" w:hAnsi="Times New Roman" w:cs="Times New Roman"/>
          <w:szCs w:val="22"/>
        </w:rPr>
        <w:t>b</w:t>
      </w:r>
      <w:r w:rsidR="00D710FC" w:rsidRPr="0074320F">
        <w:rPr>
          <w:rFonts w:ascii="Times New Roman" w:hAnsi="Times New Roman" w:cs="Times New Roman"/>
          <w:szCs w:val="22"/>
        </w:rPr>
        <w:t xml:space="preserve">) somewhat comparable with our estimated 2.5 kt emission from </w:t>
      </w:r>
      <w:r w:rsidRPr="0074320F">
        <w:rPr>
          <w:rFonts w:ascii="Times New Roman" w:hAnsi="Times New Roman" w:cs="Times New Roman"/>
          <w:szCs w:val="22"/>
        </w:rPr>
        <w:t xml:space="preserve">the </w:t>
      </w:r>
      <w:r w:rsidR="00A7166F" w:rsidRPr="0074320F">
        <w:rPr>
          <w:rFonts w:ascii="Times New Roman" w:hAnsi="Times New Roman" w:cs="Times New Roman"/>
          <w:szCs w:val="22"/>
        </w:rPr>
        <w:t>KMC</w:t>
      </w:r>
      <w:r w:rsidR="00D710FC" w:rsidRPr="0074320F">
        <w:rPr>
          <w:rFonts w:ascii="Times New Roman" w:hAnsi="Times New Roman" w:cs="Times New Roman"/>
          <w:szCs w:val="22"/>
        </w:rPr>
        <w:t xml:space="preserve"> (1887 km</w:t>
      </w:r>
      <w:r w:rsidR="00D710FC" w:rsidRPr="0074320F">
        <w:rPr>
          <w:rFonts w:ascii="Times New Roman" w:hAnsi="Times New Roman" w:cs="Times New Roman"/>
          <w:szCs w:val="22"/>
          <w:vertAlign w:val="superscript"/>
        </w:rPr>
        <w:t>2</w:t>
      </w:r>
      <w:r w:rsidR="00D710FC" w:rsidRPr="0074320F">
        <w:rPr>
          <w:rFonts w:ascii="Times New Roman" w:hAnsi="Times New Roman" w:cs="Times New Roman"/>
          <w:szCs w:val="22"/>
        </w:rPr>
        <w:t>).</w:t>
      </w:r>
      <w:r w:rsidR="00774A64" w:rsidRPr="0074320F">
        <w:rPr>
          <w:rFonts w:ascii="Times New Roman" w:hAnsi="Times New Roman" w:cs="Times New Roman"/>
          <w:szCs w:val="22"/>
        </w:rPr>
        <w:t xml:space="preserve"> </w:t>
      </w:r>
    </w:p>
    <w:p w14:paraId="49259D9D" w14:textId="31DBEFF3" w:rsidR="00E17CD8" w:rsidRPr="005A53E1" w:rsidRDefault="00D710FC" w:rsidP="00AC18ED">
      <w:pPr>
        <w:spacing w:after="120" w:line="276" w:lineRule="auto"/>
        <w:jc w:val="both"/>
        <w:rPr>
          <w:rFonts w:ascii="Times New Roman" w:hAnsi="Times New Roman" w:cs="Times New Roman"/>
          <w:szCs w:val="22"/>
        </w:rPr>
      </w:pPr>
      <w:r w:rsidRPr="005A53E1">
        <w:rPr>
          <w:rFonts w:ascii="Times New Roman" w:hAnsi="Times New Roman" w:cs="Times New Roman"/>
          <w:szCs w:val="22"/>
        </w:rPr>
        <w:t>Sharma et al</w:t>
      </w:r>
      <w:r w:rsidR="0059672B" w:rsidRPr="005A53E1">
        <w:rPr>
          <w:rFonts w:ascii="Times New Roman" w:hAnsi="Times New Roman" w:cs="Times New Roman"/>
          <w:szCs w:val="22"/>
        </w:rPr>
        <w:t>.</w:t>
      </w:r>
      <w:r w:rsidR="001E3A7E" w:rsidRPr="005A53E1">
        <w:rPr>
          <w:rFonts w:ascii="Times New Roman" w:hAnsi="Times New Roman" w:cs="Times New Roman"/>
          <w:szCs w:val="22"/>
        </w:rPr>
        <w:t xml:space="preserve"> </w:t>
      </w:r>
      <w:r w:rsidRPr="005A53E1">
        <w:rPr>
          <w:rFonts w:ascii="Times New Roman" w:hAnsi="Times New Roman" w:cs="Times New Roman"/>
          <w:szCs w:val="22"/>
        </w:rPr>
        <w:t xml:space="preserve">(2002) report </w:t>
      </w:r>
      <w:r w:rsidRPr="00AC18ED">
        <w:rPr>
          <w:rFonts w:ascii="Times New Roman" w:hAnsi="Times New Roman" w:cs="Times New Roman"/>
          <w:szCs w:val="22"/>
        </w:rPr>
        <w:t>2.73 kt of NO</w:t>
      </w:r>
      <w:r w:rsidRPr="002A73C5">
        <w:rPr>
          <w:rFonts w:ascii="Times New Roman" w:hAnsi="Times New Roman"/>
          <w:vertAlign w:val="subscript"/>
        </w:rPr>
        <w:t>x</w:t>
      </w:r>
      <w:r w:rsidRPr="00AC18ED">
        <w:rPr>
          <w:rFonts w:ascii="Times New Roman" w:hAnsi="Times New Roman" w:cs="Times New Roman"/>
          <w:szCs w:val="22"/>
        </w:rPr>
        <w:t xml:space="preserve"> </w:t>
      </w:r>
      <w:r w:rsidR="0059672B">
        <w:rPr>
          <w:rFonts w:ascii="Times New Roman" w:hAnsi="Times New Roman" w:cs="Times New Roman"/>
          <w:szCs w:val="22"/>
        </w:rPr>
        <w:t xml:space="preserve">from the </w:t>
      </w:r>
      <w:r w:rsidRPr="00AC18ED">
        <w:rPr>
          <w:rFonts w:ascii="Times New Roman" w:hAnsi="Times New Roman" w:cs="Times New Roman"/>
          <w:szCs w:val="22"/>
        </w:rPr>
        <w:t xml:space="preserve">transport sector only in 1990. </w:t>
      </w:r>
      <w:r w:rsidR="0059672B">
        <w:rPr>
          <w:rFonts w:ascii="Times New Roman" w:hAnsi="Times New Roman" w:cs="Times New Roman"/>
          <w:szCs w:val="22"/>
        </w:rPr>
        <w:t xml:space="preserve">In </w:t>
      </w:r>
      <w:r w:rsidRPr="00AC18ED">
        <w:rPr>
          <w:rFonts w:ascii="Times New Roman" w:hAnsi="Times New Roman" w:cs="Times New Roman"/>
          <w:szCs w:val="22"/>
        </w:rPr>
        <w:t>2003, NO</w:t>
      </w:r>
      <w:r w:rsidRPr="002A73C5">
        <w:rPr>
          <w:rFonts w:ascii="Times New Roman" w:hAnsi="Times New Roman"/>
          <w:vertAlign w:val="subscript"/>
        </w:rPr>
        <w:t>x</w:t>
      </w:r>
      <w:r w:rsidRPr="00AC18ED">
        <w:rPr>
          <w:rFonts w:ascii="Times New Roman" w:hAnsi="Times New Roman" w:cs="Times New Roman"/>
          <w:szCs w:val="22"/>
        </w:rPr>
        <w:t xml:space="preserve"> emission</w:t>
      </w:r>
      <w:r w:rsidR="001D1A8E">
        <w:rPr>
          <w:rFonts w:ascii="Times New Roman" w:hAnsi="Times New Roman" w:cs="Times New Roman"/>
          <w:szCs w:val="22"/>
        </w:rPr>
        <w:t>s</w:t>
      </w:r>
      <w:r w:rsidRPr="00AC18ED">
        <w:rPr>
          <w:rFonts w:ascii="Times New Roman" w:hAnsi="Times New Roman" w:cs="Times New Roman"/>
          <w:szCs w:val="22"/>
        </w:rPr>
        <w:t xml:space="preserve"> from various </w:t>
      </w:r>
      <w:r w:rsidRPr="005A53E1">
        <w:rPr>
          <w:rFonts w:ascii="Times New Roman" w:hAnsi="Times New Roman" w:cs="Times New Roman"/>
          <w:szCs w:val="22"/>
        </w:rPr>
        <w:t>activities in Kolkata were 130 kt</w:t>
      </w:r>
      <w:r w:rsidR="0059672B" w:rsidRPr="005A53E1">
        <w:rPr>
          <w:rFonts w:ascii="Times New Roman" w:hAnsi="Times New Roman" w:cs="Times New Roman"/>
          <w:szCs w:val="22"/>
        </w:rPr>
        <w:t>,</w:t>
      </w:r>
      <w:r w:rsidRPr="005A53E1">
        <w:rPr>
          <w:rFonts w:ascii="Times New Roman" w:hAnsi="Times New Roman" w:cs="Times New Roman"/>
          <w:szCs w:val="22"/>
        </w:rPr>
        <w:t xml:space="preserve"> with </w:t>
      </w:r>
      <w:r w:rsidR="0059672B" w:rsidRPr="005A53E1">
        <w:rPr>
          <w:rFonts w:ascii="Times New Roman" w:hAnsi="Times New Roman" w:cs="Times New Roman"/>
          <w:szCs w:val="22"/>
        </w:rPr>
        <w:t xml:space="preserve">a </w:t>
      </w:r>
      <w:r w:rsidRPr="005A53E1">
        <w:rPr>
          <w:rFonts w:ascii="Times New Roman" w:hAnsi="Times New Roman" w:cs="Times New Roman"/>
          <w:szCs w:val="22"/>
        </w:rPr>
        <w:t>major contribution from motor vehicles (95 kt) and power plant</w:t>
      </w:r>
      <w:r w:rsidR="0059672B" w:rsidRPr="005A53E1">
        <w:rPr>
          <w:rFonts w:ascii="Times New Roman" w:hAnsi="Times New Roman" w:cs="Times New Roman"/>
          <w:szCs w:val="22"/>
        </w:rPr>
        <w:t>s</w:t>
      </w:r>
      <w:r w:rsidRPr="005A53E1">
        <w:rPr>
          <w:rFonts w:ascii="Times New Roman" w:hAnsi="Times New Roman" w:cs="Times New Roman"/>
          <w:szCs w:val="22"/>
        </w:rPr>
        <w:t xml:space="preserve"> (32 kt) </w:t>
      </w:r>
      <w:r w:rsidR="0059672B" w:rsidRPr="005A53E1">
        <w:rPr>
          <w:rFonts w:ascii="Times New Roman" w:hAnsi="Times New Roman" w:cs="Times New Roman"/>
          <w:szCs w:val="22"/>
        </w:rPr>
        <w:t>(</w:t>
      </w:r>
      <w:r w:rsidRPr="005A53E1">
        <w:rPr>
          <w:rFonts w:ascii="Times New Roman" w:hAnsi="Times New Roman" w:cs="Times New Roman"/>
          <w:szCs w:val="22"/>
        </w:rPr>
        <w:t>ADB</w:t>
      </w:r>
      <w:r w:rsidR="001E3A7E" w:rsidRPr="005A53E1">
        <w:rPr>
          <w:rFonts w:ascii="Times New Roman" w:hAnsi="Times New Roman" w:cs="Times New Roman"/>
          <w:szCs w:val="22"/>
        </w:rPr>
        <w:t>,</w:t>
      </w:r>
      <w:r w:rsidR="0059672B" w:rsidRPr="005A53E1">
        <w:rPr>
          <w:rFonts w:ascii="Times New Roman" w:hAnsi="Times New Roman" w:cs="Times New Roman"/>
          <w:szCs w:val="22"/>
        </w:rPr>
        <w:t xml:space="preserve"> </w:t>
      </w:r>
      <w:r w:rsidRPr="005A53E1">
        <w:rPr>
          <w:rFonts w:ascii="Times New Roman" w:hAnsi="Times New Roman" w:cs="Times New Roman"/>
          <w:szCs w:val="22"/>
        </w:rPr>
        <w:t>2005). Our NO</w:t>
      </w:r>
      <w:r w:rsidRPr="002A73C5">
        <w:rPr>
          <w:rFonts w:ascii="Times New Roman" w:hAnsi="Times New Roman"/>
          <w:vertAlign w:val="subscript"/>
        </w:rPr>
        <w:t>x</w:t>
      </w:r>
      <w:r w:rsidRPr="005A53E1">
        <w:rPr>
          <w:rFonts w:ascii="Times New Roman" w:hAnsi="Times New Roman" w:cs="Times New Roman"/>
          <w:szCs w:val="22"/>
        </w:rPr>
        <w:t xml:space="preserve"> emission</w:t>
      </w:r>
      <w:r w:rsidR="001D1A8E" w:rsidRPr="005A53E1">
        <w:rPr>
          <w:rFonts w:ascii="Times New Roman" w:hAnsi="Times New Roman" w:cs="Times New Roman"/>
          <w:szCs w:val="22"/>
        </w:rPr>
        <w:t>s</w:t>
      </w:r>
      <w:r w:rsidRPr="005A53E1">
        <w:rPr>
          <w:rFonts w:ascii="Times New Roman" w:hAnsi="Times New Roman" w:cs="Times New Roman"/>
          <w:szCs w:val="22"/>
        </w:rPr>
        <w:t xml:space="preserve"> from power plant</w:t>
      </w:r>
      <w:r w:rsidR="001D1A8E" w:rsidRPr="005A53E1">
        <w:rPr>
          <w:rFonts w:ascii="Times New Roman" w:hAnsi="Times New Roman" w:cs="Times New Roman"/>
          <w:szCs w:val="22"/>
        </w:rPr>
        <w:t>s</w:t>
      </w:r>
      <w:r w:rsidRPr="005A53E1">
        <w:rPr>
          <w:rFonts w:ascii="Times New Roman" w:hAnsi="Times New Roman" w:cs="Times New Roman"/>
          <w:szCs w:val="22"/>
        </w:rPr>
        <w:t>, 50 kt in 2010</w:t>
      </w:r>
      <w:r w:rsidR="0059672B" w:rsidRPr="005A53E1">
        <w:rPr>
          <w:rFonts w:ascii="Times New Roman" w:hAnsi="Times New Roman" w:cs="Times New Roman"/>
          <w:szCs w:val="22"/>
        </w:rPr>
        <w:t>,</w:t>
      </w:r>
      <w:r w:rsidRPr="005A53E1">
        <w:rPr>
          <w:rFonts w:ascii="Times New Roman" w:hAnsi="Times New Roman" w:cs="Times New Roman"/>
          <w:szCs w:val="22"/>
        </w:rPr>
        <w:t xml:space="preserve"> corroborate </w:t>
      </w:r>
      <w:r w:rsidR="0059672B" w:rsidRPr="005A53E1">
        <w:rPr>
          <w:rFonts w:ascii="Times New Roman" w:hAnsi="Times New Roman" w:cs="Times New Roman"/>
          <w:szCs w:val="22"/>
        </w:rPr>
        <w:t xml:space="preserve">these </w:t>
      </w:r>
      <w:r w:rsidRPr="005A53E1">
        <w:rPr>
          <w:rFonts w:ascii="Times New Roman" w:hAnsi="Times New Roman" w:cs="Times New Roman"/>
          <w:szCs w:val="22"/>
        </w:rPr>
        <w:t>well</w:t>
      </w:r>
      <w:r w:rsidR="0059672B" w:rsidRPr="005A53E1">
        <w:rPr>
          <w:rFonts w:ascii="Times New Roman" w:hAnsi="Times New Roman" w:cs="Times New Roman"/>
          <w:szCs w:val="22"/>
        </w:rPr>
        <w:t>,</w:t>
      </w:r>
      <w:r w:rsidR="00774A64" w:rsidRPr="005A53E1">
        <w:rPr>
          <w:rFonts w:ascii="Times New Roman" w:hAnsi="Times New Roman" w:cs="Times New Roman"/>
          <w:szCs w:val="22"/>
        </w:rPr>
        <w:t xml:space="preserve"> </w:t>
      </w:r>
      <w:r w:rsidRPr="005A53E1">
        <w:rPr>
          <w:rFonts w:ascii="Times New Roman" w:hAnsi="Times New Roman" w:cs="Times New Roman"/>
          <w:szCs w:val="22"/>
        </w:rPr>
        <w:t xml:space="preserve">considering </w:t>
      </w:r>
      <w:r w:rsidR="0059672B" w:rsidRPr="005A53E1">
        <w:rPr>
          <w:rFonts w:ascii="Times New Roman" w:hAnsi="Times New Roman" w:cs="Times New Roman"/>
          <w:szCs w:val="22"/>
        </w:rPr>
        <w:t xml:space="preserve">the </w:t>
      </w:r>
      <w:r w:rsidRPr="005A53E1">
        <w:rPr>
          <w:rFonts w:ascii="Times New Roman" w:hAnsi="Times New Roman" w:cs="Times New Roman"/>
          <w:szCs w:val="22"/>
        </w:rPr>
        <w:t xml:space="preserve">increasing power demand between 2003 and 2010. </w:t>
      </w:r>
      <w:r w:rsidR="0059672B" w:rsidRPr="005A53E1">
        <w:rPr>
          <w:rFonts w:ascii="Times New Roman" w:hAnsi="Times New Roman" w:cs="Times New Roman"/>
          <w:szCs w:val="22"/>
        </w:rPr>
        <w:t xml:space="preserve">The projected </w:t>
      </w:r>
      <w:r w:rsidRPr="005A53E1">
        <w:rPr>
          <w:rFonts w:ascii="Times New Roman" w:hAnsi="Times New Roman" w:cs="Times New Roman"/>
          <w:szCs w:val="22"/>
        </w:rPr>
        <w:t>NO</w:t>
      </w:r>
      <w:r w:rsidRPr="002A73C5">
        <w:rPr>
          <w:rFonts w:ascii="Times New Roman" w:hAnsi="Times New Roman"/>
          <w:vertAlign w:val="subscript"/>
        </w:rPr>
        <w:t>x</w:t>
      </w:r>
      <w:r w:rsidRPr="005A53E1">
        <w:rPr>
          <w:rFonts w:ascii="Times New Roman" w:hAnsi="Times New Roman" w:cs="Times New Roman"/>
          <w:szCs w:val="22"/>
        </w:rPr>
        <w:t xml:space="preserve"> level</w:t>
      </w:r>
      <w:r w:rsidR="0059672B" w:rsidRPr="005A53E1">
        <w:rPr>
          <w:rFonts w:ascii="Times New Roman" w:hAnsi="Times New Roman" w:cs="Times New Roman"/>
          <w:szCs w:val="22"/>
        </w:rPr>
        <w:t xml:space="preserve"> </w:t>
      </w:r>
      <w:r w:rsidRPr="005A53E1">
        <w:rPr>
          <w:rFonts w:ascii="Times New Roman" w:hAnsi="Times New Roman" w:cs="Times New Roman"/>
          <w:szCs w:val="22"/>
        </w:rPr>
        <w:t xml:space="preserve">reported in ADB (2005) is 237.5 kt for 2014. </w:t>
      </w:r>
      <w:r w:rsidR="0059672B" w:rsidRPr="005A53E1">
        <w:rPr>
          <w:rFonts w:ascii="Times New Roman" w:hAnsi="Times New Roman" w:cs="Times New Roman"/>
          <w:szCs w:val="22"/>
        </w:rPr>
        <w:t xml:space="preserve">The introduction </w:t>
      </w:r>
      <w:r w:rsidRPr="005A53E1">
        <w:rPr>
          <w:rFonts w:ascii="Times New Roman" w:hAnsi="Times New Roman" w:cs="Times New Roman"/>
          <w:szCs w:val="22"/>
        </w:rPr>
        <w:t xml:space="preserve">of BS-II from 2001 </w:t>
      </w:r>
      <w:r w:rsidR="0059672B" w:rsidRPr="005A53E1">
        <w:rPr>
          <w:rFonts w:ascii="Times New Roman" w:hAnsi="Times New Roman" w:cs="Times New Roman"/>
          <w:szCs w:val="22"/>
        </w:rPr>
        <w:t>for</w:t>
      </w:r>
      <w:r w:rsidR="00774A64" w:rsidRPr="005A53E1">
        <w:rPr>
          <w:rFonts w:ascii="Times New Roman" w:hAnsi="Times New Roman" w:cs="Times New Roman"/>
          <w:szCs w:val="22"/>
        </w:rPr>
        <w:t xml:space="preserve"> </w:t>
      </w:r>
      <w:r w:rsidRPr="005A53E1">
        <w:rPr>
          <w:rFonts w:ascii="Times New Roman" w:hAnsi="Times New Roman" w:cs="Times New Roman"/>
          <w:szCs w:val="22"/>
        </w:rPr>
        <w:t xml:space="preserve">newly registered vehicles (refer to section </w:t>
      </w:r>
      <w:r w:rsidR="00AE16DB" w:rsidRPr="005A53E1">
        <w:rPr>
          <w:rFonts w:ascii="Times New Roman" w:hAnsi="Times New Roman" w:cs="Times New Roman"/>
          <w:szCs w:val="22"/>
        </w:rPr>
        <w:t>5 of the Supplementary information</w:t>
      </w:r>
      <w:r w:rsidRPr="005A53E1">
        <w:rPr>
          <w:rFonts w:ascii="Times New Roman" w:hAnsi="Times New Roman" w:cs="Times New Roman"/>
          <w:szCs w:val="22"/>
        </w:rPr>
        <w:t xml:space="preserve">) and </w:t>
      </w:r>
      <w:r w:rsidR="0059672B" w:rsidRPr="005A53E1">
        <w:rPr>
          <w:rFonts w:ascii="Times New Roman" w:hAnsi="Times New Roman" w:cs="Times New Roman"/>
          <w:szCs w:val="22"/>
        </w:rPr>
        <w:t xml:space="preserve">the </w:t>
      </w:r>
      <w:r w:rsidRPr="005A53E1">
        <w:rPr>
          <w:rFonts w:ascii="Times New Roman" w:hAnsi="Times New Roman" w:cs="Times New Roman"/>
          <w:szCs w:val="22"/>
        </w:rPr>
        <w:t>policy decision of banning vehicles older than 15 years in 2009 may have reduced the actual NO</w:t>
      </w:r>
      <w:r w:rsidRPr="002A73C5">
        <w:rPr>
          <w:rFonts w:ascii="Times New Roman" w:hAnsi="Times New Roman"/>
          <w:vertAlign w:val="subscript"/>
        </w:rPr>
        <w:t>x</w:t>
      </w:r>
      <w:r w:rsidRPr="005A53E1">
        <w:rPr>
          <w:rFonts w:ascii="Times New Roman" w:hAnsi="Times New Roman" w:cs="Times New Roman"/>
          <w:szCs w:val="22"/>
        </w:rPr>
        <w:t xml:space="preserve"> emission</w:t>
      </w:r>
      <w:r w:rsidR="0059672B" w:rsidRPr="005A53E1">
        <w:rPr>
          <w:rFonts w:ascii="Times New Roman" w:hAnsi="Times New Roman" w:cs="Times New Roman"/>
          <w:szCs w:val="22"/>
        </w:rPr>
        <w:t>s</w:t>
      </w:r>
      <w:r w:rsidRPr="005A53E1">
        <w:rPr>
          <w:rFonts w:ascii="Times New Roman" w:hAnsi="Times New Roman" w:cs="Times New Roman"/>
          <w:szCs w:val="22"/>
        </w:rPr>
        <w:t xml:space="preserve"> from transport sector after 2009.</w:t>
      </w:r>
      <w:r w:rsidR="00774A64" w:rsidRPr="005A53E1">
        <w:rPr>
          <w:rFonts w:ascii="Times New Roman" w:hAnsi="Times New Roman" w:cs="Times New Roman"/>
          <w:szCs w:val="22"/>
        </w:rPr>
        <w:t xml:space="preserve"> </w:t>
      </w:r>
      <w:r w:rsidRPr="005A53E1">
        <w:rPr>
          <w:rFonts w:ascii="Times New Roman" w:hAnsi="Times New Roman" w:cs="Times New Roman"/>
          <w:szCs w:val="22"/>
        </w:rPr>
        <w:t xml:space="preserve">The banning of older vehicle may have had </w:t>
      </w:r>
      <w:r w:rsidR="0059672B" w:rsidRPr="005A53E1">
        <w:rPr>
          <w:rFonts w:ascii="Times New Roman" w:hAnsi="Times New Roman" w:cs="Times New Roman"/>
          <w:szCs w:val="22"/>
        </w:rPr>
        <w:t xml:space="preserve">a </w:t>
      </w:r>
      <w:r w:rsidRPr="005A53E1">
        <w:rPr>
          <w:rFonts w:ascii="Times New Roman" w:hAnsi="Times New Roman" w:cs="Times New Roman"/>
          <w:szCs w:val="22"/>
        </w:rPr>
        <w:t>two-fold effect on NO</w:t>
      </w:r>
      <w:r w:rsidRPr="002A73C5">
        <w:rPr>
          <w:rFonts w:ascii="Times New Roman" w:hAnsi="Times New Roman"/>
          <w:vertAlign w:val="subscript"/>
        </w:rPr>
        <w:t>x</w:t>
      </w:r>
      <w:r w:rsidRPr="005A53E1">
        <w:rPr>
          <w:rFonts w:ascii="Times New Roman" w:hAnsi="Times New Roman" w:cs="Times New Roman"/>
          <w:szCs w:val="22"/>
        </w:rPr>
        <w:t xml:space="preserve"> </w:t>
      </w:r>
      <w:r w:rsidR="0059672B" w:rsidRPr="005A53E1">
        <w:rPr>
          <w:rFonts w:ascii="Times New Roman" w:hAnsi="Times New Roman" w:cs="Times New Roman"/>
          <w:szCs w:val="22"/>
        </w:rPr>
        <w:t>and on</w:t>
      </w:r>
      <w:r w:rsidRPr="005A53E1">
        <w:rPr>
          <w:rFonts w:ascii="Times New Roman" w:hAnsi="Times New Roman" w:cs="Times New Roman"/>
          <w:szCs w:val="22"/>
        </w:rPr>
        <w:t xml:space="preserve"> particulate matter emission</w:t>
      </w:r>
      <w:r w:rsidR="0059672B" w:rsidRPr="005A53E1">
        <w:rPr>
          <w:rFonts w:ascii="Times New Roman" w:hAnsi="Times New Roman" w:cs="Times New Roman"/>
          <w:szCs w:val="22"/>
        </w:rPr>
        <w:t>s:</w:t>
      </w:r>
      <w:r w:rsidR="00774A64" w:rsidRPr="005A53E1">
        <w:rPr>
          <w:rFonts w:ascii="Times New Roman" w:hAnsi="Times New Roman" w:cs="Times New Roman"/>
          <w:szCs w:val="22"/>
        </w:rPr>
        <w:t xml:space="preserve"> </w:t>
      </w:r>
      <w:r w:rsidRPr="005A53E1">
        <w:rPr>
          <w:rFonts w:ascii="Times New Roman" w:hAnsi="Times New Roman" w:cs="Times New Roman"/>
          <w:szCs w:val="22"/>
        </w:rPr>
        <w:t xml:space="preserve">first, </w:t>
      </w:r>
      <w:r w:rsidR="0059672B" w:rsidRPr="005A53E1">
        <w:rPr>
          <w:rFonts w:ascii="Times New Roman" w:hAnsi="Times New Roman" w:cs="Times New Roman"/>
          <w:szCs w:val="22"/>
        </w:rPr>
        <w:t xml:space="preserve">by </w:t>
      </w:r>
      <w:r w:rsidRPr="005A53E1">
        <w:rPr>
          <w:rFonts w:ascii="Times New Roman" w:hAnsi="Times New Roman" w:cs="Times New Roman"/>
          <w:szCs w:val="22"/>
        </w:rPr>
        <w:t>reducing uncontrolled NO</w:t>
      </w:r>
      <w:r w:rsidRPr="002A73C5">
        <w:rPr>
          <w:rFonts w:ascii="Times New Roman" w:hAnsi="Times New Roman"/>
          <w:vertAlign w:val="subscript"/>
        </w:rPr>
        <w:t>x</w:t>
      </w:r>
      <w:r w:rsidRPr="005A53E1">
        <w:rPr>
          <w:rFonts w:ascii="Times New Roman" w:hAnsi="Times New Roman" w:cs="Times New Roman"/>
          <w:szCs w:val="22"/>
        </w:rPr>
        <w:t xml:space="preserve"> from older vehicles without any control system</w:t>
      </w:r>
      <w:r w:rsidR="0059672B" w:rsidRPr="005A53E1">
        <w:rPr>
          <w:rFonts w:ascii="Times New Roman" w:hAnsi="Times New Roman" w:cs="Times New Roman"/>
          <w:szCs w:val="22"/>
        </w:rPr>
        <w:t>;</w:t>
      </w:r>
      <w:r w:rsidR="00774A64" w:rsidRPr="005A53E1">
        <w:rPr>
          <w:rFonts w:ascii="Times New Roman" w:hAnsi="Times New Roman" w:cs="Times New Roman"/>
          <w:szCs w:val="22"/>
        </w:rPr>
        <w:t xml:space="preserve"> </w:t>
      </w:r>
      <w:r w:rsidR="0059672B" w:rsidRPr="005A53E1">
        <w:rPr>
          <w:rFonts w:ascii="Times New Roman" w:hAnsi="Times New Roman" w:cs="Times New Roman"/>
          <w:szCs w:val="22"/>
        </w:rPr>
        <w:t>second, by</w:t>
      </w:r>
      <w:r w:rsidR="00774A64" w:rsidRPr="005A53E1">
        <w:rPr>
          <w:rFonts w:ascii="Times New Roman" w:hAnsi="Times New Roman" w:cs="Times New Roman"/>
          <w:szCs w:val="22"/>
        </w:rPr>
        <w:t xml:space="preserve"> </w:t>
      </w:r>
      <w:r w:rsidRPr="005A53E1">
        <w:rPr>
          <w:rFonts w:ascii="Times New Roman" w:hAnsi="Times New Roman" w:cs="Times New Roman"/>
          <w:szCs w:val="22"/>
        </w:rPr>
        <w:t xml:space="preserve">reducing the total fleet volume temporarily by </w:t>
      </w:r>
      <w:r w:rsidR="0059672B" w:rsidRPr="005A53E1">
        <w:rPr>
          <w:rFonts w:ascii="Times New Roman" w:hAnsi="Times New Roman" w:cs="Times New Roman"/>
          <w:szCs w:val="22"/>
        </w:rPr>
        <w:t xml:space="preserve">the </w:t>
      </w:r>
      <w:r w:rsidRPr="005A53E1">
        <w:rPr>
          <w:rFonts w:ascii="Times New Roman" w:hAnsi="Times New Roman" w:cs="Times New Roman"/>
          <w:szCs w:val="22"/>
        </w:rPr>
        <w:t>year 2010. Gurjar et al. (2010) estimated 81 kt of NO</w:t>
      </w:r>
      <w:r w:rsidRPr="002A73C5">
        <w:rPr>
          <w:rFonts w:ascii="Times New Roman" w:hAnsi="Times New Roman"/>
          <w:vertAlign w:val="subscript"/>
        </w:rPr>
        <w:t>x</w:t>
      </w:r>
      <w:r w:rsidRPr="005A53E1">
        <w:rPr>
          <w:rFonts w:ascii="Times New Roman" w:hAnsi="Times New Roman" w:cs="Times New Roman"/>
          <w:szCs w:val="22"/>
        </w:rPr>
        <w:t xml:space="preserve"> </w:t>
      </w:r>
      <w:r w:rsidR="001D1A8E" w:rsidRPr="005A53E1">
        <w:rPr>
          <w:rFonts w:ascii="Times New Roman" w:hAnsi="Times New Roman" w:cs="Times New Roman"/>
          <w:szCs w:val="22"/>
        </w:rPr>
        <w:t xml:space="preserve">emissions the transport sector </w:t>
      </w:r>
      <w:r w:rsidRPr="005A53E1">
        <w:rPr>
          <w:rFonts w:ascii="Times New Roman" w:hAnsi="Times New Roman" w:cs="Times New Roman"/>
          <w:szCs w:val="22"/>
        </w:rPr>
        <w:t>in the year 2010</w:t>
      </w:r>
      <w:r w:rsidR="00774A64" w:rsidRPr="005A53E1">
        <w:rPr>
          <w:rFonts w:ascii="Times New Roman" w:hAnsi="Times New Roman" w:cs="Times New Roman"/>
          <w:szCs w:val="22"/>
        </w:rPr>
        <w:t xml:space="preserve"> </w:t>
      </w:r>
      <w:r w:rsidR="001D1A8E" w:rsidRPr="005A53E1">
        <w:rPr>
          <w:rFonts w:ascii="Times New Roman" w:hAnsi="Times New Roman" w:cs="Times New Roman"/>
          <w:szCs w:val="22"/>
        </w:rPr>
        <w:t xml:space="preserve">but only </w:t>
      </w:r>
      <w:r w:rsidRPr="005A53E1">
        <w:rPr>
          <w:rFonts w:ascii="Times New Roman" w:hAnsi="Times New Roman" w:cs="Times New Roman"/>
          <w:szCs w:val="22"/>
        </w:rPr>
        <w:t>where they have assumed phasing out of vehicles older than 25 years during the 2000</w:t>
      </w:r>
      <w:r w:rsidR="004E65FC" w:rsidRPr="005A53E1">
        <w:rPr>
          <w:rFonts w:ascii="Times New Roman" w:hAnsi="Times New Roman" w:cs="Times New Roman"/>
          <w:szCs w:val="22"/>
        </w:rPr>
        <w:t>–</w:t>
      </w:r>
      <w:r w:rsidRPr="005A53E1">
        <w:rPr>
          <w:rFonts w:ascii="Times New Roman" w:hAnsi="Times New Roman" w:cs="Times New Roman"/>
          <w:szCs w:val="22"/>
        </w:rPr>
        <w:t xml:space="preserve">2010 </w:t>
      </w:r>
      <w:r w:rsidR="004E65FC" w:rsidRPr="005A53E1">
        <w:rPr>
          <w:rFonts w:ascii="Times New Roman" w:hAnsi="Times New Roman" w:cs="Times New Roman"/>
          <w:szCs w:val="22"/>
        </w:rPr>
        <w:t>period</w:t>
      </w:r>
      <w:r w:rsidR="0010784E" w:rsidRPr="005A53E1">
        <w:rPr>
          <w:rFonts w:ascii="Times New Roman" w:hAnsi="Times New Roman" w:cs="Times New Roman"/>
          <w:szCs w:val="22"/>
        </w:rPr>
        <w:t xml:space="preserve"> - </w:t>
      </w:r>
      <w:r w:rsidR="004E65FC" w:rsidRPr="005A53E1">
        <w:rPr>
          <w:rFonts w:ascii="Times New Roman" w:hAnsi="Times New Roman" w:cs="Times New Roman"/>
          <w:szCs w:val="22"/>
        </w:rPr>
        <w:t xml:space="preserve">based </w:t>
      </w:r>
      <w:r w:rsidRPr="005A53E1">
        <w:rPr>
          <w:rFonts w:ascii="Times New Roman" w:hAnsi="Times New Roman" w:cs="Times New Roman"/>
          <w:szCs w:val="22"/>
        </w:rPr>
        <w:t xml:space="preserve">on </w:t>
      </w:r>
      <w:r w:rsidR="004E65FC" w:rsidRPr="005A53E1">
        <w:rPr>
          <w:rFonts w:ascii="Times New Roman" w:hAnsi="Times New Roman" w:cs="Times New Roman"/>
          <w:szCs w:val="22"/>
        </w:rPr>
        <w:t xml:space="preserve">a </w:t>
      </w:r>
      <w:r w:rsidR="0010784E" w:rsidRPr="005A53E1">
        <w:rPr>
          <w:rFonts w:ascii="Times New Roman" w:hAnsi="Times New Roman" w:cs="Times New Roman"/>
          <w:szCs w:val="22"/>
        </w:rPr>
        <w:t xml:space="preserve">larger </w:t>
      </w:r>
      <w:r w:rsidRPr="005A53E1">
        <w:rPr>
          <w:rFonts w:ascii="Times New Roman" w:hAnsi="Times New Roman" w:cs="Times New Roman"/>
          <w:szCs w:val="22"/>
        </w:rPr>
        <w:t xml:space="preserve">fleet volume </w:t>
      </w:r>
      <w:r w:rsidR="001D1A8E" w:rsidRPr="005A53E1">
        <w:rPr>
          <w:rFonts w:ascii="Times New Roman" w:hAnsi="Times New Roman" w:cs="Times New Roman"/>
          <w:szCs w:val="22"/>
        </w:rPr>
        <w:t>than was used for</w:t>
      </w:r>
      <w:r w:rsidRPr="005A53E1">
        <w:rPr>
          <w:rFonts w:ascii="Times New Roman" w:hAnsi="Times New Roman" w:cs="Times New Roman"/>
          <w:szCs w:val="22"/>
        </w:rPr>
        <w:t xml:space="preserve"> our estimation</w:t>
      </w:r>
      <w:r w:rsidR="00955DFD" w:rsidRPr="005A53E1">
        <w:rPr>
          <w:rFonts w:ascii="Times New Roman" w:hAnsi="Times New Roman" w:cs="Times New Roman"/>
          <w:szCs w:val="22"/>
        </w:rPr>
        <w:t xml:space="preserve"> based on active fleet volume</w:t>
      </w:r>
      <w:r w:rsidRPr="005A53E1">
        <w:rPr>
          <w:rFonts w:ascii="Times New Roman" w:hAnsi="Times New Roman" w:cs="Times New Roman"/>
          <w:szCs w:val="22"/>
        </w:rPr>
        <w:t>. Our estimated total NO</w:t>
      </w:r>
      <w:r w:rsidRPr="002A73C5">
        <w:rPr>
          <w:rFonts w:ascii="Times New Roman" w:hAnsi="Times New Roman"/>
          <w:vertAlign w:val="subscript"/>
        </w:rPr>
        <w:t>x</w:t>
      </w:r>
      <w:r w:rsidRPr="005A53E1">
        <w:rPr>
          <w:rFonts w:ascii="Times New Roman" w:hAnsi="Times New Roman" w:cs="Times New Roman"/>
          <w:szCs w:val="22"/>
        </w:rPr>
        <w:t xml:space="preserve"> emission is 78 kt for 2010 in Kolkata city and 22 kt from </w:t>
      </w:r>
      <w:r w:rsidR="004E65FC" w:rsidRPr="005A53E1">
        <w:rPr>
          <w:rFonts w:ascii="Times New Roman" w:hAnsi="Times New Roman" w:cs="Times New Roman"/>
          <w:szCs w:val="22"/>
        </w:rPr>
        <w:t xml:space="preserve">the </w:t>
      </w:r>
      <w:r w:rsidRPr="005A53E1">
        <w:rPr>
          <w:rFonts w:ascii="Times New Roman" w:hAnsi="Times New Roman" w:cs="Times New Roman"/>
          <w:szCs w:val="22"/>
        </w:rPr>
        <w:t xml:space="preserve">transport sector, </w:t>
      </w:r>
      <w:r w:rsidR="004E65FC" w:rsidRPr="005A53E1">
        <w:rPr>
          <w:rFonts w:ascii="Times New Roman" w:hAnsi="Times New Roman" w:cs="Times New Roman"/>
          <w:szCs w:val="22"/>
        </w:rPr>
        <w:t xml:space="preserve">which </w:t>
      </w:r>
      <w:r w:rsidRPr="005A53E1">
        <w:rPr>
          <w:rFonts w:ascii="Times New Roman" w:hAnsi="Times New Roman" w:cs="Times New Roman"/>
          <w:szCs w:val="22"/>
        </w:rPr>
        <w:t xml:space="preserve">is much less than Gurjar et al. (2010). In </w:t>
      </w:r>
      <w:r w:rsidR="001D1A8E" w:rsidRPr="005A53E1">
        <w:rPr>
          <w:rFonts w:ascii="Times New Roman" w:hAnsi="Times New Roman" w:cs="Times New Roman"/>
          <w:szCs w:val="22"/>
        </w:rPr>
        <w:t>fact,</w:t>
      </w:r>
      <w:r w:rsidRPr="005A53E1">
        <w:rPr>
          <w:rFonts w:ascii="Times New Roman" w:hAnsi="Times New Roman" w:cs="Times New Roman"/>
          <w:szCs w:val="22"/>
        </w:rPr>
        <w:t xml:space="preserve"> vehicles older than 15 years </w:t>
      </w:r>
      <w:r w:rsidR="004E65FC" w:rsidRPr="005A53E1">
        <w:rPr>
          <w:rFonts w:ascii="Times New Roman" w:hAnsi="Times New Roman" w:cs="Times New Roman"/>
          <w:szCs w:val="22"/>
        </w:rPr>
        <w:t>were</w:t>
      </w:r>
      <w:r w:rsidRPr="005A53E1">
        <w:rPr>
          <w:rFonts w:ascii="Times New Roman" w:hAnsi="Times New Roman" w:cs="Times New Roman"/>
          <w:szCs w:val="22"/>
        </w:rPr>
        <w:t xml:space="preserve"> banned </w:t>
      </w:r>
      <w:r w:rsidRPr="00AC18ED">
        <w:rPr>
          <w:rFonts w:ascii="Times New Roman" w:hAnsi="Times New Roman" w:cs="Times New Roman"/>
          <w:szCs w:val="22"/>
        </w:rPr>
        <w:t xml:space="preserve">suddenly </w:t>
      </w:r>
      <w:r w:rsidR="004E65FC">
        <w:rPr>
          <w:rFonts w:ascii="Times New Roman" w:hAnsi="Times New Roman" w:cs="Times New Roman"/>
          <w:szCs w:val="22"/>
        </w:rPr>
        <w:t>i</w:t>
      </w:r>
      <w:r w:rsidR="004E65FC" w:rsidRPr="00AC18ED">
        <w:rPr>
          <w:rFonts w:ascii="Times New Roman" w:hAnsi="Times New Roman" w:cs="Times New Roman"/>
          <w:szCs w:val="22"/>
        </w:rPr>
        <w:t xml:space="preserve">n </w:t>
      </w:r>
      <w:r w:rsidRPr="00AC18ED">
        <w:rPr>
          <w:rFonts w:ascii="Times New Roman" w:hAnsi="Times New Roman" w:cs="Times New Roman"/>
          <w:szCs w:val="22"/>
        </w:rPr>
        <w:t xml:space="preserve">2009. </w:t>
      </w:r>
      <w:r w:rsidR="004E65FC">
        <w:rPr>
          <w:rFonts w:ascii="Times New Roman" w:hAnsi="Times New Roman" w:cs="Times New Roman"/>
          <w:szCs w:val="22"/>
        </w:rPr>
        <w:t xml:space="preserve">In practical terms, </w:t>
      </w:r>
      <w:r w:rsidRPr="00AC18ED">
        <w:rPr>
          <w:rFonts w:ascii="Times New Roman" w:hAnsi="Times New Roman" w:cs="Times New Roman"/>
          <w:szCs w:val="22"/>
        </w:rPr>
        <w:t>the ban may have taken some time to implement; however,</w:t>
      </w:r>
      <w:r w:rsidR="00774A64">
        <w:rPr>
          <w:rFonts w:ascii="Times New Roman" w:hAnsi="Times New Roman" w:cs="Times New Roman"/>
          <w:szCs w:val="22"/>
        </w:rPr>
        <w:t xml:space="preserve"> </w:t>
      </w:r>
      <w:r w:rsidR="004E65FC">
        <w:rPr>
          <w:rFonts w:ascii="Times New Roman" w:hAnsi="Times New Roman" w:cs="Times New Roman"/>
          <w:szCs w:val="22"/>
        </w:rPr>
        <w:t>the</w:t>
      </w:r>
      <w:r w:rsidR="00774A64">
        <w:rPr>
          <w:rFonts w:ascii="Times New Roman" w:hAnsi="Times New Roman" w:cs="Times New Roman"/>
          <w:szCs w:val="22"/>
        </w:rPr>
        <w:t xml:space="preserve"> </w:t>
      </w:r>
      <w:r w:rsidRPr="00AC18ED">
        <w:rPr>
          <w:rFonts w:ascii="Times New Roman" w:hAnsi="Times New Roman" w:cs="Times New Roman"/>
          <w:szCs w:val="22"/>
        </w:rPr>
        <w:t>reduction of</w:t>
      </w:r>
      <w:r w:rsidR="004E65FC" w:rsidRPr="004E65FC">
        <w:rPr>
          <w:rFonts w:ascii="Times New Roman" w:hAnsi="Times New Roman" w:cs="Times New Roman"/>
          <w:szCs w:val="22"/>
        </w:rPr>
        <w:t xml:space="preserve"> </w:t>
      </w:r>
      <w:r w:rsidR="004E65FC">
        <w:rPr>
          <w:rFonts w:ascii="Times New Roman" w:hAnsi="Times New Roman" w:cs="Times New Roman"/>
          <w:szCs w:val="22"/>
        </w:rPr>
        <w:t>pollutant</w:t>
      </w:r>
      <w:r w:rsidR="00774A64">
        <w:rPr>
          <w:rFonts w:ascii="Times New Roman" w:hAnsi="Times New Roman" w:cs="Times New Roman"/>
          <w:szCs w:val="22"/>
        </w:rPr>
        <w:t xml:space="preserve"> </w:t>
      </w:r>
      <w:r w:rsidRPr="00AC18ED">
        <w:rPr>
          <w:rFonts w:ascii="Times New Roman" w:hAnsi="Times New Roman" w:cs="Times New Roman"/>
          <w:szCs w:val="22"/>
        </w:rPr>
        <w:t>emission</w:t>
      </w:r>
      <w:r w:rsidR="004E65FC">
        <w:rPr>
          <w:rFonts w:ascii="Times New Roman" w:hAnsi="Times New Roman" w:cs="Times New Roman"/>
          <w:szCs w:val="22"/>
        </w:rPr>
        <w:t>s</w:t>
      </w:r>
      <w:r w:rsidRPr="00AC18ED">
        <w:rPr>
          <w:rFonts w:ascii="Times New Roman" w:hAnsi="Times New Roman" w:cs="Times New Roman"/>
          <w:szCs w:val="22"/>
        </w:rPr>
        <w:t xml:space="preserve"> </w:t>
      </w:r>
      <w:r w:rsidR="004E65FC" w:rsidRPr="00AC18ED">
        <w:rPr>
          <w:rFonts w:ascii="Times New Roman" w:hAnsi="Times New Roman" w:cs="Times New Roman"/>
          <w:szCs w:val="22"/>
        </w:rPr>
        <w:t>especially</w:t>
      </w:r>
      <w:r w:rsidR="004E65FC">
        <w:rPr>
          <w:rFonts w:ascii="Times New Roman" w:hAnsi="Times New Roman" w:cs="Times New Roman"/>
          <w:szCs w:val="22"/>
        </w:rPr>
        <w:t>,</w:t>
      </w:r>
      <w:r w:rsidR="004E65FC" w:rsidRPr="00AC18ED">
        <w:rPr>
          <w:rFonts w:ascii="Times New Roman" w:hAnsi="Times New Roman" w:cs="Times New Roman"/>
          <w:szCs w:val="22"/>
        </w:rPr>
        <w:t xml:space="preserve"> NO</w:t>
      </w:r>
      <w:r w:rsidR="004E65FC" w:rsidRPr="002A73C5">
        <w:rPr>
          <w:rFonts w:ascii="Times New Roman" w:hAnsi="Times New Roman"/>
          <w:vertAlign w:val="subscript"/>
        </w:rPr>
        <w:t>x</w:t>
      </w:r>
      <w:r w:rsidR="004E65FC">
        <w:rPr>
          <w:rFonts w:ascii="Times New Roman" w:hAnsi="Times New Roman" w:cs="Times New Roman"/>
          <w:szCs w:val="22"/>
        </w:rPr>
        <w:t xml:space="preserve">, </w:t>
      </w:r>
      <w:r w:rsidRPr="00AC18ED">
        <w:rPr>
          <w:rFonts w:ascii="Times New Roman" w:hAnsi="Times New Roman" w:cs="Times New Roman"/>
          <w:szCs w:val="22"/>
        </w:rPr>
        <w:t xml:space="preserve">may have been more effective </w:t>
      </w:r>
      <w:r w:rsidR="004E65FC">
        <w:rPr>
          <w:rFonts w:ascii="Times New Roman" w:hAnsi="Times New Roman" w:cs="Times New Roman"/>
          <w:szCs w:val="22"/>
        </w:rPr>
        <w:t>than</w:t>
      </w:r>
      <w:r w:rsidRPr="00AC18ED">
        <w:rPr>
          <w:rFonts w:ascii="Times New Roman" w:hAnsi="Times New Roman" w:cs="Times New Roman"/>
          <w:szCs w:val="22"/>
        </w:rPr>
        <w:t xml:space="preserve"> slowly phasing </w:t>
      </w:r>
      <w:r w:rsidR="001D1A8E">
        <w:rPr>
          <w:rFonts w:ascii="Times New Roman" w:hAnsi="Times New Roman" w:cs="Times New Roman"/>
          <w:szCs w:val="22"/>
        </w:rPr>
        <w:t xml:space="preserve">them </w:t>
      </w:r>
      <w:r w:rsidRPr="00AC18ED">
        <w:rPr>
          <w:rFonts w:ascii="Times New Roman" w:hAnsi="Times New Roman" w:cs="Times New Roman"/>
          <w:szCs w:val="22"/>
        </w:rPr>
        <w:t>out during the last ten years (2000-2010). T</w:t>
      </w:r>
      <w:r w:rsidR="004E65FC">
        <w:rPr>
          <w:rFonts w:ascii="Times New Roman" w:hAnsi="Times New Roman" w:cs="Times New Roman"/>
          <w:szCs w:val="22"/>
        </w:rPr>
        <w:t xml:space="preserve">he </w:t>
      </w:r>
      <w:r w:rsidR="004E65FC" w:rsidRPr="005A53E1">
        <w:rPr>
          <w:rFonts w:ascii="Times New Roman" w:hAnsi="Times New Roman" w:cs="Times New Roman"/>
          <w:szCs w:val="22"/>
        </w:rPr>
        <w:t>t</w:t>
      </w:r>
      <w:r w:rsidRPr="005A53E1">
        <w:rPr>
          <w:rFonts w:ascii="Times New Roman" w:hAnsi="Times New Roman" w:cs="Times New Roman"/>
          <w:szCs w:val="22"/>
        </w:rPr>
        <w:t xml:space="preserve">ransport sector within the city limits is estimated to emit </w:t>
      </w:r>
      <w:r w:rsidR="004E65FC" w:rsidRPr="005A53E1">
        <w:rPr>
          <w:rFonts w:ascii="Times New Roman" w:hAnsi="Times New Roman" w:cs="Times New Roman"/>
          <w:szCs w:val="22"/>
        </w:rPr>
        <w:t>NO</w:t>
      </w:r>
      <w:r w:rsidR="004E65FC" w:rsidRPr="002A73C5">
        <w:rPr>
          <w:rFonts w:ascii="Times New Roman" w:hAnsi="Times New Roman"/>
          <w:vertAlign w:val="subscript"/>
        </w:rPr>
        <w:t>x</w:t>
      </w:r>
      <w:r w:rsidR="004E65FC" w:rsidRPr="005A53E1">
        <w:rPr>
          <w:rFonts w:ascii="Times New Roman" w:hAnsi="Times New Roman" w:cs="Times New Roman"/>
          <w:szCs w:val="22"/>
        </w:rPr>
        <w:t xml:space="preserve"> at the rate of </w:t>
      </w:r>
      <w:r w:rsidRPr="005A53E1">
        <w:rPr>
          <w:rFonts w:ascii="Times New Roman" w:hAnsi="Times New Roman" w:cs="Times New Roman"/>
          <w:szCs w:val="22"/>
        </w:rPr>
        <w:t>44.3 ton/day (16.1 kt/year) in 2011 (CPCB 2015</w:t>
      </w:r>
      <w:r w:rsidR="00330A33" w:rsidRPr="005A53E1">
        <w:rPr>
          <w:rFonts w:ascii="Times New Roman" w:hAnsi="Times New Roman" w:cs="Times New Roman"/>
          <w:szCs w:val="22"/>
        </w:rPr>
        <w:t>b</w:t>
      </w:r>
      <w:r w:rsidRPr="005A53E1">
        <w:rPr>
          <w:rFonts w:ascii="Times New Roman" w:hAnsi="Times New Roman" w:cs="Times New Roman"/>
          <w:szCs w:val="22"/>
        </w:rPr>
        <w:t>). Our study estimates 21.9 kt of NO</w:t>
      </w:r>
      <w:r w:rsidRPr="002A73C5">
        <w:rPr>
          <w:rFonts w:ascii="Times New Roman" w:hAnsi="Times New Roman"/>
          <w:vertAlign w:val="subscript"/>
        </w:rPr>
        <w:t>x</w:t>
      </w:r>
      <w:r w:rsidRPr="005A53E1">
        <w:rPr>
          <w:rFonts w:ascii="Times New Roman" w:hAnsi="Times New Roman" w:cs="Times New Roman"/>
          <w:szCs w:val="22"/>
        </w:rPr>
        <w:t xml:space="preserve"> emissions for 2010 from transport exhaust for </w:t>
      </w:r>
      <w:r w:rsidR="004E65FC" w:rsidRPr="005A53E1">
        <w:rPr>
          <w:rFonts w:ascii="Times New Roman" w:hAnsi="Times New Roman" w:cs="Times New Roman"/>
          <w:szCs w:val="22"/>
        </w:rPr>
        <w:t xml:space="preserve">the </w:t>
      </w:r>
      <w:r w:rsidR="00A7166F" w:rsidRPr="005A53E1">
        <w:rPr>
          <w:rFonts w:ascii="Times New Roman" w:hAnsi="Times New Roman" w:cs="Times New Roman"/>
          <w:szCs w:val="22"/>
        </w:rPr>
        <w:t>KMC</w:t>
      </w:r>
      <w:r w:rsidRPr="005A53E1">
        <w:rPr>
          <w:rFonts w:ascii="Times New Roman" w:hAnsi="Times New Roman" w:cs="Times New Roman"/>
          <w:szCs w:val="22"/>
        </w:rPr>
        <w:t xml:space="preserve"> area</w:t>
      </w:r>
      <w:r w:rsidR="001D1A8E" w:rsidRPr="005A53E1">
        <w:rPr>
          <w:rFonts w:ascii="Times New Roman" w:hAnsi="Times New Roman" w:cs="Times New Roman"/>
          <w:szCs w:val="22"/>
        </w:rPr>
        <w:t>,</w:t>
      </w:r>
      <w:r w:rsidRPr="005A53E1">
        <w:rPr>
          <w:rFonts w:ascii="Times New Roman" w:hAnsi="Times New Roman" w:cs="Times New Roman"/>
          <w:szCs w:val="22"/>
        </w:rPr>
        <w:t xml:space="preserve"> which is comparable considering the wider area considered under </w:t>
      </w:r>
      <w:r w:rsidR="00A7166F" w:rsidRPr="005A53E1">
        <w:rPr>
          <w:rFonts w:ascii="Times New Roman" w:hAnsi="Times New Roman" w:cs="Times New Roman"/>
          <w:szCs w:val="22"/>
        </w:rPr>
        <w:t>KMC</w:t>
      </w:r>
      <w:r w:rsidRPr="005A53E1">
        <w:rPr>
          <w:rFonts w:ascii="Times New Roman" w:hAnsi="Times New Roman" w:cs="Times New Roman"/>
          <w:szCs w:val="22"/>
        </w:rPr>
        <w:t xml:space="preserve"> compared to Kolkata city. </w:t>
      </w:r>
    </w:p>
    <w:p w14:paraId="431C7124" w14:textId="77777777" w:rsidR="00E17CD8" w:rsidRDefault="00E17CD8" w:rsidP="00AC18ED">
      <w:pPr>
        <w:spacing w:after="120" w:line="276" w:lineRule="auto"/>
        <w:jc w:val="both"/>
        <w:rPr>
          <w:rFonts w:ascii="Times New Roman" w:hAnsi="Times New Roman" w:cs="Times New Roman"/>
          <w:szCs w:val="22"/>
        </w:rPr>
      </w:pPr>
    </w:p>
    <w:p w14:paraId="58E0DC86" w14:textId="77777777" w:rsidR="00E17CD8" w:rsidRDefault="00E17CD8" w:rsidP="00AC18ED">
      <w:pPr>
        <w:spacing w:after="120" w:line="276" w:lineRule="auto"/>
        <w:jc w:val="both"/>
        <w:rPr>
          <w:rFonts w:ascii="Times New Roman" w:hAnsi="Times New Roman" w:cs="Times New Roman"/>
          <w:szCs w:val="22"/>
        </w:rPr>
        <w:sectPr w:rsidR="00E17CD8" w:rsidSect="006F6ABF">
          <w:pgSz w:w="11906" w:h="16838" w:code="9"/>
          <w:pgMar w:top="1440" w:right="1440" w:bottom="1440" w:left="1440" w:header="706" w:footer="706" w:gutter="0"/>
          <w:cols w:space="708"/>
          <w:docGrid w:linePitch="360"/>
        </w:sectPr>
      </w:pPr>
    </w:p>
    <w:p w14:paraId="17027DEE" w14:textId="4AED6FCC" w:rsidR="00E17CD8" w:rsidRPr="002A73C5" w:rsidRDefault="00E17CD8" w:rsidP="00E17CD8">
      <w:pPr>
        <w:jc w:val="both"/>
        <w:rPr>
          <w:rFonts w:ascii="Times New Roman" w:hAnsi="Times New Roman"/>
          <w:b/>
        </w:rPr>
      </w:pPr>
      <w:r w:rsidRPr="002A73C5">
        <w:rPr>
          <w:rFonts w:ascii="Times New Roman" w:hAnsi="Times New Roman"/>
          <w:b/>
        </w:rPr>
        <w:lastRenderedPageBreak/>
        <w:t>Table S4. Air pollutants and GHG emission in Kolkata city.</w:t>
      </w:r>
    </w:p>
    <w:tbl>
      <w:tblPr>
        <w:tblStyle w:val="TableGrid"/>
        <w:tblW w:w="14156" w:type="dxa"/>
        <w:jc w:val="right"/>
        <w:tblLayout w:type="fixed"/>
        <w:tblLook w:val="04A0" w:firstRow="1" w:lastRow="0" w:firstColumn="1" w:lastColumn="0" w:noHBand="0" w:noVBand="1"/>
      </w:tblPr>
      <w:tblGrid>
        <w:gridCol w:w="1429"/>
        <w:gridCol w:w="580"/>
        <w:gridCol w:w="581"/>
        <w:gridCol w:w="581"/>
        <w:gridCol w:w="580"/>
        <w:gridCol w:w="581"/>
        <w:gridCol w:w="581"/>
        <w:gridCol w:w="580"/>
        <w:gridCol w:w="581"/>
        <w:gridCol w:w="581"/>
        <w:gridCol w:w="635"/>
        <w:gridCol w:w="450"/>
        <w:gridCol w:w="450"/>
        <w:gridCol w:w="540"/>
        <w:gridCol w:w="1170"/>
        <w:gridCol w:w="1260"/>
        <w:gridCol w:w="2996"/>
      </w:tblGrid>
      <w:tr w:rsidR="00E17CD8" w:rsidRPr="001003EB" w14:paraId="21A4D168" w14:textId="77777777" w:rsidTr="00C13DA2">
        <w:trPr>
          <w:trHeight w:val="33"/>
          <w:jc w:val="right"/>
        </w:trPr>
        <w:tc>
          <w:tcPr>
            <w:tcW w:w="1429" w:type="dxa"/>
            <w:vMerge w:val="restart"/>
          </w:tcPr>
          <w:p w14:paraId="56239BF5" w14:textId="77777777" w:rsidR="00E17CD8" w:rsidRPr="002A73C5" w:rsidRDefault="00E17CD8" w:rsidP="00D0613B">
            <w:pPr>
              <w:jc w:val="center"/>
              <w:rPr>
                <w:rFonts w:ascii="Times New Roman" w:hAnsi="Times New Roman"/>
                <w:b/>
              </w:rPr>
            </w:pPr>
            <w:r w:rsidRPr="002A73C5">
              <w:rPr>
                <w:rFonts w:ascii="Times New Roman" w:hAnsi="Times New Roman"/>
                <w:b/>
              </w:rPr>
              <w:t>Reference</w:t>
            </w:r>
          </w:p>
        </w:tc>
        <w:tc>
          <w:tcPr>
            <w:tcW w:w="5226" w:type="dxa"/>
            <w:gridSpan w:val="9"/>
          </w:tcPr>
          <w:p w14:paraId="2F22F892" w14:textId="77777777" w:rsidR="00E17CD8" w:rsidRPr="002A73C5" w:rsidRDefault="00E17CD8" w:rsidP="00D0613B">
            <w:pPr>
              <w:ind w:left="-7" w:right="-87"/>
              <w:jc w:val="center"/>
              <w:rPr>
                <w:rFonts w:ascii="Times New Roman" w:hAnsi="Times New Roman"/>
                <w:b/>
              </w:rPr>
            </w:pPr>
            <w:r w:rsidRPr="002A73C5">
              <w:rPr>
                <w:rFonts w:ascii="Times New Roman" w:hAnsi="Times New Roman"/>
                <w:b/>
              </w:rPr>
              <w:t>Air pollutants (kt)</w:t>
            </w:r>
          </w:p>
        </w:tc>
        <w:tc>
          <w:tcPr>
            <w:tcW w:w="1535" w:type="dxa"/>
            <w:gridSpan w:val="3"/>
          </w:tcPr>
          <w:p w14:paraId="6BA6C876" w14:textId="77777777" w:rsidR="00E17CD8" w:rsidRPr="002A73C5" w:rsidRDefault="00E17CD8" w:rsidP="00D0613B">
            <w:pPr>
              <w:jc w:val="center"/>
              <w:rPr>
                <w:rFonts w:ascii="Times New Roman" w:hAnsi="Times New Roman"/>
                <w:b/>
              </w:rPr>
            </w:pPr>
            <w:r w:rsidRPr="002A73C5">
              <w:rPr>
                <w:rFonts w:ascii="Times New Roman" w:hAnsi="Times New Roman"/>
                <w:b/>
              </w:rPr>
              <w:t>GHG emissions (kt)</w:t>
            </w:r>
          </w:p>
        </w:tc>
        <w:tc>
          <w:tcPr>
            <w:tcW w:w="540" w:type="dxa"/>
            <w:vMerge w:val="restart"/>
          </w:tcPr>
          <w:p w14:paraId="78654562" w14:textId="77777777" w:rsidR="00E17CD8" w:rsidRPr="002A73C5" w:rsidRDefault="00E17CD8" w:rsidP="00D0613B">
            <w:pPr>
              <w:ind w:left="-108" w:right="-108"/>
              <w:jc w:val="center"/>
              <w:rPr>
                <w:rFonts w:ascii="Times New Roman" w:hAnsi="Times New Roman"/>
                <w:b/>
              </w:rPr>
            </w:pPr>
            <w:r w:rsidRPr="002A73C5">
              <w:rPr>
                <w:rFonts w:ascii="Times New Roman" w:hAnsi="Times New Roman"/>
                <w:b/>
              </w:rPr>
              <w:t>Year</w:t>
            </w:r>
          </w:p>
        </w:tc>
        <w:tc>
          <w:tcPr>
            <w:tcW w:w="1170" w:type="dxa"/>
            <w:vMerge w:val="restart"/>
          </w:tcPr>
          <w:p w14:paraId="6023BDCE" w14:textId="77777777" w:rsidR="00E17CD8" w:rsidRPr="002A73C5" w:rsidRDefault="00E17CD8" w:rsidP="00D0613B">
            <w:pPr>
              <w:ind w:left="-108" w:right="-198"/>
              <w:jc w:val="center"/>
              <w:rPr>
                <w:rFonts w:ascii="Times New Roman" w:hAnsi="Times New Roman"/>
                <w:b/>
              </w:rPr>
            </w:pPr>
            <w:r w:rsidRPr="002A73C5">
              <w:rPr>
                <w:rFonts w:ascii="Times New Roman" w:hAnsi="Times New Roman"/>
                <w:b/>
              </w:rPr>
              <w:t>Study domain (Area-km</w:t>
            </w:r>
            <w:r w:rsidRPr="002A73C5">
              <w:rPr>
                <w:rFonts w:ascii="Times New Roman" w:hAnsi="Times New Roman"/>
                <w:b/>
                <w:vertAlign w:val="superscript"/>
              </w:rPr>
              <w:t>2</w:t>
            </w:r>
            <w:r w:rsidRPr="002A73C5">
              <w:rPr>
                <w:rFonts w:ascii="Times New Roman" w:hAnsi="Times New Roman"/>
                <w:b/>
              </w:rPr>
              <w:t>)</w:t>
            </w:r>
          </w:p>
        </w:tc>
        <w:tc>
          <w:tcPr>
            <w:tcW w:w="1260" w:type="dxa"/>
            <w:vMerge w:val="restart"/>
          </w:tcPr>
          <w:p w14:paraId="563575C1" w14:textId="77777777" w:rsidR="00E17CD8" w:rsidRPr="002A73C5" w:rsidRDefault="00E17CD8" w:rsidP="00D0613B">
            <w:pPr>
              <w:jc w:val="center"/>
              <w:rPr>
                <w:rFonts w:ascii="Times New Roman" w:hAnsi="Times New Roman"/>
                <w:b/>
              </w:rPr>
            </w:pPr>
            <w:r w:rsidRPr="002A73C5">
              <w:rPr>
                <w:rFonts w:ascii="Times New Roman" w:hAnsi="Times New Roman"/>
                <w:b/>
              </w:rPr>
              <w:t>Population (in millions)</w:t>
            </w:r>
          </w:p>
        </w:tc>
        <w:tc>
          <w:tcPr>
            <w:tcW w:w="2996" w:type="dxa"/>
            <w:vMerge w:val="restart"/>
          </w:tcPr>
          <w:p w14:paraId="5BF358DC" w14:textId="77777777" w:rsidR="00E17CD8" w:rsidRPr="002A73C5" w:rsidRDefault="00E17CD8" w:rsidP="00D0613B">
            <w:pPr>
              <w:jc w:val="center"/>
              <w:rPr>
                <w:rFonts w:ascii="Times New Roman" w:hAnsi="Times New Roman"/>
                <w:b/>
              </w:rPr>
            </w:pPr>
            <w:r w:rsidRPr="002A73C5">
              <w:rPr>
                <w:rFonts w:ascii="Times New Roman" w:hAnsi="Times New Roman"/>
                <w:b/>
              </w:rPr>
              <w:t>Remarks</w:t>
            </w:r>
          </w:p>
        </w:tc>
      </w:tr>
      <w:tr w:rsidR="00E17CD8" w:rsidRPr="001003EB" w14:paraId="32C16975" w14:textId="77777777" w:rsidTr="00C13DA2">
        <w:trPr>
          <w:trHeight w:val="35"/>
          <w:jc w:val="right"/>
        </w:trPr>
        <w:tc>
          <w:tcPr>
            <w:tcW w:w="1429" w:type="dxa"/>
            <w:vMerge/>
          </w:tcPr>
          <w:p w14:paraId="4B024252" w14:textId="77777777" w:rsidR="00E17CD8" w:rsidRPr="002A73C5" w:rsidRDefault="00E17CD8" w:rsidP="00D0613B">
            <w:pPr>
              <w:jc w:val="center"/>
              <w:rPr>
                <w:rFonts w:ascii="Times New Roman" w:hAnsi="Times New Roman"/>
              </w:rPr>
            </w:pPr>
          </w:p>
        </w:tc>
        <w:tc>
          <w:tcPr>
            <w:tcW w:w="580" w:type="dxa"/>
          </w:tcPr>
          <w:p w14:paraId="30B71ED4" w14:textId="77777777" w:rsidR="00E17CD8" w:rsidRPr="002A73C5" w:rsidRDefault="00E17CD8" w:rsidP="00D0613B">
            <w:pPr>
              <w:ind w:left="-7" w:right="-87"/>
              <w:jc w:val="center"/>
              <w:rPr>
                <w:rFonts w:ascii="Times New Roman" w:hAnsi="Times New Roman"/>
                <w:b/>
                <w:sz w:val="16"/>
              </w:rPr>
            </w:pPr>
            <w:r w:rsidRPr="002A73C5">
              <w:rPr>
                <w:rFonts w:ascii="Times New Roman" w:hAnsi="Times New Roman"/>
                <w:b/>
                <w:sz w:val="16"/>
              </w:rPr>
              <w:t>SO</w:t>
            </w:r>
            <w:r w:rsidRPr="002A73C5">
              <w:rPr>
                <w:rFonts w:ascii="Times New Roman" w:hAnsi="Times New Roman"/>
                <w:b/>
                <w:sz w:val="16"/>
                <w:vertAlign w:val="subscript"/>
              </w:rPr>
              <w:t>2</w:t>
            </w:r>
          </w:p>
        </w:tc>
        <w:tc>
          <w:tcPr>
            <w:tcW w:w="581" w:type="dxa"/>
          </w:tcPr>
          <w:p w14:paraId="7C267916" w14:textId="77777777" w:rsidR="00E17CD8" w:rsidRPr="002A73C5" w:rsidRDefault="00E17CD8" w:rsidP="00D0613B">
            <w:pPr>
              <w:ind w:left="-7" w:right="-87"/>
              <w:jc w:val="center"/>
              <w:rPr>
                <w:rFonts w:ascii="Times New Roman" w:hAnsi="Times New Roman"/>
                <w:b/>
                <w:sz w:val="16"/>
              </w:rPr>
            </w:pPr>
            <w:r w:rsidRPr="002A73C5">
              <w:rPr>
                <w:rFonts w:ascii="Times New Roman" w:hAnsi="Times New Roman"/>
                <w:b/>
                <w:sz w:val="16"/>
              </w:rPr>
              <w:t>NO</w:t>
            </w:r>
            <w:r w:rsidRPr="002A73C5">
              <w:rPr>
                <w:rFonts w:ascii="Times New Roman" w:hAnsi="Times New Roman"/>
                <w:b/>
                <w:sz w:val="16"/>
                <w:vertAlign w:val="subscript"/>
              </w:rPr>
              <w:t>x</w:t>
            </w:r>
          </w:p>
        </w:tc>
        <w:tc>
          <w:tcPr>
            <w:tcW w:w="581" w:type="dxa"/>
          </w:tcPr>
          <w:p w14:paraId="6B004B88" w14:textId="77777777" w:rsidR="00E17CD8" w:rsidRPr="002A73C5" w:rsidRDefault="00E17CD8" w:rsidP="00D0613B">
            <w:pPr>
              <w:ind w:left="-7" w:right="-87"/>
              <w:jc w:val="center"/>
              <w:rPr>
                <w:rFonts w:ascii="Times New Roman" w:hAnsi="Times New Roman"/>
                <w:b/>
                <w:sz w:val="16"/>
              </w:rPr>
            </w:pPr>
            <w:r w:rsidRPr="002A73C5">
              <w:rPr>
                <w:rFonts w:ascii="Times New Roman" w:hAnsi="Times New Roman"/>
                <w:b/>
                <w:sz w:val="16"/>
              </w:rPr>
              <w:t>PM</w:t>
            </w:r>
            <w:r w:rsidRPr="002A73C5">
              <w:rPr>
                <w:rFonts w:ascii="Times New Roman" w:hAnsi="Times New Roman"/>
                <w:b/>
                <w:sz w:val="16"/>
                <w:vertAlign w:val="subscript"/>
              </w:rPr>
              <w:t>10</w:t>
            </w:r>
            <w:r w:rsidRPr="002A73C5">
              <w:rPr>
                <w:rFonts w:ascii="Times New Roman" w:hAnsi="Times New Roman"/>
                <w:b/>
                <w:sz w:val="16"/>
              </w:rPr>
              <w:t>/TSP</w:t>
            </w:r>
            <w:r w:rsidRPr="002A73C5">
              <w:rPr>
                <w:rFonts w:ascii="Times New Roman" w:hAnsi="Times New Roman"/>
                <w:b/>
                <w:sz w:val="16"/>
                <w:vertAlign w:val="superscript"/>
              </w:rPr>
              <w:sym w:font="Symbol" w:char="F061"/>
            </w:r>
          </w:p>
        </w:tc>
        <w:tc>
          <w:tcPr>
            <w:tcW w:w="580" w:type="dxa"/>
          </w:tcPr>
          <w:p w14:paraId="055E9B11" w14:textId="77777777" w:rsidR="00E17CD8" w:rsidRPr="002A73C5" w:rsidRDefault="00E17CD8" w:rsidP="00D0613B">
            <w:pPr>
              <w:ind w:left="-7" w:right="-87"/>
              <w:rPr>
                <w:rFonts w:ascii="Times New Roman" w:hAnsi="Times New Roman"/>
                <w:b/>
                <w:sz w:val="16"/>
              </w:rPr>
            </w:pPr>
            <w:r w:rsidRPr="002A73C5">
              <w:rPr>
                <w:rFonts w:ascii="Times New Roman" w:hAnsi="Times New Roman"/>
                <w:b/>
                <w:sz w:val="16"/>
              </w:rPr>
              <w:t>PM</w:t>
            </w:r>
            <w:r w:rsidRPr="002A73C5">
              <w:rPr>
                <w:rFonts w:ascii="Times New Roman" w:hAnsi="Times New Roman"/>
                <w:b/>
                <w:sz w:val="16"/>
                <w:vertAlign w:val="subscript"/>
              </w:rPr>
              <w:t>2.5</w:t>
            </w:r>
          </w:p>
        </w:tc>
        <w:tc>
          <w:tcPr>
            <w:tcW w:w="581" w:type="dxa"/>
          </w:tcPr>
          <w:p w14:paraId="196F9BFE" w14:textId="77777777" w:rsidR="00E17CD8" w:rsidRPr="002A73C5" w:rsidRDefault="00E17CD8" w:rsidP="00D0613B">
            <w:pPr>
              <w:ind w:left="-7" w:right="-87"/>
              <w:rPr>
                <w:rFonts w:ascii="Times New Roman" w:hAnsi="Times New Roman"/>
                <w:b/>
                <w:sz w:val="16"/>
              </w:rPr>
            </w:pPr>
            <w:r w:rsidRPr="002A73C5">
              <w:rPr>
                <w:rFonts w:ascii="Times New Roman" w:hAnsi="Times New Roman"/>
                <w:b/>
                <w:sz w:val="16"/>
              </w:rPr>
              <w:t>BC</w:t>
            </w:r>
          </w:p>
        </w:tc>
        <w:tc>
          <w:tcPr>
            <w:tcW w:w="581" w:type="dxa"/>
          </w:tcPr>
          <w:p w14:paraId="69C01751" w14:textId="77777777" w:rsidR="00E17CD8" w:rsidRPr="002A73C5" w:rsidRDefault="00E17CD8" w:rsidP="00D0613B">
            <w:pPr>
              <w:ind w:left="-7" w:right="-108"/>
              <w:rPr>
                <w:rFonts w:ascii="Times New Roman" w:hAnsi="Times New Roman"/>
                <w:b/>
                <w:sz w:val="16"/>
              </w:rPr>
            </w:pPr>
            <w:r w:rsidRPr="002A73C5">
              <w:rPr>
                <w:rFonts w:ascii="Times New Roman" w:hAnsi="Times New Roman"/>
                <w:b/>
                <w:sz w:val="16"/>
              </w:rPr>
              <w:t>OC</w:t>
            </w:r>
          </w:p>
        </w:tc>
        <w:tc>
          <w:tcPr>
            <w:tcW w:w="580" w:type="dxa"/>
          </w:tcPr>
          <w:p w14:paraId="094B7989" w14:textId="77777777" w:rsidR="00E17CD8" w:rsidRPr="002A73C5" w:rsidRDefault="00E17CD8" w:rsidP="00D0613B">
            <w:pPr>
              <w:ind w:left="-7" w:right="-87"/>
              <w:rPr>
                <w:rFonts w:ascii="Times New Roman" w:hAnsi="Times New Roman"/>
                <w:b/>
                <w:sz w:val="16"/>
              </w:rPr>
            </w:pPr>
            <w:r w:rsidRPr="002A73C5">
              <w:rPr>
                <w:rFonts w:ascii="Times New Roman" w:hAnsi="Times New Roman"/>
                <w:b/>
                <w:sz w:val="16"/>
              </w:rPr>
              <w:t>CO</w:t>
            </w:r>
          </w:p>
        </w:tc>
        <w:tc>
          <w:tcPr>
            <w:tcW w:w="581" w:type="dxa"/>
          </w:tcPr>
          <w:p w14:paraId="2F8240F5" w14:textId="77777777" w:rsidR="00E17CD8" w:rsidRPr="002A73C5" w:rsidRDefault="00E17CD8" w:rsidP="00D0613B">
            <w:pPr>
              <w:ind w:left="-108" w:right="-87"/>
              <w:rPr>
                <w:rFonts w:ascii="Times New Roman" w:hAnsi="Times New Roman"/>
                <w:b/>
                <w:sz w:val="16"/>
              </w:rPr>
            </w:pPr>
            <w:r w:rsidRPr="002A73C5">
              <w:rPr>
                <w:rFonts w:ascii="Times New Roman" w:hAnsi="Times New Roman"/>
                <w:b/>
                <w:sz w:val="16"/>
              </w:rPr>
              <w:t>VOC</w:t>
            </w:r>
          </w:p>
        </w:tc>
        <w:tc>
          <w:tcPr>
            <w:tcW w:w="581" w:type="dxa"/>
          </w:tcPr>
          <w:p w14:paraId="3302B5B8" w14:textId="77777777" w:rsidR="00E17CD8" w:rsidRPr="002A73C5" w:rsidRDefault="00E17CD8" w:rsidP="00D0613B">
            <w:pPr>
              <w:ind w:left="-7" w:right="-87"/>
              <w:rPr>
                <w:rFonts w:ascii="Times New Roman" w:hAnsi="Times New Roman"/>
                <w:b/>
                <w:sz w:val="16"/>
              </w:rPr>
            </w:pPr>
            <w:r w:rsidRPr="002A73C5">
              <w:rPr>
                <w:rFonts w:ascii="Times New Roman" w:hAnsi="Times New Roman"/>
                <w:b/>
                <w:sz w:val="16"/>
              </w:rPr>
              <w:t>NH</w:t>
            </w:r>
            <w:r w:rsidRPr="002A73C5">
              <w:rPr>
                <w:rFonts w:ascii="Times New Roman" w:hAnsi="Times New Roman"/>
                <w:b/>
                <w:sz w:val="16"/>
                <w:vertAlign w:val="subscript"/>
              </w:rPr>
              <w:t>3</w:t>
            </w:r>
          </w:p>
        </w:tc>
        <w:tc>
          <w:tcPr>
            <w:tcW w:w="635" w:type="dxa"/>
          </w:tcPr>
          <w:p w14:paraId="0A022EF6" w14:textId="77777777" w:rsidR="00E17CD8" w:rsidRPr="002A73C5" w:rsidRDefault="00E17CD8" w:rsidP="00D0613B">
            <w:pPr>
              <w:ind w:left="-108" w:right="-87"/>
              <w:rPr>
                <w:rFonts w:ascii="Times New Roman" w:hAnsi="Times New Roman"/>
                <w:b/>
                <w:sz w:val="16"/>
              </w:rPr>
            </w:pPr>
            <w:r w:rsidRPr="002A73C5">
              <w:rPr>
                <w:rFonts w:ascii="Times New Roman" w:hAnsi="Times New Roman"/>
                <w:b/>
                <w:sz w:val="16"/>
              </w:rPr>
              <w:t>CO</w:t>
            </w:r>
            <w:r w:rsidRPr="002A73C5">
              <w:rPr>
                <w:rFonts w:ascii="Times New Roman" w:hAnsi="Times New Roman"/>
                <w:b/>
                <w:sz w:val="16"/>
                <w:vertAlign w:val="subscript"/>
              </w:rPr>
              <w:t>2</w:t>
            </w:r>
          </w:p>
        </w:tc>
        <w:tc>
          <w:tcPr>
            <w:tcW w:w="450" w:type="dxa"/>
          </w:tcPr>
          <w:p w14:paraId="10D0420D" w14:textId="77777777" w:rsidR="00E17CD8" w:rsidRPr="002A73C5" w:rsidRDefault="00E17CD8" w:rsidP="00D0613B">
            <w:pPr>
              <w:ind w:left="-108" w:right="-108"/>
              <w:rPr>
                <w:rFonts w:ascii="Times New Roman" w:hAnsi="Times New Roman"/>
                <w:b/>
                <w:sz w:val="16"/>
              </w:rPr>
            </w:pPr>
            <w:r w:rsidRPr="002A73C5">
              <w:rPr>
                <w:rFonts w:ascii="Times New Roman" w:hAnsi="Times New Roman"/>
                <w:b/>
                <w:sz w:val="16"/>
              </w:rPr>
              <w:t>CH</w:t>
            </w:r>
            <w:r w:rsidRPr="002A73C5">
              <w:rPr>
                <w:rFonts w:ascii="Times New Roman" w:hAnsi="Times New Roman"/>
                <w:b/>
                <w:sz w:val="16"/>
                <w:vertAlign w:val="subscript"/>
              </w:rPr>
              <w:t>4</w:t>
            </w:r>
          </w:p>
        </w:tc>
        <w:tc>
          <w:tcPr>
            <w:tcW w:w="450" w:type="dxa"/>
          </w:tcPr>
          <w:p w14:paraId="2082A66B" w14:textId="77777777" w:rsidR="00E17CD8" w:rsidRPr="002A73C5" w:rsidRDefault="00E17CD8" w:rsidP="00D0613B">
            <w:pPr>
              <w:ind w:right="-108"/>
              <w:rPr>
                <w:rFonts w:ascii="Times New Roman" w:hAnsi="Times New Roman"/>
                <w:b/>
                <w:sz w:val="16"/>
              </w:rPr>
            </w:pPr>
            <w:r w:rsidRPr="002A73C5">
              <w:rPr>
                <w:rFonts w:ascii="Times New Roman" w:hAnsi="Times New Roman"/>
                <w:b/>
                <w:sz w:val="16"/>
              </w:rPr>
              <w:t>N</w:t>
            </w:r>
            <w:r w:rsidRPr="002A73C5">
              <w:rPr>
                <w:rFonts w:ascii="Times New Roman" w:hAnsi="Times New Roman"/>
                <w:b/>
                <w:sz w:val="16"/>
                <w:vertAlign w:val="subscript"/>
              </w:rPr>
              <w:t>2</w:t>
            </w:r>
            <w:r w:rsidRPr="002A73C5">
              <w:rPr>
                <w:rFonts w:ascii="Times New Roman" w:hAnsi="Times New Roman"/>
                <w:b/>
                <w:sz w:val="16"/>
              </w:rPr>
              <w:t>O</w:t>
            </w:r>
          </w:p>
        </w:tc>
        <w:tc>
          <w:tcPr>
            <w:tcW w:w="540" w:type="dxa"/>
            <w:vMerge/>
          </w:tcPr>
          <w:p w14:paraId="4F372B77" w14:textId="77777777" w:rsidR="00E17CD8" w:rsidRPr="002A73C5" w:rsidRDefault="00E17CD8" w:rsidP="00D0613B">
            <w:pPr>
              <w:ind w:right="-21"/>
              <w:rPr>
                <w:rFonts w:ascii="Times New Roman" w:hAnsi="Times New Roman"/>
              </w:rPr>
            </w:pPr>
          </w:p>
        </w:tc>
        <w:tc>
          <w:tcPr>
            <w:tcW w:w="1170" w:type="dxa"/>
            <w:vMerge/>
          </w:tcPr>
          <w:p w14:paraId="128B50D8" w14:textId="77777777" w:rsidR="00E17CD8" w:rsidRPr="002A73C5" w:rsidRDefault="00E17CD8" w:rsidP="00D0613B">
            <w:pPr>
              <w:rPr>
                <w:rFonts w:ascii="Times New Roman" w:hAnsi="Times New Roman"/>
              </w:rPr>
            </w:pPr>
          </w:p>
        </w:tc>
        <w:tc>
          <w:tcPr>
            <w:tcW w:w="1260" w:type="dxa"/>
            <w:vMerge/>
          </w:tcPr>
          <w:p w14:paraId="05A9356E" w14:textId="77777777" w:rsidR="00E17CD8" w:rsidRPr="002A73C5" w:rsidRDefault="00E17CD8" w:rsidP="00D0613B">
            <w:pPr>
              <w:jc w:val="center"/>
              <w:rPr>
                <w:rFonts w:ascii="Times New Roman" w:hAnsi="Times New Roman"/>
              </w:rPr>
            </w:pPr>
          </w:p>
        </w:tc>
        <w:tc>
          <w:tcPr>
            <w:tcW w:w="2996" w:type="dxa"/>
            <w:vMerge/>
          </w:tcPr>
          <w:p w14:paraId="477370F6" w14:textId="77777777" w:rsidR="00E17CD8" w:rsidRPr="002A73C5" w:rsidRDefault="00E17CD8" w:rsidP="00D0613B">
            <w:pPr>
              <w:jc w:val="center"/>
              <w:rPr>
                <w:rFonts w:ascii="Times New Roman" w:hAnsi="Times New Roman"/>
              </w:rPr>
            </w:pPr>
          </w:p>
        </w:tc>
      </w:tr>
      <w:tr w:rsidR="00E17CD8" w:rsidRPr="001003EB" w14:paraId="34B35D91" w14:textId="77777777" w:rsidTr="00C13DA2">
        <w:trPr>
          <w:trHeight w:val="34"/>
          <w:jc w:val="right"/>
        </w:trPr>
        <w:tc>
          <w:tcPr>
            <w:tcW w:w="1429" w:type="dxa"/>
          </w:tcPr>
          <w:p w14:paraId="40F76A0C" w14:textId="5F263431" w:rsidR="00E17CD8" w:rsidRPr="002A73C5" w:rsidRDefault="006270B3" w:rsidP="00D0613B">
            <w:pPr>
              <w:rPr>
                <w:rFonts w:ascii="Times New Roman" w:hAnsi="Times New Roman"/>
                <w:sz w:val="16"/>
              </w:rPr>
            </w:pPr>
            <w:r w:rsidRPr="002A73C5">
              <w:rPr>
                <w:rFonts w:ascii="Times New Roman" w:hAnsi="Times New Roman"/>
                <w:sz w:val="16"/>
              </w:rPr>
              <w:t xml:space="preserve">Present </w:t>
            </w:r>
            <w:r w:rsidR="00E17CD8" w:rsidRPr="002A73C5">
              <w:rPr>
                <w:rFonts w:ascii="Times New Roman" w:hAnsi="Times New Roman"/>
                <w:sz w:val="16"/>
              </w:rPr>
              <w:t>study</w:t>
            </w:r>
          </w:p>
        </w:tc>
        <w:tc>
          <w:tcPr>
            <w:tcW w:w="580" w:type="dxa"/>
          </w:tcPr>
          <w:p w14:paraId="6EAC1F34"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76.5</w:t>
            </w:r>
          </w:p>
        </w:tc>
        <w:tc>
          <w:tcPr>
            <w:tcW w:w="581" w:type="dxa"/>
          </w:tcPr>
          <w:p w14:paraId="5C360DB8"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77.9</w:t>
            </w:r>
          </w:p>
        </w:tc>
        <w:tc>
          <w:tcPr>
            <w:tcW w:w="581" w:type="dxa"/>
          </w:tcPr>
          <w:p w14:paraId="20B92130"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58.6</w:t>
            </w:r>
          </w:p>
        </w:tc>
        <w:tc>
          <w:tcPr>
            <w:tcW w:w="580" w:type="dxa"/>
          </w:tcPr>
          <w:p w14:paraId="793B0401"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29.4</w:t>
            </w:r>
          </w:p>
        </w:tc>
        <w:tc>
          <w:tcPr>
            <w:tcW w:w="581" w:type="dxa"/>
          </w:tcPr>
          <w:p w14:paraId="681584D6"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7.7</w:t>
            </w:r>
          </w:p>
        </w:tc>
        <w:tc>
          <w:tcPr>
            <w:tcW w:w="581" w:type="dxa"/>
          </w:tcPr>
          <w:p w14:paraId="1C95E3EE"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7.2</w:t>
            </w:r>
          </w:p>
        </w:tc>
        <w:tc>
          <w:tcPr>
            <w:tcW w:w="580" w:type="dxa"/>
          </w:tcPr>
          <w:p w14:paraId="3D55E14D"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78.7</w:t>
            </w:r>
          </w:p>
        </w:tc>
        <w:tc>
          <w:tcPr>
            <w:tcW w:w="581" w:type="dxa"/>
          </w:tcPr>
          <w:p w14:paraId="22B11786"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35.9</w:t>
            </w:r>
          </w:p>
        </w:tc>
        <w:tc>
          <w:tcPr>
            <w:tcW w:w="581" w:type="dxa"/>
          </w:tcPr>
          <w:p w14:paraId="7EE02D44"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24.8</w:t>
            </w:r>
          </w:p>
        </w:tc>
        <w:tc>
          <w:tcPr>
            <w:tcW w:w="635" w:type="dxa"/>
          </w:tcPr>
          <w:p w14:paraId="793595BE" w14:textId="77777777" w:rsidR="00E17CD8" w:rsidRPr="002A73C5" w:rsidRDefault="00E17CD8" w:rsidP="00D0613B">
            <w:pPr>
              <w:ind w:left="-108" w:right="-87"/>
              <w:jc w:val="center"/>
              <w:rPr>
                <w:rFonts w:ascii="Times New Roman" w:hAnsi="Times New Roman"/>
                <w:sz w:val="16"/>
              </w:rPr>
            </w:pPr>
            <w:r w:rsidRPr="002A73C5">
              <w:rPr>
                <w:rFonts w:ascii="Times New Roman" w:hAnsi="Times New Roman"/>
                <w:color w:val="000000"/>
                <w:sz w:val="16"/>
              </w:rPr>
              <w:t>20.3</w:t>
            </w:r>
          </w:p>
        </w:tc>
        <w:tc>
          <w:tcPr>
            <w:tcW w:w="450" w:type="dxa"/>
          </w:tcPr>
          <w:p w14:paraId="17BE8699" w14:textId="77777777" w:rsidR="00E17CD8" w:rsidRPr="002A73C5" w:rsidRDefault="00E17CD8" w:rsidP="00D0613B">
            <w:pPr>
              <w:ind w:left="-108" w:right="-108"/>
              <w:jc w:val="center"/>
              <w:rPr>
                <w:rFonts w:ascii="Times New Roman" w:hAnsi="Times New Roman"/>
                <w:sz w:val="16"/>
              </w:rPr>
            </w:pPr>
            <w:r w:rsidRPr="002A73C5">
              <w:rPr>
                <w:rFonts w:ascii="Times New Roman" w:hAnsi="Times New Roman"/>
                <w:color w:val="000000"/>
                <w:sz w:val="16"/>
              </w:rPr>
              <w:t>74.8</w:t>
            </w:r>
          </w:p>
        </w:tc>
        <w:tc>
          <w:tcPr>
            <w:tcW w:w="450" w:type="dxa"/>
          </w:tcPr>
          <w:p w14:paraId="033E56B4" w14:textId="77777777" w:rsidR="00E17CD8" w:rsidRPr="002A73C5" w:rsidRDefault="00E17CD8" w:rsidP="00D0613B">
            <w:pPr>
              <w:ind w:right="-108"/>
              <w:jc w:val="center"/>
              <w:rPr>
                <w:rFonts w:ascii="Times New Roman" w:hAnsi="Times New Roman"/>
                <w:sz w:val="16"/>
              </w:rPr>
            </w:pPr>
            <w:r w:rsidRPr="002A73C5">
              <w:rPr>
                <w:rFonts w:ascii="Times New Roman" w:hAnsi="Times New Roman"/>
                <w:color w:val="000000"/>
                <w:sz w:val="16"/>
              </w:rPr>
              <w:t>25.2</w:t>
            </w:r>
          </w:p>
        </w:tc>
        <w:tc>
          <w:tcPr>
            <w:tcW w:w="540" w:type="dxa"/>
          </w:tcPr>
          <w:p w14:paraId="0990F6EF" w14:textId="77777777" w:rsidR="00E17CD8" w:rsidRPr="002A73C5" w:rsidRDefault="00E17CD8" w:rsidP="00D0613B">
            <w:pPr>
              <w:ind w:right="-21"/>
              <w:jc w:val="center"/>
              <w:rPr>
                <w:rFonts w:ascii="Times New Roman" w:hAnsi="Times New Roman"/>
                <w:sz w:val="16"/>
              </w:rPr>
            </w:pPr>
            <w:r w:rsidRPr="002A73C5">
              <w:rPr>
                <w:rFonts w:ascii="Times New Roman" w:hAnsi="Times New Roman"/>
                <w:sz w:val="16"/>
              </w:rPr>
              <w:t>2015</w:t>
            </w:r>
          </w:p>
        </w:tc>
        <w:tc>
          <w:tcPr>
            <w:tcW w:w="1170" w:type="dxa"/>
          </w:tcPr>
          <w:p w14:paraId="195DE381" w14:textId="77777777" w:rsidR="00E17CD8" w:rsidRPr="002A73C5" w:rsidRDefault="00E17CD8" w:rsidP="00D0613B">
            <w:pPr>
              <w:jc w:val="both"/>
              <w:rPr>
                <w:rFonts w:ascii="Times New Roman" w:hAnsi="Times New Roman"/>
                <w:sz w:val="16"/>
              </w:rPr>
            </w:pPr>
            <w:r w:rsidRPr="002A73C5">
              <w:rPr>
                <w:rFonts w:ascii="Times New Roman" w:hAnsi="Times New Roman"/>
                <w:sz w:val="16"/>
              </w:rPr>
              <w:t>KMC (1887)</w:t>
            </w:r>
          </w:p>
        </w:tc>
        <w:tc>
          <w:tcPr>
            <w:tcW w:w="1260" w:type="dxa"/>
          </w:tcPr>
          <w:p w14:paraId="41ED8A92" w14:textId="57AD321D" w:rsidR="00E17CD8" w:rsidRPr="002A73C5" w:rsidRDefault="00E17CD8" w:rsidP="004F3EFB">
            <w:pPr>
              <w:jc w:val="center"/>
              <w:rPr>
                <w:rFonts w:ascii="Times New Roman" w:hAnsi="Times New Roman"/>
                <w:sz w:val="16"/>
              </w:rPr>
            </w:pPr>
            <w:r w:rsidRPr="002A73C5">
              <w:rPr>
                <w:rFonts w:ascii="Times New Roman" w:hAnsi="Times New Roman"/>
                <w:sz w:val="16"/>
              </w:rPr>
              <w:t>14.</w:t>
            </w:r>
            <w:r w:rsidR="006270B3" w:rsidRPr="002A73C5">
              <w:rPr>
                <w:rFonts w:ascii="Times New Roman" w:hAnsi="Times New Roman"/>
                <w:sz w:val="16"/>
              </w:rPr>
              <w:t>9</w:t>
            </w:r>
          </w:p>
        </w:tc>
        <w:tc>
          <w:tcPr>
            <w:tcW w:w="2996" w:type="dxa"/>
          </w:tcPr>
          <w:p w14:paraId="50E9CEE7" w14:textId="77777777" w:rsidR="00E17CD8" w:rsidRPr="002A73C5" w:rsidRDefault="00E17CD8" w:rsidP="00D0613B">
            <w:pPr>
              <w:rPr>
                <w:rFonts w:ascii="Times New Roman" w:hAnsi="Times New Roman"/>
                <w:sz w:val="16"/>
              </w:rPr>
            </w:pPr>
          </w:p>
        </w:tc>
      </w:tr>
      <w:tr w:rsidR="00E17CD8" w:rsidRPr="001003EB" w14:paraId="16BA8425" w14:textId="77777777" w:rsidTr="00C13DA2">
        <w:trPr>
          <w:trHeight w:val="34"/>
          <w:jc w:val="right"/>
        </w:trPr>
        <w:tc>
          <w:tcPr>
            <w:tcW w:w="1429" w:type="dxa"/>
            <w:vMerge w:val="restart"/>
          </w:tcPr>
          <w:p w14:paraId="601961DC" w14:textId="77777777" w:rsidR="00E17CD8" w:rsidRPr="002A73C5" w:rsidRDefault="00E17CD8" w:rsidP="00D0613B">
            <w:pPr>
              <w:rPr>
                <w:rFonts w:ascii="Times New Roman" w:hAnsi="Times New Roman"/>
                <w:sz w:val="16"/>
                <w:highlight w:val="yellow"/>
              </w:rPr>
            </w:pPr>
            <w:r w:rsidRPr="002A73C5">
              <w:rPr>
                <w:rFonts w:ascii="Times New Roman" w:hAnsi="Times New Roman"/>
                <w:color w:val="000000"/>
                <w:sz w:val="16"/>
              </w:rPr>
              <w:t>Sharma et al. (2002)</w:t>
            </w:r>
          </w:p>
        </w:tc>
        <w:tc>
          <w:tcPr>
            <w:tcW w:w="580" w:type="dxa"/>
          </w:tcPr>
          <w:p w14:paraId="48CC1B20"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NA</w:t>
            </w:r>
          </w:p>
        </w:tc>
        <w:tc>
          <w:tcPr>
            <w:tcW w:w="581" w:type="dxa"/>
          </w:tcPr>
          <w:p w14:paraId="59396B2C"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2.73</w:t>
            </w:r>
          </w:p>
        </w:tc>
        <w:tc>
          <w:tcPr>
            <w:tcW w:w="581" w:type="dxa"/>
          </w:tcPr>
          <w:p w14:paraId="0AD15AF1"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0.55</w:t>
            </w:r>
            <w:r w:rsidRPr="002A73C5">
              <w:rPr>
                <w:rFonts w:ascii="Times New Roman" w:hAnsi="Times New Roman"/>
                <w:sz w:val="18"/>
                <w:vertAlign w:val="superscript"/>
              </w:rPr>
              <w:sym w:font="Symbol" w:char="F061"/>
            </w:r>
          </w:p>
        </w:tc>
        <w:tc>
          <w:tcPr>
            <w:tcW w:w="580" w:type="dxa"/>
          </w:tcPr>
          <w:p w14:paraId="1C9A8EDE"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7067A0C7"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2.18</w:t>
            </w:r>
          </w:p>
        </w:tc>
        <w:tc>
          <w:tcPr>
            <w:tcW w:w="581" w:type="dxa"/>
          </w:tcPr>
          <w:p w14:paraId="528FF318"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0" w:type="dxa"/>
          </w:tcPr>
          <w:p w14:paraId="776DC2D9"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17.77</w:t>
            </w:r>
          </w:p>
        </w:tc>
        <w:tc>
          <w:tcPr>
            <w:tcW w:w="581" w:type="dxa"/>
          </w:tcPr>
          <w:p w14:paraId="48D8E496"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43C61BBE"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635" w:type="dxa"/>
          </w:tcPr>
          <w:p w14:paraId="22232C48" w14:textId="77777777" w:rsidR="00E17CD8" w:rsidRPr="002A73C5" w:rsidRDefault="00E17CD8" w:rsidP="00D0613B">
            <w:pPr>
              <w:ind w:left="-108" w:right="-87"/>
              <w:jc w:val="center"/>
              <w:rPr>
                <w:rFonts w:ascii="Times New Roman" w:hAnsi="Times New Roman"/>
                <w:sz w:val="16"/>
              </w:rPr>
            </w:pPr>
            <w:r w:rsidRPr="002A73C5">
              <w:rPr>
                <w:rFonts w:ascii="Times New Roman" w:hAnsi="Times New Roman"/>
                <w:sz w:val="16"/>
              </w:rPr>
              <w:t>-</w:t>
            </w:r>
          </w:p>
        </w:tc>
        <w:tc>
          <w:tcPr>
            <w:tcW w:w="450" w:type="dxa"/>
          </w:tcPr>
          <w:p w14:paraId="3A667AFB" w14:textId="77777777" w:rsidR="00E17CD8" w:rsidRPr="002A73C5" w:rsidRDefault="00E17CD8" w:rsidP="00D0613B">
            <w:pPr>
              <w:ind w:left="-108" w:right="-108"/>
              <w:jc w:val="center"/>
              <w:rPr>
                <w:rFonts w:ascii="Times New Roman" w:hAnsi="Times New Roman"/>
                <w:sz w:val="16"/>
              </w:rPr>
            </w:pPr>
            <w:r w:rsidRPr="002A73C5">
              <w:rPr>
                <w:rFonts w:ascii="Times New Roman" w:hAnsi="Times New Roman"/>
                <w:sz w:val="16"/>
              </w:rPr>
              <w:t>-</w:t>
            </w:r>
          </w:p>
        </w:tc>
        <w:tc>
          <w:tcPr>
            <w:tcW w:w="450" w:type="dxa"/>
          </w:tcPr>
          <w:p w14:paraId="0888CB33" w14:textId="77777777" w:rsidR="00E17CD8" w:rsidRPr="002A73C5" w:rsidRDefault="00E17CD8" w:rsidP="00D0613B">
            <w:pPr>
              <w:jc w:val="center"/>
              <w:rPr>
                <w:rFonts w:ascii="Times New Roman" w:hAnsi="Times New Roman"/>
                <w:sz w:val="16"/>
              </w:rPr>
            </w:pPr>
            <w:r w:rsidRPr="002A73C5">
              <w:rPr>
                <w:rFonts w:ascii="Times New Roman" w:hAnsi="Times New Roman"/>
                <w:sz w:val="16"/>
              </w:rPr>
              <w:t>-</w:t>
            </w:r>
          </w:p>
        </w:tc>
        <w:tc>
          <w:tcPr>
            <w:tcW w:w="540" w:type="dxa"/>
            <w:vMerge w:val="restart"/>
          </w:tcPr>
          <w:p w14:paraId="02E8191B" w14:textId="77777777" w:rsidR="00E17CD8" w:rsidRPr="002A73C5" w:rsidRDefault="00E17CD8" w:rsidP="00D0613B">
            <w:pPr>
              <w:ind w:right="-21"/>
              <w:jc w:val="center"/>
              <w:rPr>
                <w:rFonts w:ascii="Times New Roman" w:hAnsi="Times New Roman"/>
                <w:sz w:val="16"/>
              </w:rPr>
            </w:pPr>
            <w:r w:rsidRPr="002A73C5">
              <w:rPr>
                <w:rFonts w:ascii="Times New Roman" w:hAnsi="Times New Roman"/>
                <w:sz w:val="16"/>
              </w:rPr>
              <w:t>1995</w:t>
            </w:r>
          </w:p>
        </w:tc>
        <w:tc>
          <w:tcPr>
            <w:tcW w:w="1170" w:type="dxa"/>
            <w:vMerge w:val="restart"/>
          </w:tcPr>
          <w:p w14:paraId="1D17CF6B" w14:textId="77777777" w:rsidR="00E17CD8" w:rsidRPr="002A73C5" w:rsidRDefault="00E17CD8" w:rsidP="00D0613B">
            <w:pPr>
              <w:jc w:val="both"/>
              <w:rPr>
                <w:rFonts w:ascii="Times New Roman" w:hAnsi="Times New Roman"/>
                <w:sz w:val="16"/>
              </w:rPr>
            </w:pPr>
            <w:r w:rsidRPr="002A73C5">
              <w:rPr>
                <w:rFonts w:ascii="Times New Roman" w:hAnsi="Times New Roman"/>
                <w:sz w:val="16"/>
              </w:rPr>
              <w:t>KMC (not mentioned)</w:t>
            </w:r>
          </w:p>
        </w:tc>
        <w:tc>
          <w:tcPr>
            <w:tcW w:w="1260" w:type="dxa"/>
          </w:tcPr>
          <w:p w14:paraId="357CEE9A" w14:textId="77777777" w:rsidR="00E17CD8" w:rsidRPr="002A73C5" w:rsidRDefault="00E17CD8" w:rsidP="00D0613B">
            <w:pPr>
              <w:jc w:val="center"/>
              <w:rPr>
                <w:rFonts w:ascii="Times New Roman" w:hAnsi="Times New Roman"/>
                <w:sz w:val="16"/>
              </w:rPr>
            </w:pPr>
            <w:r w:rsidRPr="002A73C5">
              <w:rPr>
                <w:rFonts w:ascii="Times New Roman" w:hAnsi="Times New Roman"/>
                <w:color w:val="000000"/>
                <w:sz w:val="16"/>
              </w:rPr>
              <w:t>10.90</w:t>
            </w:r>
          </w:p>
        </w:tc>
        <w:tc>
          <w:tcPr>
            <w:tcW w:w="2996" w:type="dxa"/>
            <w:vMerge w:val="restart"/>
          </w:tcPr>
          <w:p w14:paraId="14DA534E" w14:textId="77777777" w:rsidR="00E17CD8" w:rsidRPr="002A73C5" w:rsidRDefault="00E17CD8" w:rsidP="00D0613B">
            <w:pPr>
              <w:jc w:val="both"/>
              <w:rPr>
                <w:rFonts w:ascii="Times New Roman" w:hAnsi="Times New Roman"/>
                <w:sz w:val="18"/>
              </w:rPr>
            </w:pPr>
            <w:r w:rsidRPr="002A73C5">
              <w:rPr>
                <w:rFonts w:ascii="Times New Roman" w:hAnsi="Times New Roman"/>
                <w:color w:val="000000"/>
                <w:sz w:val="18"/>
              </w:rPr>
              <w:t>The study used the per capita emissions approach. The details of estimation of per capita emissions are not mentioned. “Particulate” may be called (TSP)</w:t>
            </w:r>
            <w:r w:rsidRPr="002A73C5">
              <w:rPr>
                <w:rFonts w:ascii="Times New Roman" w:hAnsi="Times New Roman"/>
                <w:sz w:val="18"/>
                <w:vertAlign w:val="superscript"/>
              </w:rPr>
              <w:t xml:space="preserve"> </w:t>
            </w:r>
            <w:r w:rsidRPr="002A73C5">
              <w:rPr>
                <w:rFonts w:ascii="Times New Roman" w:hAnsi="Times New Roman"/>
                <w:sz w:val="18"/>
                <w:vertAlign w:val="superscript"/>
              </w:rPr>
              <w:sym w:font="Symbol" w:char="F061"/>
            </w:r>
          </w:p>
        </w:tc>
      </w:tr>
      <w:tr w:rsidR="00E17CD8" w:rsidRPr="001003EB" w14:paraId="4DE2ECA6" w14:textId="77777777" w:rsidTr="00C13DA2">
        <w:trPr>
          <w:trHeight w:val="296"/>
          <w:jc w:val="right"/>
        </w:trPr>
        <w:tc>
          <w:tcPr>
            <w:tcW w:w="1429" w:type="dxa"/>
            <w:vMerge/>
          </w:tcPr>
          <w:p w14:paraId="0C6C4ABF" w14:textId="77777777" w:rsidR="00E17CD8" w:rsidRPr="002A73C5" w:rsidRDefault="00E17CD8" w:rsidP="00D0613B">
            <w:pPr>
              <w:rPr>
                <w:rFonts w:ascii="Times New Roman" w:hAnsi="Times New Roman"/>
                <w:sz w:val="16"/>
                <w:highlight w:val="yellow"/>
              </w:rPr>
            </w:pPr>
          </w:p>
        </w:tc>
        <w:tc>
          <w:tcPr>
            <w:tcW w:w="580" w:type="dxa"/>
          </w:tcPr>
          <w:p w14:paraId="317C49EB"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NA</w:t>
            </w:r>
          </w:p>
        </w:tc>
        <w:tc>
          <w:tcPr>
            <w:tcW w:w="581" w:type="dxa"/>
          </w:tcPr>
          <w:p w14:paraId="082C8F9F"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3.20</w:t>
            </w:r>
          </w:p>
        </w:tc>
        <w:tc>
          <w:tcPr>
            <w:tcW w:w="581" w:type="dxa"/>
          </w:tcPr>
          <w:p w14:paraId="308E72AC"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0.59</w:t>
            </w:r>
            <w:r w:rsidRPr="002A73C5">
              <w:rPr>
                <w:rFonts w:ascii="Times New Roman" w:hAnsi="Times New Roman"/>
                <w:sz w:val="18"/>
                <w:vertAlign w:val="superscript"/>
              </w:rPr>
              <w:sym w:font="Symbol" w:char="F061"/>
            </w:r>
          </w:p>
        </w:tc>
        <w:tc>
          <w:tcPr>
            <w:tcW w:w="580" w:type="dxa"/>
          </w:tcPr>
          <w:p w14:paraId="63D1F4E4"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08ACC8D1"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2.49</w:t>
            </w:r>
          </w:p>
        </w:tc>
        <w:tc>
          <w:tcPr>
            <w:tcW w:w="581" w:type="dxa"/>
          </w:tcPr>
          <w:p w14:paraId="67A0A24F" w14:textId="77777777" w:rsidR="00E17CD8" w:rsidRPr="002A73C5" w:rsidRDefault="00E17CD8" w:rsidP="00D0613B">
            <w:pPr>
              <w:ind w:left="-7" w:right="-87"/>
              <w:jc w:val="center"/>
              <w:rPr>
                <w:rFonts w:ascii="Times New Roman" w:hAnsi="Times New Roman"/>
                <w:sz w:val="16"/>
              </w:rPr>
            </w:pPr>
          </w:p>
        </w:tc>
        <w:tc>
          <w:tcPr>
            <w:tcW w:w="580" w:type="dxa"/>
          </w:tcPr>
          <w:p w14:paraId="187FAD3C"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21.70</w:t>
            </w:r>
          </w:p>
        </w:tc>
        <w:tc>
          <w:tcPr>
            <w:tcW w:w="581" w:type="dxa"/>
          </w:tcPr>
          <w:p w14:paraId="752585ED"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3B8FB89A"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635" w:type="dxa"/>
          </w:tcPr>
          <w:p w14:paraId="13A9CE2E" w14:textId="77777777" w:rsidR="00E17CD8" w:rsidRPr="002A73C5" w:rsidRDefault="00E17CD8" w:rsidP="00D0613B">
            <w:pPr>
              <w:ind w:left="-108" w:right="-87"/>
              <w:jc w:val="center"/>
              <w:rPr>
                <w:rFonts w:ascii="Times New Roman" w:hAnsi="Times New Roman"/>
                <w:sz w:val="16"/>
              </w:rPr>
            </w:pPr>
            <w:r w:rsidRPr="002A73C5">
              <w:rPr>
                <w:rFonts w:ascii="Times New Roman" w:hAnsi="Times New Roman"/>
                <w:sz w:val="16"/>
              </w:rPr>
              <w:t>-</w:t>
            </w:r>
          </w:p>
        </w:tc>
        <w:tc>
          <w:tcPr>
            <w:tcW w:w="450" w:type="dxa"/>
          </w:tcPr>
          <w:p w14:paraId="74577334" w14:textId="77777777" w:rsidR="00E17CD8" w:rsidRPr="002A73C5" w:rsidRDefault="00E17CD8" w:rsidP="00D0613B">
            <w:pPr>
              <w:ind w:left="-108" w:right="-108"/>
              <w:jc w:val="center"/>
              <w:rPr>
                <w:rFonts w:ascii="Times New Roman" w:hAnsi="Times New Roman"/>
                <w:sz w:val="16"/>
              </w:rPr>
            </w:pPr>
            <w:r w:rsidRPr="002A73C5">
              <w:rPr>
                <w:rFonts w:ascii="Times New Roman" w:hAnsi="Times New Roman"/>
                <w:sz w:val="16"/>
              </w:rPr>
              <w:t>-</w:t>
            </w:r>
          </w:p>
        </w:tc>
        <w:tc>
          <w:tcPr>
            <w:tcW w:w="450" w:type="dxa"/>
          </w:tcPr>
          <w:p w14:paraId="59EB9071" w14:textId="77777777" w:rsidR="00E17CD8" w:rsidRPr="002A73C5" w:rsidRDefault="00E17CD8" w:rsidP="00D0613B">
            <w:pPr>
              <w:jc w:val="center"/>
              <w:rPr>
                <w:rFonts w:ascii="Times New Roman" w:hAnsi="Times New Roman"/>
                <w:sz w:val="16"/>
              </w:rPr>
            </w:pPr>
            <w:r w:rsidRPr="002A73C5">
              <w:rPr>
                <w:rFonts w:ascii="Times New Roman" w:hAnsi="Times New Roman"/>
                <w:sz w:val="16"/>
              </w:rPr>
              <w:t>-</w:t>
            </w:r>
          </w:p>
        </w:tc>
        <w:tc>
          <w:tcPr>
            <w:tcW w:w="540" w:type="dxa"/>
            <w:vMerge/>
          </w:tcPr>
          <w:p w14:paraId="3D113750" w14:textId="77777777" w:rsidR="00E17CD8" w:rsidRPr="002A73C5" w:rsidRDefault="00E17CD8" w:rsidP="00D0613B">
            <w:pPr>
              <w:ind w:right="-21"/>
              <w:jc w:val="center"/>
              <w:rPr>
                <w:rFonts w:ascii="Times New Roman" w:hAnsi="Times New Roman"/>
                <w:sz w:val="16"/>
              </w:rPr>
            </w:pPr>
          </w:p>
        </w:tc>
        <w:tc>
          <w:tcPr>
            <w:tcW w:w="1170" w:type="dxa"/>
            <w:vMerge/>
          </w:tcPr>
          <w:p w14:paraId="5883BFFE" w14:textId="77777777" w:rsidR="00E17CD8" w:rsidRPr="002A73C5" w:rsidRDefault="00E17CD8" w:rsidP="00D0613B">
            <w:pPr>
              <w:jc w:val="both"/>
              <w:rPr>
                <w:rFonts w:ascii="Times New Roman" w:hAnsi="Times New Roman"/>
                <w:sz w:val="16"/>
              </w:rPr>
            </w:pPr>
          </w:p>
        </w:tc>
        <w:tc>
          <w:tcPr>
            <w:tcW w:w="1260" w:type="dxa"/>
          </w:tcPr>
          <w:p w14:paraId="51695B7F" w14:textId="77777777" w:rsidR="00E17CD8" w:rsidRPr="002A73C5" w:rsidRDefault="00E17CD8" w:rsidP="00D0613B">
            <w:pPr>
              <w:jc w:val="center"/>
              <w:rPr>
                <w:rFonts w:ascii="Times New Roman" w:hAnsi="Times New Roman"/>
                <w:sz w:val="16"/>
              </w:rPr>
            </w:pPr>
            <w:r w:rsidRPr="002A73C5">
              <w:rPr>
                <w:rFonts w:ascii="Times New Roman" w:hAnsi="Times New Roman"/>
                <w:sz w:val="16"/>
              </w:rPr>
              <w:t>11.86</w:t>
            </w:r>
          </w:p>
        </w:tc>
        <w:tc>
          <w:tcPr>
            <w:tcW w:w="2996" w:type="dxa"/>
            <w:vMerge/>
          </w:tcPr>
          <w:p w14:paraId="51E80A60" w14:textId="77777777" w:rsidR="00E17CD8" w:rsidRPr="002A73C5" w:rsidRDefault="00E17CD8" w:rsidP="00D0613B">
            <w:pPr>
              <w:jc w:val="both"/>
              <w:rPr>
                <w:rFonts w:ascii="Times New Roman" w:hAnsi="Times New Roman"/>
                <w:sz w:val="18"/>
              </w:rPr>
            </w:pPr>
          </w:p>
        </w:tc>
      </w:tr>
      <w:tr w:rsidR="00E17CD8" w:rsidRPr="001003EB" w14:paraId="6320BE9E" w14:textId="77777777" w:rsidTr="00C13DA2">
        <w:trPr>
          <w:trHeight w:val="285"/>
          <w:jc w:val="right"/>
        </w:trPr>
        <w:tc>
          <w:tcPr>
            <w:tcW w:w="1429" w:type="dxa"/>
            <w:vMerge w:val="restart"/>
          </w:tcPr>
          <w:p w14:paraId="159D8C1A" w14:textId="77777777" w:rsidR="00E17CD8" w:rsidRPr="002A73C5" w:rsidRDefault="00E17CD8" w:rsidP="00D0613B">
            <w:pPr>
              <w:rPr>
                <w:rFonts w:ascii="Times New Roman" w:hAnsi="Times New Roman"/>
                <w:color w:val="000000"/>
                <w:sz w:val="16"/>
              </w:rPr>
            </w:pPr>
            <w:r w:rsidRPr="002A73C5">
              <w:rPr>
                <w:rFonts w:ascii="Times New Roman" w:hAnsi="Times New Roman"/>
                <w:color w:val="000000"/>
                <w:sz w:val="16"/>
              </w:rPr>
              <w:t>Guttikunda et. al. (2003)</w:t>
            </w:r>
          </w:p>
        </w:tc>
        <w:tc>
          <w:tcPr>
            <w:tcW w:w="580" w:type="dxa"/>
          </w:tcPr>
          <w:p w14:paraId="58147538" w14:textId="77777777" w:rsidR="00E17CD8" w:rsidRPr="002A73C5" w:rsidRDefault="00E17CD8" w:rsidP="00D0613B">
            <w:pPr>
              <w:ind w:left="-97" w:right="-87"/>
              <w:jc w:val="center"/>
              <w:rPr>
                <w:rFonts w:ascii="Times New Roman" w:hAnsi="Times New Roman"/>
                <w:sz w:val="16"/>
              </w:rPr>
            </w:pPr>
            <w:r w:rsidRPr="002A73C5">
              <w:rPr>
                <w:rFonts w:ascii="Times New Roman" w:hAnsi="Times New Roman"/>
                <w:color w:val="000000"/>
                <w:sz w:val="16"/>
              </w:rPr>
              <w:t>64.6</w:t>
            </w:r>
            <w:r w:rsidRPr="002A73C5">
              <w:rPr>
                <w:rFonts w:ascii="Times New Roman" w:hAnsi="Times New Roman"/>
                <w:color w:val="000000"/>
                <w:sz w:val="16"/>
                <w:vertAlign w:val="superscript"/>
              </w:rPr>
              <w:sym w:font="Symbol" w:char="F067"/>
            </w:r>
            <w:r w:rsidRPr="002A73C5">
              <w:rPr>
                <w:rFonts w:ascii="Times New Roman" w:hAnsi="Times New Roman"/>
                <w:color w:val="000000"/>
                <w:sz w:val="16"/>
              </w:rPr>
              <w:t xml:space="preserve"> </w:t>
            </w:r>
          </w:p>
        </w:tc>
        <w:tc>
          <w:tcPr>
            <w:tcW w:w="581" w:type="dxa"/>
          </w:tcPr>
          <w:p w14:paraId="23E1D2E4"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29643DBC"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0" w:type="dxa"/>
          </w:tcPr>
          <w:p w14:paraId="05A12506"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121614D9"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742A8F1D"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0" w:type="dxa"/>
          </w:tcPr>
          <w:p w14:paraId="1FC133EA"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51F14C88"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3111E3E9"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635" w:type="dxa"/>
          </w:tcPr>
          <w:p w14:paraId="166127B5"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450" w:type="dxa"/>
          </w:tcPr>
          <w:p w14:paraId="283CF7DD" w14:textId="77777777" w:rsidR="00E17CD8" w:rsidRPr="002A73C5" w:rsidRDefault="00E17CD8" w:rsidP="00D0613B">
            <w:pPr>
              <w:jc w:val="center"/>
              <w:rPr>
                <w:rFonts w:ascii="Times New Roman" w:hAnsi="Times New Roman"/>
                <w:sz w:val="16"/>
              </w:rPr>
            </w:pPr>
            <w:r w:rsidRPr="002A73C5">
              <w:rPr>
                <w:rFonts w:ascii="Times New Roman" w:hAnsi="Times New Roman"/>
                <w:sz w:val="16"/>
              </w:rPr>
              <w:t>-</w:t>
            </w:r>
          </w:p>
        </w:tc>
        <w:tc>
          <w:tcPr>
            <w:tcW w:w="450" w:type="dxa"/>
          </w:tcPr>
          <w:p w14:paraId="45FD9A19" w14:textId="77777777" w:rsidR="00E17CD8" w:rsidRPr="002A73C5" w:rsidRDefault="00E17CD8" w:rsidP="00D0613B">
            <w:pPr>
              <w:jc w:val="center"/>
              <w:rPr>
                <w:rFonts w:ascii="Times New Roman" w:hAnsi="Times New Roman"/>
                <w:sz w:val="16"/>
              </w:rPr>
            </w:pPr>
            <w:r w:rsidRPr="002A73C5">
              <w:rPr>
                <w:rFonts w:ascii="Times New Roman" w:hAnsi="Times New Roman"/>
                <w:sz w:val="16"/>
              </w:rPr>
              <w:t>-</w:t>
            </w:r>
          </w:p>
        </w:tc>
        <w:tc>
          <w:tcPr>
            <w:tcW w:w="540" w:type="dxa"/>
          </w:tcPr>
          <w:p w14:paraId="2D0D8F7E" w14:textId="77777777" w:rsidR="00E17CD8" w:rsidRPr="002A73C5" w:rsidRDefault="00E17CD8" w:rsidP="00D0613B">
            <w:pPr>
              <w:ind w:right="-21"/>
              <w:jc w:val="center"/>
              <w:rPr>
                <w:rFonts w:ascii="Times New Roman" w:hAnsi="Times New Roman"/>
                <w:sz w:val="16"/>
              </w:rPr>
            </w:pPr>
            <w:r w:rsidRPr="002A73C5">
              <w:rPr>
                <w:rFonts w:ascii="Times New Roman" w:hAnsi="Times New Roman"/>
                <w:sz w:val="16"/>
              </w:rPr>
              <w:t>2000</w:t>
            </w:r>
          </w:p>
        </w:tc>
        <w:tc>
          <w:tcPr>
            <w:tcW w:w="1170" w:type="dxa"/>
            <w:vMerge w:val="restart"/>
          </w:tcPr>
          <w:p w14:paraId="7C46A984" w14:textId="77777777" w:rsidR="00E17CD8" w:rsidRPr="002A73C5" w:rsidRDefault="00E17CD8" w:rsidP="00D0613B">
            <w:pPr>
              <w:jc w:val="both"/>
              <w:rPr>
                <w:rFonts w:ascii="Times New Roman" w:hAnsi="Times New Roman"/>
                <w:sz w:val="16"/>
              </w:rPr>
            </w:pPr>
            <w:r w:rsidRPr="002A73C5">
              <w:rPr>
                <w:rFonts w:ascii="Times New Roman" w:hAnsi="Times New Roman"/>
                <w:color w:val="000000"/>
                <w:sz w:val="16"/>
              </w:rPr>
              <w:t>1°x1° grid cell covering the city limits</w:t>
            </w:r>
            <w:r w:rsidRPr="002A73C5">
              <w:rPr>
                <w:rFonts w:ascii="Times New Roman" w:hAnsi="Times New Roman"/>
                <w:color w:val="000000"/>
                <w:sz w:val="16"/>
                <w:vertAlign w:val="superscript"/>
              </w:rPr>
              <w:sym w:font="Symbol" w:char="F067"/>
            </w:r>
          </w:p>
        </w:tc>
        <w:tc>
          <w:tcPr>
            <w:tcW w:w="1260" w:type="dxa"/>
            <w:vMerge w:val="restart"/>
          </w:tcPr>
          <w:p w14:paraId="3DE21780" w14:textId="77777777" w:rsidR="00E17CD8" w:rsidRPr="002A73C5" w:rsidRDefault="00E17CD8" w:rsidP="00D0613B">
            <w:pPr>
              <w:jc w:val="center"/>
              <w:rPr>
                <w:rFonts w:ascii="Times New Roman" w:hAnsi="Times New Roman"/>
                <w:sz w:val="16"/>
              </w:rPr>
            </w:pPr>
            <w:r w:rsidRPr="002A73C5">
              <w:rPr>
                <w:rFonts w:ascii="Times New Roman" w:hAnsi="Times New Roman"/>
                <w:sz w:val="16"/>
              </w:rPr>
              <w:t>32</w:t>
            </w:r>
            <w:r w:rsidRPr="002A73C5">
              <w:rPr>
                <w:rFonts w:ascii="Times New Roman" w:hAnsi="Times New Roman"/>
                <w:color w:val="000000"/>
                <w:sz w:val="16"/>
                <w:vertAlign w:val="superscript"/>
              </w:rPr>
              <w:sym w:font="Symbol" w:char="F067"/>
            </w:r>
          </w:p>
        </w:tc>
        <w:tc>
          <w:tcPr>
            <w:tcW w:w="2996" w:type="dxa"/>
            <w:vMerge w:val="restart"/>
          </w:tcPr>
          <w:p w14:paraId="25AC6EBB" w14:textId="77777777" w:rsidR="00E17CD8" w:rsidRPr="002A73C5" w:rsidRDefault="00E17CD8" w:rsidP="00D0613B">
            <w:pPr>
              <w:jc w:val="both"/>
              <w:rPr>
                <w:rFonts w:ascii="Times New Roman" w:hAnsi="Times New Roman"/>
                <w:sz w:val="18"/>
              </w:rPr>
            </w:pPr>
            <w:r w:rsidRPr="002A73C5">
              <w:rPr>
                <w:rFonts w:ascii="Times New Roman" w:hAnsi="Times New Roman"/>
                <w:color w:val="000000"/>
                <w:sz w:val="18"/>
              </w:rPr>
              <w:t>Modeled using RAINS-Asia model</w:t>
            </w:r>
            <w:r w:rsidRPr="002A73C5">
              <w:rPr>
                <w:rFonts w:ascii="Times New Roman" w:hAnsi="Times New Roman"/>
                <w:sz w:val="18"/>
              </w:rPr>
              <w:t xml:space="preserve"> </w:t>
            </w:r>
          </w:p>
        </w:tc>
      </w:tr>
      <w:tr w:rsidR="00E17CD8" w:rsidRPr="001003EB" w14:paraId="2522819D" w14:textId="77777777" w:rsidTr="00C13DA2">
        <w:trPr>
          <w:trHeight w:val="285"/>
          <w:jc w:val="right"/>
        </w:trPr>
        <w:tc>
          <w:tcPr>
            <w:tcW w:w="1429" w:type="dxa"/>
            <w:vMerge/>
          </w:tcPr>
          <w:p w14:paraId="7A3DA68F" w14:textId="77777777" w:rsidR="00E17CD8" w:rsidRPr="002A73C5" w:rsidRDefault="00E17CD8" w:rsidP="00D0613B">
            <w:pPr>
              <w:rPr>
                <w:rFonts w:ascii="Times New Roman" w:hAnsi="Times New Roman"/>
                <w:color w:val="000000"/>
                <w:sz w:val="16"/>
              </w:rPr>
            </w:pPr>
          </w:p>
        </w:tc>
        <w:tc>
          <w:tcPr>
            <w:tcW w:w="580" w:type="dxa"/>
          </w:tcPr>
          <w:p w14:paraId="2A2BC31F" w14:textId="77777777" w:rsidR="00E17CD8" w:rsidRPr="002A73C5" w:rsidRDefault="00E17CD8" w:rsidP="00D0613B">
            <w:pPr>
              <w:ind w:left="-97" w:right="-87"/>
              <w:jc w:val="center"/>
              <w:rPr>
                <w:rFonts w:ascii="Times New Roman" w:hAnsi="Times New Roman"/>
                <w:color w:val="000000"/>
                <w:sz w:val="16"/>
              </w:rPr>
            </w:pPr>
            <w:r w:rsidRPr="002A73C5">
              <w:rPr>
                <w:rFonts w:ascii="Times New Roman" w:hAnsi="Times New Roman"/>
                <w:color w:val="000000"/>
                <w:sz w:val="16"/>
              </w:rPr>
              <w:t>200.7</w:t>
            </w:r>
            <w:r w:rsidRPr="002A73C5">
              <w:rPr>
                <w:rFonts w:ascii="Times New Roman" w:hAnsi="Times New Roman"/>
                <w:color w:val="000000"/>
                <w:sz w:val="16"/>
                <w:vertAlign w:val="superscript"/>
              </w:rPr>
              <w:sym w:font="Symbol" w:char="F067"/>
            </w:r>
          </w:p>
        </w:tc>
        <w:tc>
          <w:tcPr>
            <w:tcW w:w="581" w:type="dxa"/>
          </w:tcPr>
          <w:p w14:paraId="6BE949CF"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6FC18A53"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0" w:type="dxa"/>
          </w:tcPr>
          <w:p w14:paraId="6EE4835E"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4F9098AB"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793DCB22"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0" w:type="dxa"/>
          </w:tcPr>
          <w:p w14:paraId="52A6D096"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649CE06F"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715AE946"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635" w:type="dxa"/>
          </w:tcPr>
          <w:p w14:paraId="47B4124C"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450" w:type="dxa"/>
          </w:tcPr>
          <w:p w14:paraId="622ECECA" w14:textId="77777777" w:rsidR="00E17CD8" w:rsidRPr="002A73C5" w:rsidRDefault="00E17CD8" w:rsidP="00D0613B">
            <w:pPr>
              <w:jc w:val="center"/>
              <w:rPr>
                <w:rFonts w:ascii="Times New Roman" w:hAnsi="Times New Roman"/>
                <w:sz w:val="16"/>
              </w:rPr>
            </w:pPr>
            <w:r w:rsidRPr="002A73C5">
              <w:rPr>
                <w:rFonts w:ascii="Times New Roman" w:hAnsi="Times New Roman"/>
                <w:sz w:val="16"/>
              </w:rPr>
              <w:t>-</w:t>
            </w:r>
          </w:p>
        </w:tc>
        <w:tc>
          <w:tcPr>
            <w:tcW w:w="450" w:type="dxa"/>
          </w:tcPr>
          <w:p w14:paraId="38C00BC7" w14:textId="77777777" w:rsidR="00E17CD8" w:rsidRPr="002A73C5" w:rsidRDefault="00E17CD8" w:rsidP="00D0613B">
            <w:pPr>
              <w:jc w:val="center"/>
              <w:rPr>
                <w:rFonts w:ascii="Times New Roman" w:hAnsi="Times New Roman"/>
                <w:sz w:val="16"/>
              </w:rPr>
            </w:pPr>
            <w:r w:rsidRPr="002A73C5">
              <w:rPr>
                <w:rFonts w:ascii="Times New Roman" w:hAnsi="Times New Roman"/>
                <w:sz w:val="16"/>
              </w:rPr>
              <w:t>-</w:t>
            </w:r>
          </w:p>
        </w:tc>
        <w:tc>
          <w:tcPr>
            <w:tcW w:w="540" w:type="dxa"/>
          </w:tcPr>
          <w:p w14:paraId="3A909674" w14:textId="77777777" w:rsidR="00E17CD8" w:rsidRPr="002A73C5" w:rsidRDefault="00E17CD8" w:rsidP="00D0613B">
            <w:pPr>
              <w:ind w:right="-21"/>
              <w:jc w:val="center"/>
              <w:rPr>
                <w:rFonts w:ascii="Times New Roman" w:hAnsi="Times New Roman"/>
                <w:sz w:val="16"/>
              </w:rPr>
            </w:pPr>
            <w:r w:rsidRPr="002A73C5">
              <w:rPr>
                <w:rFonts w:ascii="Times New Roman" w:hAnsi="Times New Roman"/>
                <w:sz w:val="16"/>
              </w:rPr>
              <w:t>2010</w:t>
            </w:r>
          </w:p>
        </w:tc>
        <w:tc>
          <w:tcPr>
            <w:tcW w:w="1170" w:type="dxa"/>
            <w:vMerge/>
          </w:tcPr>
          <w:p w14:paraId="57E8ACB7" w14:textId="77777777" w:rsidR="00E17CD8" w:rsidRPr="002A73C5" w:rsidRDefault="00E17CD8" w:rsidP="00D0613B">
            <w:pPr>
              <w:jc w:val="both"/>
              <w:rPr>
                <w:rFonts w:ascii="Times New Roman" w:hAnsi="Times New Roman"/>
                <w:color w:val="000000"/>
                <w:sz w:val="16"/>
              </w:rPr>
            </w:pPr>
          </w:p>
        </w:tc>
        <w:tc>
          <w:tcPr>
            <w:tcW w:w="1260" w:type="dxa"/>
            <w:vMerge/>
          </w:tcPr>
          <w:p w14:paraId="1436DAC0" w14:textId="77777777" w:rsidR="00E17CD8" w:rsidRPr="002A73C5" w:rsidRDefault="00E17CD8" w:rsidP="00D0613B">
            <w:pPr>
              <w:jc w:val="center"/>
              <w:rPr>
                <w:rFonts w:ascii="Times New Roman" w:hAnsi="Times New Roman"/>
                <w:sz w:val="16"/>
              </w:rPr>
            </w:pPr>
          </w:p>
        </w:tc>
        <w:tc>
          <w:tcPr>
            <w:tcW w:w="2996" w:type="dxa"/>
            <w:vMerge/>
          </w:tcPr>
          <w:p w14:paraId="1772AB4E" w14:textId="77777777" w:rsidR="00E17CD8" w:rsidRPr="002A73C5" w:rsidDel="00886337" w:rsidRDefault="00E17CD8" w:rsidP="00D0613B">
            <w:pPr>
              <w:jc w:val="both"/>
              <w:rPr>
                <w:rFonts w:ascii="Times New Roman" w:hAnsi="Times New Roman"/>
                <w:color w:val="000000"/>
                <w:sz w:val="18"/>
              </w:rPr>
            </w:pPr>
          </w:p>
        </w:tc>
      </w:tr>
      <w:tr w:rsidR="00E17CD8" w:rsidRPr="001003EB" w14:paraId="1042C399" w14:textId="77777777" w:rsidTr="00C13DA2">
        <w:trPr>
          <w:trHeight w:val="34"/>
          <w:jc w:val="right"/>
        </w:trPr>
        <w:tc>
          <w:tcPr>
            <w:tcW w:w="1429" w:type="dxa"/>
          </w:tcPr>
          <w:p w14:paraId="37D3394E" w14:textId="77777777" w:rsidR="00E17CD8" w:rsidRPr="002A73C5" w:rsidRDefault="00E17CD8" w:rsidP="00D0613B">
            <w:pPr>
              <w:rPr>
                <w:rFonts w:ascii="Times New Roman" w:hAnsi="Times New Roman"/>
                <w:color w:val="000000"/>
                <w:sz w:val="16"/>
              </w:rPr>
            </w:pPr>
            <w:r w:rsidRPr="002A73C5">
              <w:rPr>
                <w:rFonts w:ascii="Times New Roman" w:hAnsi="Times New Roman"/>
                <w:color w:val="000000"/>
                <w:sz w:val="16"/>
              </w:rPr>
              <w:t>ADB (2005)</w:t>
            </w:r>
          </w:p>
          <w:p w14:paraId="3D4A33F0" w14:textId="77777777" w:rsidR="00E17CD8" w:rsidRPr="002A73C5" w:rsidRDefault="00E17CD8" w:rsidP="00D0613B">
            <w:pPr>
              <w:rPr>
                <w:rFonts w:ascii="Times New Roman" w:hAnsi="Times New Roman"/>
                <w:color w:val="000000"/>
                <w:sz w:val="16"/>
              </w:rPr>
            </w:pPr>
          </w:p>
        </w:tc>
        <w:tc>
          <w:tcPr>
            <w:tcW w:w="580" w:type="dxa"/>
          </w:tcPr>
          <w:p w14:paraId="62B7466B" w14:textId="77777777" w:rsidR="00E17CD8" w:rsidRPr="002A73C5" w:rsidRDefault="00E17CD8" w:rsidP="00D0613B">
            <w:pPr>
              <w:ind w:left="-97" w:right="-87"/>
              <w:jc w:val="center"/>
              <w:rPr>
                <w:rFonts w:ascii="Times New Roman" w:hAnsi="Times New Roman"/>
                <w:sz w:val="16"/>
              </w:rPr>
            </w:pPr>
            <w:r w:rsidRPr="002A73C5">
              <w:rPr>
                <w:rFonts w:ascii="Times New Roman" w:hAnsi="Times New Roman"/>
                <w:color w:val="000000"/>
                <w:sz w:val="16"/>
              </w:rPr>
              <w:t>12.38</w:t>
            </w:r>
          </w:p>
        </w:tc>
        <w:tc>
          <w:tcPr>
            <w:tcW w:w="581" w:type="dxa"/>
          </w:tcPr>
          <w:p w14:paraId="2C15549C"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129.7</w:t>
            </w:r>
          </w:p>
        </w:tc>
        <w:tc>
          <w:tcPr>
            <w:tcW w:w="581" w:type="dxa"/>
          </w:tcPr>
          <w:p w14:paraId="495BA110"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75.14</w:t>
            </w:r>
          </w:p>
        </w:tc>
        <w:tc>
          <w:tcPr>
            <w:tcW w:w="580" w:type="dxa"/>
          </w:tcPr>
          <w:p w14:paraId="5B3ECC16"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132849B4"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0BA02C7A"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0" w:type="dxa"/>
          </w:tcPr>
          <w:p w14:paraId="1AD6ECA2"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4240D20D"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4BC71656"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635" w:type="dxa"/>
          </w:tcPr>
          <w:p w14:paraId="2FB0C460"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450" w:type="dxa"/>
          </w:tcPr>
          <w:p w14:paraId="2B6A5644" w14:textId="77777777" w:rsidR="00E17CD8" w:rsidRPr="002A73C5" w:rsidRDefault="00E17CD8" w:rsidP="00D0613B">
            <w:pPr>
              <w:jc w:val="center"/>
              <w:rPr>
                <w:rFonts w:ascii="Times New Roman" w:hAnsi="Times New Roman"/>
                <w:sz w:val="16"/>
              </w:rPr>
            </w:pPr>
            <w:r w:rsidRPr="002A73C5">
              <w:rPr>
                <w:rFonts w:ascii="Times New Roman" w:hAnsi="Times New Roman"/>
                <w:sz w:val="16"/>
              </w:rPr>
              <w:t>-</w:t>
            </w:r>
          </w:p>
        </w:tc>
        <w:tc>
          <w:tcPr>
            <w:tcW w:w="450" w:type="dxa"/>
          </w:tcPr>
          <w:p w14:paraId="297C3BCE" w14:textId="77777777" w:rsidR="00E17CD8" w:rsidRPr="002A73C5" w:rsidRDefault="00E17CD8" w:rsidP="00D0613B">
            <w:pPr>
              <w:jc w:val="center"/>
              <w:rPr>
                <w:rFonts w:ascii="Times New Roman" w:hAnsi="Times New Roman"/>
                <w:sz w:val="16"/>
              </w:rPr>
            </w:pPr>
            <w:r w:rsidRPr="002A73C5">
              <w:rPr>
                <w:rFonts w:ascii="Times New Roman" w:hAnsi="Times New Roman"/>
                <w:sz w:val="16"/>
              </w:rPr>
              <w:t>-</w:t>
            </w:r>
          </w:p>
        </w:tc>
        <w:tc>
          <w:tcPr>
            <w:tcW w:w="540" w:type="dxa"/>
          </w:tcPr>
          <w:p w14:paraId="1E0F2428" w14:textId="77777777" w:rsidR="00E17CD8" w:rsidRPr="002A73C5" w:rsidRDefault="00E17CD8" w:rsidP="00D0613B">
            <w:pPr>
              <w:ind w:right="-21"/>
              <w:jc w:val="center"/>
              <w:rPr>
                <w:rFonts w:ascii="Times New Roman" w:hAnsi="Times New Roman"/>
                <w:sz w:val="16"/>
              </w:rPr>
            </w:pPr>
            <w:r w:rsidRPr="002A73C5">
              <w:rPr>
                <w:rFonts w:ascii="Times New Roman" w:hAnsi="Times New Roman"/>
                <w:sz w:val="16"/>
              </w:rPr>
              <w:t>2003</w:t>
            </w:r>
          </w:p>
        </w:tc>
        <w:tc>
          <w:tcPr>
            <w:tcW w:w="1170" w:type="dxa"/>
          </w:tcPr>
          <w:p w14:paraId="45EACF99" w14:textId="77777777" w:rsidR="00E17CD8" w:rsidRPr="002A73C5" w:rsidRDefault="00E17CD8" w:rsidP="00D0613B">
            <w:pPr>
              <w:jc w:val="both"/>
              <w:rPr>
                <w:rFonts w:ascii="Times New Roman" w:hAnsi="Times New Roman"/>
                <w:sz w:val="16"/>
              </w:rPr>
            </w:pPr>
            <w:r w:rsidRPr="002A73C5">
              <w:rPr>
                <w:rFonts w:ascii="Times New Roman" w:hAnsi="Times New Roman"/>
                <w:color w:val="000000"/>
                <w:sz w:val="16"/>
              </w:rPr>
              <w:t>KMC (1246)</w:t>
            </w:r>
          </w:p>
        </w:tc>
        <w:tc>
          <w:tcPr>
            <w:tcW w:w="1260" w:type="dxa"/>
          </w:tcPr>
          <w:p w14:paraId="5C2AFBD8" w14:textId="77777777" w:rsidR="00E17CD8" w:rsidRPr="002A73C5" w:rsidRDefault="00E17CD8" w:rsidP="00D0613B">
            <w:pPr>
              <w:jc w:val="center"/>
              <w:rPr>
                <w:rFonts w:ascii="Times New Roman" w:hAnsi="Times New Roman"/>
                <w:sz w:val="16"/>
              </w:rPr>
            </w:pPr>
            <w:r w:rsidRPr="002A73C5">
              <w:rPr>
                <w:rFonts w:ascii="Times New Roman" w:hAnsi="Times New Roman"/>
                <w:sz w:val="16"/>
              </w:rPr>
              <w:t>13.7</w:t>
            </w:r>
          </w:p>
        </w:tc>
        <w:tc>
          <w:tcPr>
            <w:tcW w:w="2996" w:type="dxa"/>
          </w:tcPr>
          <w:p w14:paraId="780C7072" w14:textId="77777777" w:rsidR="00E17CD8" w:rsidRPr="002A73C5" w:rsidRDefault="00E17CD8" w:rsidP="00D0613B">
            <w:pPr>
              <w:jc w:val="both"/>
              <w:rPr>
                <w:rFonts w:ascii="Times New Roman" w:hAnsi="Times New Roman"/>
                <w:sz w:val="18"/>
              </w:rPr>
            </w:pPr>
            <w:r w:rsidRPr="002A73C5">
              <w:rPr>
                <w:rFonts w:ascii="Times New Roman" w:hAnsi="Times New Roman"/>
                <w:color w:val="000000"/>
                <w:sz w:val="18"/>
              </w:rPr>
              <w:t>This study considered motor vehicle, industry, road dust, area sources for PM</w:t>
            </w:r>
            <w:r w:rsidRPr="002A73C5">
              <w:rPr>
                <w:rFonts w:ascii="Times New Roman" w:hAnsi="Times New Roman"/>
                <w:color w:val="000000"/>
                <w:sz w:val="18"/>
                <w:vertAlign w:val="subscript"/>
              </w:rPr>
              <w:t>10</w:t>
            </w:r>
            <w:r w:rsidRPr="002A73C5">
              <w:rPr>
                <w:rFonts w:ascii="Times New Roman" w:hAnsi="Times New Roman"/>
                <w:color w:val="000000"/>
                <w:sz w:val="18"/>
              </w:rPr>
              <w:t xml:space="preserve"> and PM</w:t>
            </w:r>
            <w:r w:rsidRPr="002A73C5">
              <w:rPr>
                <w:rFonts w:ascii="Times New Roman" w:hAnsi="Times New Roman"/>
                <w:color w:val="000000"/>
                <w:sz w:val="18"/>
                <w:vertAlign w:val="subscript"/>
              </w:rPr>
              <w:t>2.5</w:t>
            </w:r>
            <w:r w:rsidRPr="002A73C5">
              <w:rPr>
                <w:rFonts w:ascii="Times New Roman" w:hAnsi="Times New Roman"/>
                <w:color w:val="000000"/>
                <w:sz w:val="18"/>
              </w:rPr>
              <w:t>. For NOx,  power plant, industry, and mobile sources are considered, whereas for SO</w:t>
            </w:r>
            <w:r w:rsidRPr="002A73C5">
              <w:rPr>
                <w:rFonts w:ascii="Times New Roman" w:hAnsi="Times New Roman"/>
                <w:color w:val="000000"/>
                <w:sz w:val="18"/>
                <w:vertAlign w:val="subscript"/>
              </w:rPr>
              <w:t>2</w:t>
            </w:r>
            <w:r w:rsidRPr="002A73C5">
              <w:rPr>
                <w:rFonts w:ascii="Times New Roman" w:hAnsi="Times New Roman"/>
                <w:color w:val="000000"/>
                <w:sz w:val="18"/>
              </w:rPr>
              <w:t xml:space="preserve"> only power plants are considered.</w:t>
            </w:r>
          </w:p>
        </w:tc>
      </w:tr>
      <w:tr w:rsidR="00E17CD8" w:rsidRPr="001003EB" w14:paraId="2C20A4FE" w14:textId="77777777" w:rsidTr="00C13DA2">
        <w:trPr>
          <w:trHeight w:val="34"/>
          <w:jc w:val="right"/>
        </w:trPr>
        <w:tc>
          <w:tcPr>
            <w:tcW w:w="1429" w:type="dxa"/>
          </w:tcPr>
          <w:p w14:paraId="6C56738F" w14:textId="77777777" w:rsidR="00E17CD8" w:rsidRPr="002A73C5" w:rsidRDefault="00E17CD8" w:rsidP="00D0613B">
            <w:pPr>
              <w:rPr>
                <w:rFonts w:ascii="Times New Roman" w:hAnsi="Times New Roman"/>
                <w:color w:val="000000"/>
                <w:sz w:val="16"/>
              </w:rPr>
            </w:pPr>
            <w:r w:rsidRPr="002A73C5">
              <w:rPr>
                <w:rFonts w:ascii="Times New Roman" w:hAnsi="Times New Roman"/>
                <w:color w:val="000000"/>
                <w:sz w:val="16"/>
              </w:rPr>
              <w:t>Gurjar et al. (2010)</w:t>
            </w:r>
          </w:p>
        </w:tc>
        <w:tc>
          <w:tcPr>
            <w:tcW w:w="580" w:type="dxa"/>
          </w:tcPr>
          <w:p w14:paraId="4B9C30E1"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21</w:t>
            </w:r>
          </w:p>
        </w:tc>
        <w:tc>
          <w:tcPr>
            <w:tcW w:w="581" w:type="dxa"/>
          </w:tcPr>
          <w:p w14:paraId="420C125D"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81</w:t>
            </w:r>
          </w:p>
        </w:tc>
        <w:tc>
          <w:tcPr>
            <w:tcW w:w="581" w:type="dxa"/>
          </w:tcPr>
          <w:p w14:paraId="64293F77"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9</w:t>
            </w:r>
            <w:r w:rsidRPr="002A73C5">
              <w:rPr>
                <w:rFonts w:ascii="Times New Roman" w:hAnsi="Times New Roman"/>
                <w:sz w:val="18"/>
                <w:vertAlign w:val="superscript"/>
              </w:rPr>
              <w:sym w:font="Symbol" w:char="F061"/>
            </w:r>
          </w:p>
        </w:tc>
        <w:tc>
          <w:tcPr>
            <w:tcW w:w="580" w:type="dxa"/>
          </w:tcPr>
          <w:p w14:paraId="1D74B597"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216710EA"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0A00972F"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0" w:type="dxa"/>
          </w:tcPr>
          <w:p w14:paraId="53B4A610"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111</w:t>
            </w:r>
          </w:p>
        </w:tc>
        <w:tc>
          <w:tcPr>
            <w:tcW w:w="581" w:type="dxa"/>
          </w:tcPr>
          <w:p w14:paraId="5453924C"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74</w:t>
            </w:r>
            <w:r w:rsidRPr="002A73C5">
              <w:rPr>
                <w:rFonts w:ascii="Times New Roman" w:hAnsi="Times New Roman"/>
                <w:sz w:val="16"/>
                <w:vertAlign w:val="superscript"/>
              </w:rPr>
              <w:sym w:font="Symbol" w:char="F062"/>
            </w:r>
          </w:p>
        </w:tc>
        <w:tc>
          <w:tcPr>
            <w:tcW w:w="581" w:type="dxa"/>
          </w:tcPr>
          <w:p w14:paraId="25204953"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635" w:type="dxa"/>
          </w:tcPr>
          <w:p w14:paraId="62A9B537"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4.51</w:t>
            </w:r>
          </w:p>
        </w:tc>
        <w:tc>
          <w:tcPr>
            <w:tcW w:w="450" w:type="dxa"/>
          </w:tcPr>
          <w:p w14:paraId="2399E46F" w14:textId="77777777" w:rsidR="00E17CD8" w:rsidRPr="002A73C5" w:rsidRDefault="00E17CD8" w:rsidP="00D0613B">
            <w:pPr>
              <w:jc w:val="center"/>
              <w:rPr>
                <w:rFonts w:ascii="Times New Roman" w:hAnsi="Times New Roman"/>
                <w:sz w:val="16"/>
              </w:rPr>
            </w:pPr>
            <w:r w:rsidRPr="002A73C5">
              <w:rPr>
                <w:rFonts w:ascii="Times New Roman" w:hAnsi="Times New Roman"/>
                <w:sz w:val="16"/>
              </w:rPr>
              <w:t>-</w:t>
            </w:r>
          </w:p>
        </w:tc>
        <w:tc>
          <w:tcPr>
            <w:tcW w:w="450" w:type="dxa"/>
          </w:tcPr>
          <w:p w14:paraId="61DD4DEA" w14:textId="77777777" w:rsidR="00E17CD8" w:rsidRPr="002A73C5" w:rsidRDefault="00E17CD8" w:rsidP="00D0613B">
            <w:pPr>
              <w:jc w:val="center"/>
              <w:rPr>
                <w:rFonts w:ascii="Times New Roman" w:hAnsi="Times New Roman"/>
                <w:sz w:val="16"/>
              </w:rPr>
            </w:pPr>
            <w:r w:rsidRPr="002A73C5">
              <w:rPr>
                <w:rFonts w:ascii="Times New Roman" w:hAnsi="Times New Roman"/>
                <w:sz w:val="16"/>
              </w:rPr>
              <w:t>-</w:t>
            </w:r>
          </w:p>
        </w:tc>
        <w:tc>
          <w:tcPr>
            <w:tcW w:w="540" w:type="dxa"/>
          </w:tcPr>
          <w:p w14:paraId="0202F0D0" w14:textId="77777777" w:rsidR="00E17CD8" w:rsidRPr="002A73C5" w:rsidRDefault="00E17CD8" w:rsidP="00D0613B">
            <w:pPr>
              <w:ind w:right="-21"/>
              <w:jc w:val="center"/>
              <w:rPr>
                <w:rFonts w:ascii="Times New Roman" w:hAnsi="Times New Roman"/>
                <w:sz w:val="16"/>
              </w:rPr>
            </w:pPr>
            <w:r w:rsidRPr="002A73C5">
              <w:rPr>
                <w:rFonts w:ascii="Times New Roman" w:hAnsi="Times New Roman"/>
                <w:sz w:val="16"/>
              </w:rPr>
              <w:t>2010</w:t>
            </w:r>
          </w:p>
        </w:tc>
        <w:tc>
          <w:tcPr>
            <w:tcW w:w="1170" w:type="dxa"/>
          </w:tcPr>
          <w:p w14:paraId="45DD1721" w14:textId="77777777" w:rsidR="00E17CD8" w:rsidRPr="002A73C5" w:rsidRDefault="00E17CD8" w:rsidP="00D0613B">
            <w:pPr>
              <w:jc w:val="both"/>
              <w:rPr>
                <w:rFonts w:ascii="Times New Roman" w:hAnsi="Times New Roman"/>
                <w:sz w:val="16"/>
              </w:rPr>
            </w:pPr>
            <w:r w:rsidRPr="002A73C5">
              <w:rPr>
                <w:rFonts w:ascii="Times New Roman" w:hAnsi="Times New Roman"/>
                <w:sz w:val="16"/>
              </w:rPr>
              <w:t>Kolkata megacity (not mentioned)</w:t>
            </w:r>
          </w:p>
        </w:tc>
        <w:tc>
          <w:tcPr>
            <w:tcW w:w="1260" w:type="dxa"/>
          </w:tcPr>
          <w:p w14:paraId="4DCD3657" w14:textId="77777777" w:rsidR="00E17CD8" w:rsidRPr="002A73C5" w:rsidRDefault="00E17CD8" w:rsidP="00D0613B">
            <w:pPr>
              <w:jc w:val="center"/>
              <w:rPr>
                <w:rFonts w:ascii="Times New Roman" w:hAnsi="Times New Roman"/>
                <w:sz w:val="16"/>
              </w:rPr>
            </w:pPr>
            <w:r w:rsidRPr="002A73C5">
              <w:rPr>
                <w:rFonts w:ascii="Times New Roman" w:hAnsi="Times New Roman"/>
                <w:color w:val="000000"/>
                <w:sz w:val="16"/>
              </w:rPr>
              <w:t>Not mentioned</w:t>
            </w:r>
          </w:p>
        </w:tc>
        <w:tc>
          <w:tcPr>
            <w:tcW w:w="2996" w:type="dxa"/>
          </w:tcPr>
          <w:p w14:paraId="54AA80EB" w14:textId="77777777" w:rsidR="00E17CD8" w:rsidRPr="002A73C5" w:rsidRDefault="00E17CD8" w:rsidP="00D0613B">
            <w:pPr>
              <w:jc w:val="both"/>
              <w:rPr>
                <w:rFonts w:ascii="Times New Roman" w:hAnsi="Times New Roman"/>
                <w:sz w:val="18"/>
              </w:rPr>
            </w:pPr>
            <w:r w:rsidRPr="002A73C5">
              <w:rPr>
                <w:rFonts w:ascii="Times New Roman" w:hAnsi="Times New Roman"/>
                <w:sz w:val="18"/>
              </w:rPr>
              <w:t>The study estimates air pollution emissions only from the vehicular sector. Emissions correspond  to  the scenario where vehicles older than 25 years have been phased out during 2000–2010</w:t>
            </w:r>
          </w:p>
        </w:tc>
      </w:tr>
      <w:tr w:rsidR="00E17CD8" w:rsidRPr="001003EB" w14:paraId="07923C92" w14:textId="77777777" w:rsidTr="00C13DA2">
        <w:trPr>
          <w:trHeight w:val="34"/>
          <w:jc w:val="right"/>
        </w:trPr>
        <w:tc>
          <w:tcPr>
            <w:tcW w:w="1429" w:type="dxa"/>
          </w:tcPr>
          <w:p w14:paraId="7B667425" w14:textId="77777777" w:rsidR="00E17CD8" w:rsidRPr="002A73C5" w:rsidRDefault="00E17CD8" w:rsidP="00D0613B">
            <w:pPr>
              <w:rPr>
                <w:rFonts w:ascii="Times New Roman" w:hAnsi="Times New Roman"/>
                <w:color w:val="000000"/>
                <w:sz w:val="16"/>
              </w:rPr>
            </w:pPr>
            <w:r w:rsidRPr="002A73C5">
              <w:rPr>
                <w:rFonts w:ascii="Times New Roman" w:hAnsi="Times New Roman"/>
                <w:color w:val="000000"/>
                <w:sz w:val="16"/>
              </w:rPr>
              <w:t>Srivastava and Majumdar (2010)</w:t>
            </w:r>
          </w:p>
        </w:tc>
        <w:tc>
          <w:tcPr>
            <w:tcW w:w="580" w:type="dxa"/>
          </w:tcPr>
          <w:p w14:paraId="2482A169"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4276F743"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68F88F11"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0" w:type="dxa"/>
          </w:tcPr>
          <w:p w14:paraId="22957531"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5ABD8F7F"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3536EBE8"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0" w:type="dxa"/>
          </w:tcPr>
          <w:p w14:paraId="1704E4EC"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31CEE9B5"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color w:val="000000"/>
                <w:sz w:val="16"/>
              </w:rPr>
              <w:t>0.12</w:t>
            </w:r>
          </w:p>
        </w:tc>
        <w:tc>
          <w:tcPr>
            <w:tcW w:w="581" w:type="dxa"/>
          </w:tcPr>
          <w:p w14:paraId="69E89287"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635" w:type="dxa"/>
          </w:tcPr>
          <w:p w14:paraId="1A4A33B7"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450" w:type="dxa"/>
          </w:tcPr>
          <w:p w14:paraId="2BAEB1D3" w14:textId="77777777" w:rsidR="00E17CD8" w:rsidRPr="002A73C5" w:rsidRDefault="00E17CD8" w:rsidP="00D0613B">
            <w:pPr>
              <w:jc w:val="center"/>
              <w:rPr>
                <w:rFonts w:ascii="Times New Roman" w:hAnsi="Times New Roman"/>
                <w:sz w:val="16"/>
              </w:rPr>
            </w:pPr>
            <w:r w:rsidRPr="002A73C5">
              <w:rPr>
                <w:rFonts w:ascii="Times New Roman" w:hAnsi="Times New Roman"/>
                <w:sz w:val="16"/>
              </w:rPr>
              <w:t>-</w:t>
            </w:r>
          </w:p>
        </w:tc>
        <w:tc>
          <w:tcPr>
            <w:tcW w:w="450" w:type="dxa"/>
          </w:tcPr>
          <w:p w14:paraId="67E8A3EC" w14:textId="77777777" w:rsidR="00E17CD8" w:rsidRPr="002A73C5" w:rsidRDefault="00E17CD8" w:rsidP="00D0613B">
            <w:pPr>
              <w:jc w:val="center"/>
              <w:rPr>
                <w:rFonts w:ascii="Times New Roman" w:hAnsi="Times New Roman"/>
                <w:sz w:val="16"/>
              </w:rPr>
            </w:pPr>
            <w:r w:rsidRPr="002A73C5">
              <w:rPr>
                <w:rFonts w:ascii="Times New Roman" w:hAnsi="Times New Roman"/>
                <w:sz w:val="16"/>
              </w:rPr>
              <w:t>-</w:t>
            </w:r>
          </w:p>
        </w:tc>
        <w:tc>
          <w:tcPr>
            <w:tcW w:w="540" w:type="dxa"/>
          </w:tcPr>
          <w:p w14:paraId="62E57E62" w14:textId="77777777" w:rsidR="00E17CD8" w:rsidRPr="002A73C5" w:rsidRDefault="00E17CD8" w:rsidP="00D0613B">
            <w:pPr>
              <w:ind w:right="-21"/>
              <w:jc w:val="center"/>
              <w:rPr>
                <w:rFonts w:ascii="Times New Roman" w:hAnsi="Times New Roman"/>
                <w:sz w:val="16"/>
              </w:rPr>
            </w:pPr>
            <w:r w:rsidRPr="002A73C5">
              <w:rPr>
                <w:rFonts w:ascii="Times New Roman" w:hAnsi="Times New Roman"/>
                <w:sz w:val="16"/>
              </w:rPr>
              <w:t>2004</w:t>
            </w:r>
          </w:p>
        </w:tc>
        <w:tc>
          <w:tcPr>
            <w:tcW w:w="1170" w:type="dxa"/>
          </w:tcPr>
          <w:p w14:paraId="192E53CA" w14:textId="77777777" w:rsidR="00E17CD8" w:rsidRPr="002A73C5" w:rsidRDefault="00E17CD8" w:rsidP="00D0613B">
            <w:pPr>
              <w:jc w:val="both"/>
              <w:rPr>
                <w:rFonts w:ascii="Times New Roman" w:hAnsi="Times New Roman"/>
                <w:sz w:val="16"/>
              </w:rPr>
            </w:pPr>
            <w:r w:rsidRPr="002A73C5">
              <w:rPr>
                <w:rFonts w:ascii="Times New Roman" w:hAnsi="Times New Roman"/>
                <w:color w:val="000000"/>
                <w:sz w:val="16"/>
              </w:rPr>
              <w:t>Kolkata city (187)</w:t>
            </w:r>
          </w:p>
        </w:tc>
        <w:tc>
          <w:tcPr>
            <w:tcW w:w="1260" w:type="dxa"/>
          </w:tcPr>
          <w:p w14:paraId="21512C39" w14:textId="77777777" w:rsidR="00E17CD8" w:rsidRPr="002A73C5" w:rsidRDefault="00E17CD8" w:rsidP="00D0613B">
            <w:pPr>
              <w:jc w:val="center"/>
              <w:rPr>
                <w:rFonts w:ascii="Times New Roman" w:hAnsi="Times New Roman"/>
                <w:sz w:val="16"/>
              </w:rPr>
            </w:pPr>
            <w:r w:rsidRPr="002A73C5">
              <w:rPr>
                <w:rFonts w:ascii="Times New Roman" w:hAnsi="Times New Roman"/>
                <w:color w:val="000000"/>
                <w:sz w:val="16"/>
              </w:rPr>
              <w:t>4.58</w:t>
            </w:r>
          </w:p>
        </w:tc>
        <w:tc>
          <w:tcPr>
            <w:tcW w:w="2996" w:type="dxa"/>
          </w:tcPr>
          <w:p w14:paraId="421A5741" w14:textId="77777777" w:rsidR="00E17CD8" w:rsidRPr="002A73C5" w:rsidRDefault="00E17CD8" w:rsidP="00D0613B">
            <w:pPr>
              <w:jc w:val="both"/>
              <w:rPr>
                <w:rFonts w:ascii="Times New Roman" w:hAnsi="Times New Roman"/>
                <w:sz w:val="18"/>
              </w:rPr>
            </w:pPr>
            <w:r w:rsidRPr="002A73C5">
              <w:rPr>
                <w:rFonts w:ascii="Times New Roman" w:hAnsi="Times New Roman"/>
                <w:color w:val="000000"/>
                <w:sz w:val="18"/>
              </w:rPr>
              <w:t>Estimation is for evaporative emissions only.</w:t>
            </w:r>
          </w:p>
        </w:tc>
      </w:tr>
      <w:tr w:rsidR="00E17CD8" w:rsidRPr="001003EB" w14:paraId="76A3AF88" w14:textId="77777777" w:rsidTr="00C13DA2">
        <w:trPr>
          <w:trHeight w:val="34"/>
          <w:jc w:val="right"/>
        </w:trPr>
        <w:tc>
          <w:tcPr>
            <w:tcW w:w="1429" w:type="dxa"/>
          </w:tcPr>
          <w:p w14:paraId="102A6C5B" w14:textId="5D910C7A" w:rsidR="00E17CD8" w:rsidRPr="002A73C5" w:rsidRDefault="00AD6E33" w:rsidP="00D0613B">
            <w:pPr>
              <w:rPr>
                <w:rFonts w:ascii="Times New Roman" w:hAnsi="Times New Roman"/>
                <w:sz w:val="16"/>
              </w:rPr>
            </w:pPr>
            <w:r>
              <w:rPr>
                <w:rFonts w:ascii="Times New Roman" w:hAnsi="Times New Roman"/>
                <w:sz w:val="16"/>
              </w:rPr>
              <w:t>Sahu et al. (2008)</w:t>
            </w:r>
          </w:p>
        </w:tc>
        <w:tc>
          <w:tcPr>
            <w:tcW w:w="580" w:type="dxa"/>
          </w:tcPr>
          <w:p w14:paraId="468BA531"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764D233C"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1" w:type="dxa"/>
          </w:tcPr>
          <w:p w14:paraId="084DBE38"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w:t>
            </w:r>
          </w:p>
        </w:tc>
        <w:tc>
          <w:tcPr>
            <w:tcW w:w="580" w:type="dxa"/>
          </w:tcPr>
          <w:p w14:paraId="298722EB" w14:textId="77777777" w:rsidR="00E17CD8" w:rsidRPr="002A73C5" w:rsidRDefault="00E17CD8" w:rsidP="00D0613B">
            <w:pPr>
              <w:ind w:left="-7" w:right="-87"/>
              <w:jc w:val="center"/>
              <w:rPr>
                <w:rFonts w:ascii="Times New Roman" w:hAnsi="Times New Roman"/>
                <w:color w:val="1F4E79" w:themeColor="accent1" w:themeShade="80"/>
                <w:sz w:val="16"/>
              </w:rPr>
            </w:pPr>
            <w:r w:rsidRPr="002A73C5">
              <w:rPr>
                <w:rFonts w:ascii="Times New Roman" w:hAnsi="Times New Roman"/>
                <w:sz w:val="16"/>
              </w:rPr>
              <w:t>-</w:t>
            </w:r>
          </w:p>
        </w:tc>
        <w:tc>
          <w:tcPr>
            <w:tcW w:w="581" w:type="dxa"/>
          </w:tcPr>
          <w:p w14:paraId="40534A2B" w14:textId="15241CF5" w:rsidR="00E17CD8" w:rsidRPr="002A73C5" w:rsidRDefault="00E17CD8">
            <w:pPr>
              <w:ind w:left="-108" w:right="-87"/>
              <w:rPr>
                <w:rFonts w:ascii="Times New Roman" w:hAnsi="Times New Roman"/>
                <w:color w:val="1F4E79" w:themeColor="accent1" w:themeShade="80"/>
                <w:sz w:val="16"/>
              </w:rPr>
            </w:pPr>
            <w:r w:rsidRPr="002A73C5">
              <w:rPr>
                <w:rFonts w:ascii="Times New Roman" w:hAnsi="Times New Roman"/>
                <w:sz w:val="16"/>
              </w:rPr>
              <w:t xml:space="preserve"> 3.3 </w:t>
            </w:r>
            <w:r w:rsidR="00AD6E33">
              <w:rPr>
                <w:rFonts w:ascii="Times New Roman" w:hAnsi="Times New Roman"/>
                <w:sz w:val="16"/>
              </w:rPr>
              <w:t>–</w:t>
            </w:r>
            <w:r w:rsidRPr="002A73C5">
              <w:rPr>
                <w:rFonts w:ascii="Times New Roman" w:hAnsi="Times New Roman"/>
                <w:sz w:val="16"/>
              </w:rPr>
              <w:t xml:space="preserve"> </w:t>
            </w:r>
            <w:r w:rsidR="00AD6E33">
              <w:rPr>
                <w:rFonts w:ascii="Times New Roman" w:hAnsi="Times New Roman"/>
                <w:sz w:val="16"/>
              </w:rPr>
              <w:t>7.2</w:t>
            </w:r>
            <w:r w:rsidRPr="002A73C5">
              <w:rPr>
                <w:rFonts w:ascii="Times New Roman" w:hAnsi="Times New Roman"/>
                <w:sz w:val="16"/>
                <w:vertAlign w:val="superscript"/>
              </w:rPr>
              <w:sym w:font="Symbol" w:char="F066"/>
            </w:r>
          </w:p>
        </w:tc>
        <w:tc>
          <w:tcPr>
            <w:tcW w:w="581" w:type="dxa"/>
          </w:tcPr>
          <w:p w14:paraId="56512152" w14:textId="77777777" w:rsidR="00E17CD8" w:rsidRPr="002A73C5" w:rsidRDefault="00E17CD8" w:rsidP="00D0613B">
            <w:pPr>
              <w:ind w:left="-7" w:right="-87"/>
              <w:jc w:val="center"/>
              <w:rPr>
                <w:rFonts w:ascii="Times New Roman" w:hAnsi="Times New Roman"/>
                <w:color w:val="1F4E79" w:themeColor="accent1" w:themeShade="80"/>
                <w:sz w:val="16"/>
              </w:rPr>
            </w:pPr>
            <w:r w:rsidRPr="002A73C5">
              <w:rPr>
                <w:rFonts w:ascii="Times New Roman" w:hAnsi="Times New Roman"/>
                <w:sz w:val="16"/>
              </w:rPr>
              <w:t>-</w:t>
            </w:r>
          </w:p>
        </w:tc>
        <w:tc>
          <w:tcPr>
            <w:tcW w:w="580" w:type="dxa"/>
          </w:tcPr>
          <w:p w14:paraId="01782E7E" w14:textId="77777777" w:rsidR="00E17CD8" w:rsidRPr="002A73C5" w:rsidRDefault="00E17CD8" w:rsidP="00D0613B">
            <w:pPr>
              <w:ind w:left="-7" w:right="-87"/>
              <w:jc w:val="center"/>
              <w:rPr>
                <w:rFonts w:ascii="Times New Roman" w:hAnsi="Times New Roman"/>
                <w:color w:val="1F4E79" w:themeColor="accent1" w:themeShade="80"/>
                <w:sz w:val="16"/>
              </w:rPr>
            </w:pPr>
            <w:r w:rsidRPr="002A73C5">
              <w:rPr>
                <w:rFonts w:ascii="Times New Roman" w:hAnsi="Times New Roman"/>
                <w:sz w:val="16"/>
              </w:rPr>
              <w:t>-</w:t>
            </w:r>
          </w:p>
        </w:tc>
        <w:tc>
          <w:tcPr>
            <w:tcW w:w="581" w:type="dxa"/>
          </w:tcPr>
          <w:p w14:paraId="7A9C5A3B" w14:textId="77777777" w:rsidR="00E17CD8" w:rsidRPr="002A73C5" w:rsidRDefault="00E17CD8" w:rsidP="00D0613B">
            <w:pPr>
              <w:ind w:left="-7" w:right="-87"/>
              <w:jc w:val="center"/>
              <w:rPr>
                <w:rFonts w:ascii="Times New Roman" w:hAnsi="Times New Roman"/>
                <w:color w:val="1F4E79" w:themeColor="accent1" w:themeShade="80"/>
                <w:sz w:val="16"/>
              </w:rPr>
            </w:pPr>
            <w:r w:rsidRPr="002A73C5">
              <w:rPr>
                <w:rFonts w:ascii="Times New Roman" w:hAnsi="Times New Roman"/>
                <w:sz w:val="16"/>
              </w:rPr>
              <w:t>-</w:t>
            </w:r>
          </w:p>
        </w:tc>
        <w:tc>
          <w:tcPr>
            <w:tcW w:w="581" w:type="dxa"/>
          </w:tcPr>
          <w:p w14:paraId="5B3E8E0E" w14:textId="77777777" w:rsidR="00E17CD8" w:rsidRPr="002A73C5" w:rsidRDefault="00E17CD8" w:rsidP="00D0613B">
            <w:pPr>
              <w:ind w:left="-7" w:right="-87"/>
              <w:jc w:val="center"/>
              <w:rPr>
                <w:rFonts w:ascii="Times New Roman" w:hAnsi="Times New Roman"/>
                <w:color w:val="1F4E79" w:themeColor="accent1" w:themeShade="80"/>
                <w:sz w:val="16"/>
              </w:rPr>
            </w:pPr>
            <w:r w:rsidRPr="002A73C5">
              <w:rPr>
                <w:rFonts w:ascii="Times New Roman" w:hAnsi="Times New Roman"/>
                <w:sz w:val="16"/>
              </w:rPr>
              <w:t>-</w:t>
            </w:r>
          </w:p>
        </w:tc>
        <w:tc>
          <w:tcPr>
            <w:tcW w:w="635" w:type="dxa"/>
          </w:tcPr>
          <w:p w14:paraId="09DCA7CD" w14:textId="77777777" w:rsidR="00E17CD8" w:rsidRPr="002A73C5" w:rsidRDefault="00E17CD8" w:rsidP="00D0613B">
            <w:pPr>
              <w:ind w:left="-7" w:right="-87"/>
              <w:jc w:val="center"/>
              <w:rPr>
                <w:rFonts w:ascii="Times New Roman" w:hAnsi="Times New Roman"/>
                <w:color w:val="1F4E79" w:themeColor="accent1" w:themeShade="80"/>
                <w:sz w:val="16"/>
              </w:rPr>
            </w:pPr>
            <w:r w:rsidRPr="002A73C5">
              <w:rPr>
                <w:rFonts w:ascii="Times New Roman" w:hAnsi="Times New Roman"/>
                <w:sz w:val="16"/>
              </w:rPr>
              <w:t>-</w:t>
            </w:r>
          </w:p>
        </w:tc>
        <w:tc>
          <w:tcPr>
            <w:tcW w:w="450" w:type="dxa"/>
          </w:tcPr>
          <w:p w14:paraId="711E087C" w14:textId="77777777" w:rsidR="00E17CD8" w:rsidRPr="002A73C5" w:rsidRDefault="00E17CD8" w:rsidP="00D0613B">
            <w:pPr>
              <w:jc w:val="center"/>
              <w:rPr>
                <w:rFonts w:ascii="Times New Roman" w:hAnsi="Times New Roman"/>
                <w:color w:val="1F4E79" w:themeColor="accent1" w:themeShade="80"/>
                <w:sz w:val="16"/>
              </w:rPr>
            </w:pPr>
            <w:r w:rsidRPr="002A73C5">
              <w:rPr>
                <w:rFonts w:ascii="Times New Roman" w:hAnsi="Times New Roman"/>
                <w:sz w:val="16"/>
              </w:rPr>
              <w:t>-</w:t>
            </w:r>
          </w:p>
        </w:tc>
        <w:tc>
          <w:tcPr>
            <w:tcW w:w="450" w:type="dxa"/>
          </w:tcPr>
          <w:p w14:paraId="283872E9" w14:textId="77777777" w:rsidR="00E17CD8" w:rsidRPr="002A73C5" w:rsidRDefault="00E17CD8" w:rsidP="00D0613B">
            <w:pPr>
              <w:jc w:val="center"/>
              <w:rPr>
                <w:rFonts w:ascii="Times New Roman" w:hAnsi="Times New Roman"/>
                <w:color w:val="1F4E79" w:themeColor="accent1" w:themeShade="80"/>
                <w:sz w:val="16"/>
              </w:rPr>
            </w:pPr>
            <w:r w:rsidRPr="002A73C5">
              <w:rPr>
                <w:rFonts w:ascii="Times New Roman" w:hAnsi="Times New Roman"/>
                <w:sz w:val="16"/>
              </w:rPr>
              <w:t>-</w:t>
            </w:r>
          </w:p>
        </w:tc>
        <w:tc>
          <w:tcPr>
            <w:tcW w:w="540" w:type="dxa"/>
          </w:tcPr>
          <w:p w14:paraId="189D23D9" w14:textId="2577A265" w:rsidR="00E17CD8" w:rsidRPr="002A73C5" w:rsidRDefault="00AD6E33" w:rsidP="00D0613B">
            <w:pPr>
              <w:ind w:right="-21"/>
              <w:jc w:val="center"/>
              <w:rPr>
                <w:rFonts w:ascii="Times New Roman" w:hAnsi="Times New Roman"/>
                <w:color w:val="1F4E79" w:themeColor="accent1" w:themeShade="80"/>
                <w:sz w:val="16"/>
              </w:rPr>
            </w:pPr>
            <w:r>
              <w:rPr>
                <w:rFonts w:ascii="Times New Roman" w:hAnsi="Times New Roman"/>
                <w:sz w:val="16"/>
              </w:rPr>
              <w:t>2001</w:t>
            </w:r>
          </w:p>
        </w:tc>
        <w:tc>
          <w:tcPr>
            <w:tcW w:w="1170" w:type="dxa"/>
          </w:tcPr>
          <w:p w14:paraId="5F74EF15" w14:textId="77777777" w:rsidR="00E17CD8" w:rsidRPr="002A73C5" w:rsidRDefault="00E17CD8" w:rsidP="00D0613B">
            <w:pPr>
              <w:jc w:val="both"/>
              <w:rPr>
                <w:rFonts w:ascii="Times New Roman" w:hAnsi="Times New Roman"/>
                <w:sz w:val="16"/>
              </w:rPr>
            </w:pPr>
            <w:r w:rsidRPr="002A73C5">
              <w:rPr>
                <w:rFonts w:ascii="Times New Roman" w:hAnsi="Times New Roman"/>
                <w:color w:val="000000"/>
                <w:sz w:val="16"/>
              </w:rPr>
              <w:t>1°x1° grid cell covering the city limits</w:t>
            </w:r>
            <w:r w:rsidRPr="002A73C5">
              <w:rPr>
                <w:rFonts w:ascii="Times New Roman" w:hAnsi="Times New Roman"/>
                <w:color w:val="000000"/>
                <w:sz w:val="16"/>
                <w:vertAlign w:val="superscript"/>
              </w:rPr>
              <w:sym w:font="Symbol" w:char="F067"/>
            </w:r>
          </w:p>
        </w:tc>
        <w:tc>
          <w:tcPr>
            <w:tcW w:w="1260" w:type="dxa"/>
          </w:tcPr>
          <w:p w14:paraId="2404DBC3" w14:textId="77777777" w:rsidR="00E17CD8" w:rsidRPr="002A73C5" w:rsidRDefault="00E17CD8" w:rsidP="00D0613B">
            <w:pPr>
              <w:jc w:val="center"/>
              <w:rPr>
                <w:rFonts w:ascii="Times New Roman" w:hAnsi="Times New Roman"/>
                <w:sz w:val="16"/>
              </w:rPr>
            </w:pPr>
            <w:r w:rsidRPr="002A73C5">
              <w:rPr>
                <w:rFonts w:ascii="Times New Roman" w:hAnsi="Times New Roman"/>
                <w:color w:val="000000"/>
                <w:sz w:val="16"/>
              </w:rPr>
              <w:t>Not mentioned</w:t>
            </w:r>
          </w:p>
        </w:tc>
        <w:tc>
          <w:tcPr>
            <w:tcW w:w="2996" w:type="dxa"/>
          </w:tcPr>
          <w:p w14:paraId="696F873A" w14:textId="77777777" w:rsidR="00E17CD8" w:rsidRPr="002A73C5" w:rsidRDefault="00E17CD8" w:rsidP="00D0613B">
            <w:pPr>
              <w:jc w:val="both"/>
              <w:rPr>
                <w:rFonts w:ascii="Times New Roman" w:hAnsi="Times New Roman"/>
                <w:sz w:val="18"/>
              </w:rPr>
            </w:pPr>
            <w:r w:rsidRPr="002A73C5">
              <w:rPr>
                <w:rFonts w:ascii="Times New Roman" w:hAnsi="Times New Roman"/>
                <w:color w:val="000000"/>
                <w:sz w:val="18"/>
              </w:rPr>
              <w:t xml:space="preserve">The study presents a contour map of BC emissions for India. BC emissions normalized for the KMC area are  presented. </w:t>
            </w:r>
          </w:p>
        </w:tc>
      </w:tr>
      <w:tr w:rsidR="00E17CD8" w:rsidRPr="001003EB" w14:paraId="0D37D752" w14:textId="77777777" w:rsidTr="00C13DA2">
        <w:trPr>
          <w:trHeight w:val="34"/>
          <w:jc w:val="right"/>
        </w:trPr>
        <w:tc>
          <w:tcPr>
            <w:tcW w:w="1429" w:type="dxa"/>
          </w:tcPr>
          <w:p w14:paraId="0091F117" w14:textId="0D7F20BA" w:rsidR="00E17CD8" w:rsidRPr="002A73C5" w:rsidRDefault="00E17CD8" w:rsidP="00D0613B">
            <w:pPr>
              <w:rPr>
                <w:rFonts w:ascii="Times New Roman" w:hAnsi="Times New Roman"/>
                <w:sz w:val="16"/>
              </w:rPr>
            </w:pPr>
            <w:r w:rsidRPr="002A73C5">
              <w:rPr>
                <w:rFonts w:ascii="Times New Roman" w:hAnsi="Times New Roman"/>
                <w:sz w:val="16"/>
              </w:rPr>
              <w:t>CPCB (2015</w:t>
            </w:r>
            <w:r w:rsidR="00586175">
              <w:rPr>
                <w:rFonts w:ascii="Times New Roman" w:hAnsi="Times New Roman"/>
                <w:sz w:val="16"/>
              </w:rPr>
              <w:t>b</w:t>
            </w:r>
            <w:r w:rsidRPr="002A73C5">
              <w:rPr>
                <w:rFonts w:ascii="Times New Roman" w:hAnsi="Times New Roman"/>
                <w:sz w:val="16"/>
              </w:rPr>
              <w:t>)</w:t>
            </w:r>
          </w:p>
        </w:tc>
        <w:tc>
          <w:tcPr>
            <w:tcW w:w="580" w:type="dxa"/>
          </w:tcPr>
          <w:p w14:paraId="79DABC6B"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0.1</w:t>
            </w:r>
          </w:p>
        </w:tc>
        <w:tc>
          <w:tcPr>
            <w:tcW w:w="581" w:type="dxa"/>
          </w:tcPr>
          <w:p w14:paraId="577B567F"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16.1</w:t>
            </w:r>
          </w:p>
        </w:tc>
        <w:tc>
          <w:tcPr>
            <w:tcW w:w="581" w:type="dxa"/>
          </w:tcPr>
          <w:p w14:paraId="31B234A8" w14:textId="77777777" w:rsidR="00E17CD8" w:rsidRPr="002A73C5" w:rsidRDefault="00E17CD8" w:rsidP="00D0613B">
            <w:pPr>
              <w:ind w:left="-7" w:right="-87"/>
              <w:jc w:val="center"/>
              <w:rPr>
                <w:rFonts w:ascii="Times New Roman" w:hAnsi="Times New Roman"/>
                <w:sz w:val="16"/>
              </w:rPr>
            </w:pPr>
            <w:r w:rsidRPr="002A73C5">
              <w:rPr>
                <w:rFonts w:ascii="Times New Roman" w:hAnsi="Times New Roman"/>
                <w:sz w:val="16"/>
              </w:rPr>
              <w:t>1.7</w:t>
            </w:r>
          </w:p>
        </w:tc>
        <w:tc>
          <w:tcPr>
            <w:tcW w:w="580" w:type="dxa"/>
          </w:tcPr>
          <w:p w14:paraId="1C9AE7CD" w14:textId="77777777" w:rsidR="00E17CD8" w:rsidRPr="002A73C5" w:rsidRDefault="00E17CD8" w:rsidP="00D0613B">
            <w:pPr>
              <w:ind w:left="-7" w:right="-87"/>
              <w:rPr>
                <w:rFonts w:ascii="Times New Roman" w:hAnsi="Times New Roman"/>
                <w:sz w:val="16"/>
              </w:rPr>
            </w:pPr>
            <w:r w:rsidRPr="002A73C5">
              <w:rPr>
                <w:rFonts w:ascii="Times New Roman" w:hAnsi="Times New Roman"/>
                <w:sz w:val="16"/>
              </w:rPr>
              <w:t>-</w:t>
            </w:r>
          </w:p>
        </w:tc>
        <w:tc>
          <w:tcPr>
            <w:tcW w:w="581" w:type="dxa"/>
          </w:tcPr>
          <w:p w14:paraId="7DBB63FC" w14:textId="77777777" w:rsidR="00E17CD8" w:rsidRPr="002A73C5" w:rsidRDefault="00E17CD8" w:rsidP="00D0613B">
            <w:pPr>
              <w:ind w:left="-7" w:right="-87"/>
              <w:rPr>
                <w:rFonts w:ascii="Times New Roman" w:hAnsi="Times New Roman"/>
                <w:sz w:val="16"/>
              </w:rPr>
            </w:pPr>
            <w:r w:rsidRPr="002A73C5">
              <w:rPr>
                <w:rFonts w:ascii="Times New Roman" w:hAnsi="Times New Roman"/>
                <w:sz w:val="16"/>
              </w:rPr>
              <w:t>-</w:t>
            </w:r>
          </w:p>
        </w:tc>
        <w:tc>
          <w:tcPr>
            <w:tcW w:w="581" w:type="dxa"/>
          </w:tcPr>
          <w:p w14:paraId="18F7A373" w14:textId="77777777" w:rsidR="00E17CD8" w:rsidRPr="002A73C5" w:rsidRDefault="00E17CD8" w:rsidP="00D0613B">
            <w:pPr>
              <w:ind w:left="-7" w:right="-87"/>
              <w:rPr>
                <w:rFonts w:ascii="Times New Roman" w:hAnsi="Times New Roman"/>
                <w:sz w:val="16"/>
              </w:rPr>
            </w:pPr>
            <w:r w:rsidRPr="002A73C5">
              <w:rPr>
                <w:rFonts w:ascii="Times New Roman" w:hAnsi="Times New Roman"/>
                <w:sz w:val="16"/>
              </w:rPr>
              <w:t>-</w:t>
            </w:r>
          </w:p>
        </w:tc>
        <w:tc>
          <w:tcPr>
            <w:tcW w:w="580" w:type="dxa"/>
          </w:tcPr>
          <w:p w14:paraId="6F4631A4" w14:textId="77777777" w:rsidR="00E17CD8" w:rsidRPr="002A73C5" w:rsidRDefault="00E17CD8" w:rsidP="00D0613B">
            <w:pPr>
              <w:ind w:left="-7" w:right="-87"/>
              <w:rPr>
                <w:rFonts w:ascii="Times New Roman" w:hAnsi="Times New Roman"/>
                <w:sz w:val="16"/>
              </w:rPr>
            </w:pPr>
            <w:r w:rsidRPr="002A73C5">
              <w:rPr>
                <w:rFonts w:ascii="Times New Roman" w:hAnsi="Times New Roman"/>
                <w:sz w:val="16"/>
              </w:rPr>
              <w:t>21.8</w:t>
            </w:r>
          </w:p>
        </w:tc>
        <w:tc>
          <w:tcPr>
            <w:tcW w:w="581" w:type="dxa"/>
          </w:tcPr>
          <w:p w14:paraId="72EB49A0" w14:textId="77777777" w:rsidR="00E17CD8" w:rsidRPr="002A73C5" w:rsidRDefault="00E17CD8" w:rsidP="00D0613B">
            <w:pPr>
              <w:ind w:left="-7" w:right="-87"/>
              <w:rPr>
                <w:rFonts w:ascii="Times New Roman" w:hAnsi="Times New Roman"/>
                <w:sz w:val="16"/>
              </w:rPr>
            </w:pPr>
            <w:r w:rsidRPr="002A73C5">
              <w:rPr>
                <w:rFonts w:ascii="Times New Roman" w:hAnsi="Times New Roman"/>
                <w:sz w:val="16"/>
              </w:rPr>
              <w:t>-</w:t>
            </w:r>
          </w:p>
        </w:tc>
        <w:tc>
          <w:tcPr>
            <w:tcW w:w="581" w:type="dxa"/>
          </w:tcPr>
          <w:p w14:paraId="47747271" w14:textId="77777777" w:rsidR="00E17CD8" w:rsidRPr="002A73C5" w:rsidRDefault="00E17CD8" w:rsidP="00D0613B">
            <w:pPr>
              <w:ind w:left="-7" w:right="-87"/>
              <w:rPr>
                <w:rFonts w:ascii="Times New Roman" w:hAnsi="Times New Roman"/>
                <w:sz w:val="16"/>
              </w:rPr>
            </w:pPr>
            <w:r w:rsidRPr="002A73C5">
              <w:rPr>
                <w:rFonts w:ascii="Times New Roman" w:hAnsi="Times New Roman"/>
                <w:sz w:val="16"/>
              </w:rPr>
              <w:t>-</w:t>
            </w:r>
          </w:p>
        </w:tc>
        <w:tc>
          <w:tcPr>
            <w:tcW w:w="635" w:type="dxa"/>
          </w:tcPr>
          <w:p w14:paraId="59572181" w14:textId="77777777" w:rsidR="00E17CD8" w:rsidRPr="002A73C5" w:rsidRDefault="00E17CD8" w:rsidP="00D0613B">
            <w:pPr>
              <w:ind w:left="-7" w:right="-87"/>
              <w:rPr>
                <w:rFonts w:ascii="Times New Roman" w:hAnsi="Times New Roman"/>
                <w:sz w:val="16"/>
              </w:rPr>
            </w:pPr>
            <w:r w:rsidRPr="002A73C5">
              <w:rPr>
                <w:rFonts w:ascii="Times New Roman" w:hAnsi="Times New Roman"/>
                <w:sz w:val="16"/>
              </w:rPr>
              <w:t>1.87</w:t>
            </w:r>
          </w:p>
        </w:tc>
        <w:tc>
          <w:tcPr>
            <w:tcW w:w="450" w:type="dxa"/>
          </w:tcPr>
          <w:p w14:paraId="7EAD4480" w14:textId="77777777" w:rsidR="00E17CD8" w:rsidRPr="002A73C5" w:rsidRDefault="00E17CD8" w:rsidP="00D0613B">
            <w:pPr>
              <w:rPr>
                <w:rFonts w:ascii="Times New Roman" w:hAnsi="Times New Roman"/>
                <w:sz w:val="16"/>
              </w:rPr>
            </w:pPr>
            <w:r w:rsidRPr="002A73C5">
              <w:rPr>
                <w:rFonts w:ascii="Times New Roman" w:hAnsi="Times New Roman"/>
                <w:sz w:val="16"/>
              </w:rPr>
              <w:t>-</w:t>
            </w:r>
          </w:p>
        </w:tc>
        <w:tc>
          <w:tcPr>
            <w:tcW w:w="450" w:type="dxa"/>
          </w:tcPr>
          <w:p w14:paraId="5829DF41" w14:textId="77777777" w:rsidR="00E17CD8" w:rsidRPr="002A73C5" w:rsidRDefault="00E17CD8" w:rsidP="00D0613B">
            <w:pPr>
              <w:rPr>
                <w:rFonts w:ascii="Times New Roman" w:hAnsi="Times New Roman"/>
                <w:sz w:val="16"/>
              </w:rPr>
            </w:pPr>
            <w:r w:rsidRPr="002A73C5">
              <w:rPr>
                <w:rFonts w:ascii="Times New Roman" w:hAnsi="Times New Roman"/>
                <w:sz w:val="16"/>
              </w:rPr>
              <w:t>-</w:t>
            </w:r>
          </w:p>
        </w:tc>
        <w:tc>
          <w:tcPr>
            <w:tcW w:w="540" w:type="dxa"/>
          </w:tcPr>
          <w:p w14:paraId="5966AB16" w14:textId="77777777" w:rsidR="00E17CD8" w:rsidRPr="002A73C5" w:rsidRDefault="00E17CD8" w:rsidP="00D0613B">
            <w:pPr>
              <w:ind w:right="-21"/>
              <w:rPr>
                <w:rFonts w:ascii="Times New Roman" w:hAnsi="Times New Roman"/>
                <w:sz w:val="16"/>
              </w:rPr>
            </w:pPr>
            <w:r w:rsidRPr="002A73C5">
              <w:rPr>
                <w:rFonts w:ascii="Times New Roman" w:hAnsi="Times New Roman"/>
                <w:sz w:val="16"/>
              </w:rPr>
              <w:t>2011</w:t>
            </w:r>
          </w:p>
        </w:tc>
        <w:tc>
          <w:tcPr>
            <w:tcW w:w="1170" w:type="dxa"/>
          </w:tcPr>
          <w:p w14:paraId="52BE491A" w14:textId="77777777" w:rsidR="00E17CD8" w:rsidRPr="002A73C5" w:rsidRDefault="00E17CD8" w:rsidP="00D0613B">
            <w:pPr>
              <w:jc w:val="both"/>
              <w:rPr>
                <w:rFonts w:ascii="Times New Roman" w:hAnsi="Times New Roman"/>
                <w:sz w:val="16"/>
              </w:rPr>
            </w:pPr>
            <w:r w:rsidRPr="002A73C5">
              <w:rPr>
                <w:rFonts w:ascii="Times New Roman" w:hAnsi="Times New Roman"/>
                <w:color w:val="000000"/>
                <w:sz w:val="16"/>
              </w:rPr>
              <w:t>Kolkata city (187)</w:t>
            </w:r>
          </w:p>
        </w:tc>
        <w:tc>
          <w:tcPr>
            <w:tcW w:w="1260" w:type="dxa"/>
          </w:tcPr>
          <w:p w14:paraId="690749AD" w14:textId="77777777" w:rsidR="00E17CD8" w:rsidRPr="002A73C5" w:rsidRDefault="00E17CD8" w:rsidP="00D0613B">
            <w:pPr>
              <w:jc w:val="center"/>
              <w:rPr>
                <w:rFonts w:ascii="Times New Roman" w:hAnsi="Times New Roman"/>
                <w:sz w:val="16"/>
              </w:rPr>
            </w:pPr>
            <w:r w:rsidRPr="002A73C5">
              <w:rPr>
                <w:rFonts w:ascii="Times New Roman" w:hAnsi="Times New Roman"/>
                <w:color w:val="000000"/>
                <w:sz w:val="16"/>
              </w:rPr>
              <w:t>4.5</w:t>
            </w:r>
          </w:p>
        </w:tc>
        <w:tc>
          <w:tcPr>
            <w:tcW w:w="2996" w:type="dxa"/>
          </w:tcPr>
          <w:p w14:paraId="57A26CE1" w14:textId="77777777" w:rsidR="00E17CD8" w:rsidRPr="002A73C5" w:rsidRDefault="00E17CD8" w:rsidP="00D0613B">
            <w:pPr>
              <w:jc w:val="both"/>
              <w:rPr>
                <w:rFonts w:ascii="Times New Roman" w:hAnsi="Times New Roman"/>
                <w:sz w:val="18"/>
              </w:rPr>
            </w:pPr>
            <w:r w:rsidRPr="002A73C5">
              <w:rPr>
                <w:rFonts w:ascii="Times New Roman" w:hAnsi="Times New Roman"/>
                <w:color w:val="000000"/>
                <w:sz w:val="18"/>
              </w:rPr>
              <w:t>This study only considers road transport exhaust emission within the city boundary.</w:t>
            </w:r>
          </w:p>
        </w:tc>
      </w:tr>
    </w:tbl>
    <w:p w14:paraId="2E98FFDD" w14:textId="1FF896C7" w:rsidR="00E17CD8" w:rsidRPr="002A73C5" w:rsidRDefault="00E17CD8" w:rsidP="00C13DA2">
      <w:pPr>
        <w:rPr>
          <w:rFonts w:ascii="Times New Roman" w:hAnsi="Times New Roman"/>
          <w:b/>
        </w:rPr>
      </w:pPr>
      <w:r w:rsidRPr="002A73C5">
        <w:rPr>
          <w:rFonts w:ascii="Times New Roman" w:hAnsi="Times New Roman"/>
          <w:sz w:val="18"/>
          <w:vertAlign w:val="superscript"/>
        </w:rPr>
        <w:sym w:font="Symbol" w:char="F061"/>
      </w:r>
      <w:r w:rsidRPr="002A73C5">
        <w:rPr>
          <w:rFonts w:ascii="Times New Roman" w:hAnsi="Times New Roman"/>
          <w:sz w:val="16"/>
        </w:rPr>
        <w:t xml:space="preserve">TSP: Total suspended particulates, </w:t>
      </w:r>
      <w:r w:rsidRPr="002A73C5">
        <w:rPr>
          <w:rFonts w:ascii="Times New Roman" w:hAnsi="Times New Roman"/>
          <w:sz w:val="16"/>
          <w:vertAlign w:val="superscript"/>
        </w:rPr>
        <w:sym w:font="Symbol" w:char="F062"/>
      </w:r>
      <w:r w:rsidRPr="002A73C5">
        <w:rPr>
          <w:rFonts w:ascii="Times New Roman" w:hAnsi="Times New Roman"/>
          <w:sz w:val="16"/>
        </w:rPr>
        <w:t>Estimated from Graph (Gurjar et al., 2010).</w:t>
      </w:r>
      <w:r w:rsidRPr="002A73C5">
        <w:rPr>
          <w:rFonts w:ascii="Times New Roman" w:hAnsi="Times New Roman"/>
          <w:color w:val="000000"/>
          <w:sz w:val="16"/>
        </w:rPr>
        <w:t xml:space="preserve">, </w:t>
      </w:r>
      <w:r w:rsidRPr="002A73C5">
        <w:rPr>
          <w:rFonts w:ascii="Times New Roman" w:hAnsi="Times New Roman"/>
          <w:color w:val="000000"/>
          <w:sz w:val="16"/>
          <w:vertAlign w:val="superscript"/>
        </w:rPr>
        <w:sym w:font="Symbol" w:char="F067"/>
      </w:r>
      <w:r w:rsidRPr="002A73C5">
        <w:rPr>
          <w:rFonts w:ascii="Times New Roman" w:hAnsi="Times New Roman"/>
          <w:color w:val="000000"/>
          <w:sz w:val="16"/>
        </w:rPr>
        <w:t>Corresponding to area of 11.4x10</w:t>
      </w:r>
      <w:r w:rsidRPr="002A73C5">
        <w:rPr>
          <w:rFonts w:ascii="Times New Roman" w:hAnsi="Times New Roman"/>
          <w:color w:val="000000"/>
          <w:sz w:val="16"/>
          <w:vertAlign w:val="superscript"/>
        </w:rPr>
        <w:t>3</w:t>
      </w:r>
      <w:r w:rsidRPr="002A73C5">
        <w:rPr>
          <w:rFonts w:ascii="Times New Roman" w:hAnsi="Times New Roman"/>
          <w:color w:val="000000"/>
          <w:sz w:val="16"/>
        </w:rPr>
        <w:t xml:space="preserve"> sq. km. </w:t>
      </w:r>
      <w:r w:rsidRPr="002A73C5">
        <w:rPr>
          <w:rFonts w:ascii="Times New Roman" w:hAnsi="Times New Roman"/>
          <w:color w:val="000000"/>
          <w:sz w:val="16"/>
          <w:vertAlign w:val="superscript"/>
        </w:rPr>
        <w:sym w:font="Symbol" w:char="F064"/>
      </w:r>
      <w:r w:rsidRPr="002A73C5">
        <w:rPr>
          <w:rFonts w:ascii="Times New Roman" w:hAnsi="Times New Roman"/>
          <w:color w:val="000000"/>
          <w:sz w:val="16"/>
          <w:vertAlign w:val="superscript"/>
        </w:rPr>
        <w:t xml:space="preserve"> </w:t>
      </w:r>
      <w:r w:rsidRPr="002A73C5">
        <w:rPr>
          <w:rFonts w:ascii="Times New Roman" w:hAnsi="Times New Roman"/>
          <w:color w:val="000000"/>
          <w:sz w:val="16"/>
        </w:rPr>
        <w:t xml:space="preserve">Normalized for KMC area. </w:t>
      </w:r>
      <w:r w:rsidRPr="002A73C5">
        <w:rPr>
          <w:rFonts w:ascii="Times New Roman" w:hAnsi="Times New Roman"/>
          <w:sz w:val="16"/>
          <w:vertAlign w:val="superscript"/>
        </w:rPr>
        <w:sym w:font="Symbol" w:char="F066"/>
      </w:r>
      <w:r w:rsidRPr="002A73C5">
        <w:rPr>
          <w:rFonts w:ascii="Times New Roman" w:hAnsi="Times New Roman"/>
          <w:sz w:val="16"/>
        </w:rPr>
        <w:t>Estimated from concentration contour plot and normalized for KMC area</w:t>
      </w:r>
    </w:p>
    <w:p w14:paraId="3E9C99DA" w14:textId="77777777" w:rsidR="00E17CD8" w:rsidRPr="002A73C5" w:rsidRDefault="00E17CD8" w:rsidP="00E17CD8">
      <w:pPr>
        <w:spacing w:after="120" w:line="276" w:lineRule="auto"/>
        <w:jc w:val="both"/>
        <w:rPr>
          <w:rFonts w:ascii="Times New Roman" w:hAnsi="Times New Roman"/>
          <w:b/>
        </w:rPr>
        <w:sectPr w:rsidR="00E17CD8" w:rsidRPr="002A73C5" w:rsidSect="00E17CD8">
          <w:pgSz w:w="16838" w:h="11906" w:orient="landscape" w:code="9"/>
          <w:pgMar w:top="1440" w:right="1440" w:bottom="1440" w:left="1440" w:header="706" w:footer="706" w:gutter="0"/>
          <w:lnNumType w:countBy="1"/>
          <w:cols w:space="708"/>
          <w:docGrid w:linePitch="360"/>
        </w:sectPr>
      </w:pPr>
    </w:p>
    <w:p w14:paraId="4EEDABC7" w14:textId="3D946EC1" w:rsidR="00D710FC" w:rsidRPr="005A53E1" w:rsidRDefault="004E65FC" w:rsidP="00AC18ED">
      <w:pPr>
        <w:spacing w:after="120" w:line="276" w:lineRule="auto"/>
        <w:jc w:val="both"/>
        <w:rPr>
          <w:rFonts w:ascii="Times New Roman" w:hAnsi="Times New Roman" w:cs="Times New Roman"/>
          <w:szCs w:val="22"/>
        </w:rPr>
      </w:pPr>
      <w:r>
        <w:rPr>
          <w:rFonts w:ascii="Times New Roman" w:hAnsi="Times New Roman" w:cs="Times New Roman"/>
          <w:szCs w:val="22"/>
        </w:rPr>
        <w:lastRenderedPageBreak/>
        <w:t xml:space="preserve">The </w:t>
      </w:r>
      <w:r w:rsidR="00D710FC" w:rsidRPr="00AC18ED">
        <w:rPr>
          <w:rFonts w:ascii="Times New Roman" w:hAnsi="Times New Roman" w:cs="Times New Roman"/>
          <w:szCs w:val="22"/>
        </w:rPr>
        <w:t>SO</w:t>
      </w:r>
      <w:r w:rsidR="00D710FC" w:rsidRPr="00AC18ED">
        <w:rPr>
          <w:rFonts w:ascii="Times New Roman" w:hAnsi="Times New Roman" w:cs="Times New Roman"/>
          <w:szCs w:val="22"/>
          <w:vertAlign w:val="subscript"/>
        </w:rPr>
        <w:t>2</w:t>
      </w:r>
      <w:r w:rsidR="00D710FC" w:rsidRPr="00AC18ED">
        <w:rPr>
          <w:rFonts w:ascii="Times New Roman" w:hAnsi="Times New Roman" w:cs="Times New Roman"/>
          <w:szCs w:val="22"/>
        </w:rPr>
        <w:t xml:space="preserve"> emission</w:t>
      </w:r>
      <w:r>
        <w:rPr>
          <w:rFonts w:ascii="Times New Roman" w:hAnsi="Times New Roman" w:cs="Times New Roman"/>
          <w:szCs w:val="22"/>
        </w:rPr>
        <w:t>s</w:t>
      </w:r>
      <w:r w:rsidR="00D710FC" w:rsidRPr="00AC18ED">
        <w:rPr>
          <w:rFonts w:ascii="Times New Roman" w:hAnsi="Times New Roman" w:cs="Times New Roman"/>
          <w:szCs w:val="22"/>
        </w:rPr>
        <w:t xml:space="preserve"> from power plants </w:t>
      </w:r>
      <w:r>
        <w:rPr>
          <w:rFonts w:ascii="Times New Roman" w:hAnsi="Times New Roman" w:cs="Times New Roman"/>
          <w:szCs w:val="22"/>
        </w:rPr>
        <w:t xml:space="preserve">in 2000 </w:t>
      </w:r>
      <w:r w:rsidR="00D710FC" w:rsidRPr="00AC18ED">
        <w:rPr>
          <w:rFonts w:ascii="Times New Roman" w:hAnsi="Times New Roman" w:cs="Times New Roman"/>
          <w:szCs w:val="22"/>
        </w:rPr>
        <w:t>were estimated a</w:t>
      </w:r>
      <w:r>
        <w:rPr>
          <w:rFonts w:ascii="Times New Roman" w:hAnsi="Times New Roman" w:cs="Times New Roman"/>
          <w:szCs w:val="22"/>
        </w:rPr>
        <w:t>t</w:t>
      </w:r>
      <w:r w:rsidR="00D710FC" w:rsidRPr="00AC18ED">
        <w:rPr>
          <w:rFonts w:ascii="Times New Roman" w:hAnsi="Times New Roman" w:cs="Times New Roman"/>
          <w:szCs w:val="22"/>
        </w:rPr>
        <w:t xml:space="preserve"> 64.</w:t>
      </w:r>
      <w:r w:rsidR="00D710FC" w:rsidRPr="005A53E1">
        <w:rPr>
          <w:rFonts w:ascii="Times New Roman" w:hAnsi="Times New Roman" w:cs="Times New Roman"/>
          <w:szCs w:val="22"/>
        </w:rPr>
        <w:t xml:space="preserve">6 kt by Guttikunda et. al. (2003). Although </w:t>
      </w:r>
      <w:r w:rsidR="00E05CA3" w:rsidRPr="005A53E1">
        <w:rPr>
          <w:rFonts w:ascii="Times New Roman" w:hAnsi="Times New Roman" w:cs="Times New Roman"/>
          <w:szCs w:val="22"/>
        </w:rPr>
        <w:t xml:space="preserve">Guttikunda et. al. (2003) </w:t>
      </w:r>
      <w:r w:rsidR="00D710FC" w:rsidRPr="005A53E1">
        <w:rPr>
          <w:rFonts w:ascii="Times New Roman" w:hAnsi="Times New Roman" w:cs="Times New Roman"/>
          <w:szCs w:val="22"/>
        </w:rPr>
        <w:t>estimated the emissions for</w:t>
      </w:r>
      <w:r w:rsidR="00330A33" w:rsidRPr="005A53E1">
        <w:rPr>
          <w:rFonts w:ascii="Times New Roman" w:hAnsi="Times New Roman" w:cs="Times New Roman"/>
          <w:szCs w:val="22"/>
        </w:rPr>
        <w:t xml:space="preserve"> </w:t>
      </w:r>
      <w:r w:rsidR="00D710FC" w:rsidRPr="005A53E1">
        <w:rPr>
          <w:rFonts w:ascii="Times New Roman" w:hAnsi="Times New Roman" w:cs="Times New Roman"/>
          <w:szCs w:val="22"/>
        </w:rPr>
        <w:t xml:space="preserve">population </w:t>
      </w:r>
      <w:r w:rsidR="001D1A8E" w:rsidRPr="005A53E1">
        <w:rPr>
          <w:rFonts w:ascii="Times New Roman" w:hAnsi="Times New Roman" w:cs="Times New Roman"/>
          <w:szCs w:val="22"/>
        </w:rPr>
        <w:t xml:space="preserve">of </w:t>
      </w:r>
      <w:r w:rsidR="00E05CA3" w:rsidRPr="005A53E1">
        <w:rPr>
          <w:rFonts w:ascii="Times New Roman" w:hAnsi="Times New Roman" w:cs="Times New Roman"/>
          <w:szCs w:val="22"/>
        </w:rPr>
        <w:t xml:space="preserve">entire </w:t>
      </w:r>
      <w:r w:rsidR="001D1A8E" w:rsidRPr="005A53E1">
        <w:rPr>
          <w:rFonts w:ascii="Times New Roman" w:hAnsi="Times New Roman" w:cs="Times New Roman"/>
          <w:szCs w:val="22"/>
        </w:rPr>
        <w:t xml:space="preserve">32 million </w:t>
      </w:r>
      <w:r w:rsidR="00D710FC" w:rsidRPr="005A53E1">
        <w:rPr>
          <w:rFonts w:ascii="Times New Roman" w:hAnsi="Times New Roman" w:cs="Times New Roman"/>
          <w:szCs w:val="22"/>
        </w:rPr>
        <w:t xml:space="preserve">residing in </w:t>
      </w:r>
      <w:r w:rsidRPr="005A53E1">
        <w:rPr>
          <w:rFonts w:ascii="Times New Roman" w:hAnsi="Times New Roman" w:cs="Times New Roman"/>
          <w:szCs w:val="22"/>
        </w:rPr>
        <w:t xml:space="preserve">the </w:t>
      </w:r>
      <w:r w:rsidR="00D710FC" w:rsidRPr="005A53E1">
        <w:rPr>
          <w:rFonts w:ascii="Times New Roman" w:hAnsi="Times New Roman" w:cs="Times New Roman"/>
          <w:szCs w:val="22"/>
        </w:rPr>
        <w:t>1° x 1° area (approximately 11.4 x10</w:t>
      </w:r>
      <w:r w:rsidR="00D710FC" w:rsidRPr="005A53E1">
        <w:rPr>
          <w:rFonts w:ascii="Times New Roman" w:hAnsi="Times New Roman" w:cs="Times New Roman"/>
          <w:szCs w:val="22"/>
          <w:vertAlign w:val="superscript"/>
        </w:rPr>
        <w:t>3</w:t>
      </w:r>
      <w:r w:rsidR="00D710FC" w:rsidRPr="005A53E1">
        <w:rPr>
          <w:rFonts w:ascii="Times New Roman" w:hAnsi="Times New Roman" w:cs="Times New Roman"/>
          <w:szCs w:val="22"/>
        </w:rPr>
        <w:t xml:space="preserve"> km</w:t>
      </w:r>
      <w:r w:rsidR="00D710FC" w:rsidRPr="005A53E1">
        <w:rPr>
          <w:rFonts w:ascii="Times New Roman" w:hAnsi="Times New Roman" w:cs="Times New Roman"/>
          <w:szCs w:val="22"/>
          <w:vertAlign w:val="superscript"/>
        </w:rPr>
        <w:t>2</w:t>
      </w:r>
      <w:r w:rsidR="00D710FC" w:rsidRPr="005A53E1">
        <w:rPr>
          <w:rFonts w:ascii="Times New Roman" w:hAnsi="Times New Roman" w:cs="Times New Roman"/>
          <w:szCs w:val="22"/>
        </w:rPr>
        <w:t xml:space="preserve">) in which </w:t>
      </w:r>
      <w:r w:rsidRPr="005A53E1">
        <w:rPr>
          <w:rFonts w:ascii="Times New Roman" w:hAnsi="Times New Roman" w:cs="Times New Roman"/>
          <w:szCs w:val="22"/>
        </w:rPr>
        <w:t>the 1887 km</w:t>
      </w:r>
      <w:r w:rsidRPr="005A53E1">
        <w:rPr>
          <w:rFonts w:ascii="Times New Roman" w:hAnsi="Times New Roman" w:cs="Times New Roman"/>
          <w:szCs w:val="22"/>
          <w:vertAlign w:val="superscript"/>
        </w:rPr>
        <w:t>2</w:t>
      </w:r>
      <w:r w:rsidRPr="005A53E1">
        <w:rPr>
          <w:rFonts w:ascii="Times New Roman" w:hAnsi="Times New Roman" w:cs="Times New Roman"/>
          <w:szCs w:val="22"/>
        </w:rPr>
        <w:t xml:space="preserve"> </w:t>
      </w:r>
      <w:r w:rsidR="00D710FC" w:rsidRPr="005A53E1">
        <w:rPr>
          <w:rFonts w:ascii="Times New Roman" w:hAnsi="Times New Roman" w:cs="Times New Roman"/>
          <w:szCs w:val="22"/>
        </w:rPr>
        <w:t xml:space="preserve">Kolkata metropolitan </w:t>
      </w:r>
      <w:r w:rsidR="00E05CA3" w:rsidRPr="005A53E1">
        <w:rPr>
          <w:rFonts w:ascii="Times New Roman" w:hAnsi="Times New Roman" w:cs="Times New Roman"/>
          <w:szCs w:val="22"/>
        </w:rPr>
        <w:t xml:space="preserve">city </w:t>
      </w:r>
      <w:r w:rsidR="00D710FC" w:rsidRPr="005A53E1">
        <w:rPr>
          <w:rFonts w:ascii="Times New Roman" w:hAnsi="Times New Roman" w:cs="Times New Roman"/>
          <w:szCs w:val="22"/>
        </w:rPr>
        <w:t>is situated. Guttikunda et. al. (2003) projected SO</w:t>
      </w:r>
      <w:r w:rsidR="00D710FC" w:rsidRPr="005A53E1">
        <w:rPr>
          <w:rFonts w:ascii="Times New Roman" w:hAnsi="Times New Roman" w:cs="Times New Roman"/>
          <w:szCs w:val="22"/>
          <w:vertAlign w:val="subscript"/>
        </w:rPr>
        <w:t>2</w:t>
      </w:r>
      <w:r w:rsidR="00D710FC" w:rsidRPr="005A53E1">
        <w:rPr>
          <w:rFonts w:ascii="Times New Roman" w:hAnsi="Times New Roman" w:cs="Times New Roman"/>
          <w:szCs w:val="22"/>
        </w:rPr>
        <w:t xml:space="preserve"> emission</w:t>
      </w:r>
      <w:r w:rsidR="008B541D" w:rsidRPr="005A53E1">
        <w:rPr>
          <w:rFonts w:ascii="Times New Roman" w:hAnsi="Times New Roman" w:cs="Times New Roman"/>
          <w:szCs w:val="22"/>
        </w:rPr>
        <w:t>s</w:t>
      </w:r>
      <w:r w:rsidR="00D710FC" w:rsidRPr="005A53E1">
        <w:rPr>
          <w:rFonts w:ascii="Times New Roman" w:hAnsi="Times New Roman" w:cs="Times New Roman"/>
          <w:szCs w:val="22"/>
        </w:rPr>
        <w:t xml:space="preserve"> for 2010 as 200.7 kt, </w:t>
      </w:r>
      <w:r w:rsidR="008B541D" w:rsidRPr="005A53E1">
        <w:rPr>
          <w:rFonts w:ascii="Times New Roman" w:hAnsi="Times New Roman" w:cs="Times New Roman"/>
          <w:szCs w:val="22"/>
        </w:rPr>
        <w:t xml:space="preserve">which is </w:t>
      </w:r>
      <w:r w:rsidR="00D710FC" w:rsidRPr="005A53E1">
        <w:rPr>
          <w:rFonts w:ascii="Times New Roman" w:hAnsi="Times New Roman" w:cs="Times New Roman"/>
          <w:szCs w:val="22"/>
        </w:rPr>
        <w:t xml:space="preserve">much higher than </w:t>
      </w:r>
      <w:r w:rsidR="00194D05" w:rsidRPr="005A53E1">
        <w:rPr>
          <w:rFonts w:ascii="Times New Roman" w:hAnsi="Times New Roman" w:cs="Times New Roman"/>
          <w:szCs w:val="22"/>
        </w:rPr>
        <w:t xml:space="preserve">in </w:t>
      </w:r>
      <w:r w:rsidR="00D710FC" w:rsidRPr="005A53E1">
        <w:rPr>
          <w:rFonts w:ascii="Times New Roman" w:hAnsi="Times New Roman" w:cs="Times New Roman"/>
          <w:szCs w:val="22"/>
        </w:rPr>
        <w:t>our estimated SO</w:t>
      </w:r>
      <w:r w:rsidR="00D710FC" w:rsidRPr="005A53E1">
        <w:rPr>
          <w:rFonts w:ascii="Times New Roman" w:hAnsi="Times New Roman" w:cs="Times New Roman"/>
          <w:szCs w:val="22"/>
          <w:vertAlign w:val="subscript"/>
        </w:rPr>
        <w:t>2</w:t>
      </w:r>
      <w:r w:rsidR="00D710FC" w:rsidRPr="005A53E1">
        <w:rPr>
          <w:rFonts w:ascii="Times New Roman" w:hAnsi="Times New Roman" w:cs="Times New Roman"/>
          <w:szCs w:val="22"/>
        </w:rPr>
        <w:t xml:space="preserve"> emission</w:t>
      </w:r>
      <w:r w:rsidR="008B541D" w:rsidRPr="005A53E1">
        <w:rPr>
          <w:rFonts w:ascii="Times New Roman" w:hAnsi="Times New Roman" w:cs="Times New Roman"/>
          <w:szCs w:val="22"/>
        </w:rPr>
        <w:t>s</w:t>
      </w:r>
      <w:r w:rsidR="00D710FC" w:rsidRPr="005A53E1">
        <w:rPr>
          <w:rFonts w:ascii="Times New Roman" w:hAnsi="Times New Roman" w:cs="Times New Roman"/>
          <w:szCs w:val="22"/>
        </w:rPr>
        <w:t xml:space="preserve"> for 2015. Guttikunda et al. (2003)</w:t>
      </w:r>
      <w:r w:rsidR="00774A64" w:rsidRPr="005A53E1">
        <w:rPr>
          <w:rFonts w:ascii="Times New Roman" w:hAnsi="Times New Roman" w:cs="Times New Roman"/>
          <w:szCs w:val="22"/>
        </w:rPr>
        <w:t xml:space="preserve"> </w:t>
      </w:r>
      <w:r w:rsidR="00D710FC" w:rsidRPr="005A53E1">
        <w:rPr>
          <w:rFonts w:ascii="Times New Roman" w:hAnsi="Times New Roman" w:cs="Times New Roman"/>
          <w:szCs w:val="22"/>
        </w:rPr>
        <w:t>considered all source</w:t>
      </w:r>
      <w:r w:rsidR="00194D05" w:rsidRPr="005A53E1">
        <w:rPr>
          <w:rFonts w:ascii="Times New Roman" w:hAnsi="Times New Roman" w:cs="Times New Roman"/>
          <w:szCs w:val="22"/>
        </w:rPr>
        <w:t>s</w:t>
      </w:r>
      <w:r w:rsidR="00D710FC" w:rsidRPr="005A53E1">
        <w:rPr>
          <w:rFonts w:ascii="Times New Roman" w:hAnsi="Times New Roman" w:cs="Times New Roman"/>
          <w:szCs w:val="22"/>
        </w:rPr>
        <w:t xml:space="preserve"> operating outside </w:t>
      </w:r>
      <w:r w:rsidR="008B541D" w:rsidRPr="005A53E1">
        <w:rPr>
          <w:rFonts w:ascii="Times New Roman" w:hAnsi="Times New Roman" w:cs="Times New Roman"/>
          <w:szCs w:val="22"/>
        </w:rPr>
        <w:t xml:space="preserve">the </w:t>
      </w:r>
      <w:r w:rsidR="00A7166F" w:rsidRPr="005A53E1">
        <w:rPr>
          <w:rFonts w:ascii="Times New Roman" w:hAnsi="Times New Roman" w:cs="Times New Roman"/>
          <w:szCs w:val="22"/>
        </w:rPr>
        <w:t>KMC</w:t>
      </w:r>
      <w:r w:rsidR="00D710FC" w:rsidRPr="005A53E1">
        <w:rPr>
          <w:rFonts w:ascii="Times New Roman" w:hAnsi="Times New Roman" w:cs="Times New Roman"/>
          <w:szCs w:val="22"/>
        </w:rPr>
        <w:t xml:space="preserve"> boundary but within the study domain</w:t>
      </w:r>
      <w:r w:rsidR="00194D05" w:rsidRPr="005A53E1">
        <w:rPr>
          <w:rFonts w:ascii="Times New Roman" w:hAnsi="Times New Roman" w:cs="Times New Roman"/>
          <w:szCs w:val="22"/>
        </w:rPr>
        <w:t>,</w:t>
      </w:r>
      <w:r w:rsidR="00D710FC" w:rsidRPr="005A53E1">
        <w:rPr>
          <w:rFonts w:ascii="Times New Roman" w:hAnsi="Times New Roman" w:cs="Times New Roman"/>
          <w:szCs w:val="22"/>
        </w:rPr>
        <w:t xml:space="preserve"> which is not considered in our estimate</w:t>
      </w:r>
      <w:r w:rsidR="00463E62" w:rsidRPr="005A53E1">
        <w:rPr>
          <w:rFonts w:ascii="Times New Roman" w:hAnsi="Times New Roman" w:cs="Times New Roman"/>
          <w:szCs w:val="22"/>
        </w:rPr>
        <w:t>s</w:t>
      </w:r>
      <w:r w:rsidR="008B541D" w:rsidRPr="005A53E1">
        <w:rPr>
          <w:rFonts w:ascii="Times New Roman" w:hAnsi="Times New Roman" w:cs="Times New Roman"/>
          <w:szCs w:val="22"/>
        </w:rPr>
        <w:t>; that</w:t>
      </w:r>
      <w:r w:rsidR="00774A64" w:rsidRPr="005A53E1">
        <w:rPr>
          <w:rFonts w:ascii="Times New Roman" w:hAnsi="Times New Roman" w:cs="Times New Roman"/>
          <w:szCs w:val="22"/>
        </w:rPr>
        <w:t xml:space="preserve"> </w:t>
      </w:r>
      <w:r w:rsidR="00D710FC" w:rsidRPr="005A53E1">
        <w:rPr>
          <w:rFonts w:ascii="Times New Roman" w:hAnsi="Times New Roman" w:cs="Times New Roman"/>
          <w:szCs w:val="22"/>
        </w:rPr>
        <w:t xml:space="preserve">may </w:t>
      </w:r>
      <w:r w:rsidR="008B541D" w:rsidRPr="005A53E1">
        <w:rPr>
          <w:rFonts w:ascii="Times New Roman" w:hAnsi="Times New Roman" w:cs="Times New Roman"/>
          <w:szCs w:val="22"/>
        </w:rPr>
        <w:t xml:space="preserve">have </w:t>
      </w:r>
      <w:r w:rsidR="00D710FC" w:rsidRPr="005A53E1">
        <w:rPr>
          <w:rFonts w:ascii="Times New Roman" w:hAnsi="Times New Roman" w:cs="Times New Roman"/>
          <w:szCs w:val="22"/>
        </w:rPr>
        <w:t>resulted in a higher estimate than</w:t>
      </w:r>
      <w:r w:rsidR="00774A64" w:rsidRPr="005A53E1">
        <w:rPr>
          <w:rFonts w:ascii="Times New Roman" w:hAnsi="Times New Roman" w:cs="Times New Roman"/>
          <w:szCs w:val="22"/>
        </w:rPr>
        <w:t xml:space="preserve"> </w:t>
      </w:r>
      <w:r w:rsidR="00D710FC" w:rsidRPr="005A53E1">
        <w:rPr>
          <w:rFonts w:ascii="Times New Roman" w:hAnsi="Times New Roman" w:cs="Times New Roman"/>
          <w:szCs w:val="22"/>
        </w:rPr>
        <w:t xml:space="preserve">in </w:t>
      </w:r>
      <w:r w:rsidR="008B541D" w:rsidRPr="005A53E1">
        <w:rPr>
          <w:rFonts w:ascii="Times New Roman" w:hAnsi="Times New Roman" w:cs="Times New Roman"/>
          <w:szCs w:val="22"/>
        </w:rPr>
        <w:t xml:space="preserve">the </w:t>
      </w:r>
      <w:r w:rsidR="00D710FC" w:rsidRPr="005A53E1">
        <w:rPr>
          <w:rFonts w:ascii="Times New Roman" w:hAnsi="Times New Roman" w:cs="Times New Roman"/>
          <w:szCs w:val="22"/>
        </w:rPr>
        <w:t>present study. Gurjar et al. (2010) estimated 21 kt of SO</w:t>
      </w:r>
      <w:r w:rsidR="00D710FC" w:rsidRPr="005A53E1">
        <w:rPr>
          <w:rFonts w:ascii="Times New Roman" w:hAnsi="Times New Roman" w:cs="Times New Roman"/>
          <w:szCs w:val="22"/>
          <w:vertAlign w:val="subscript"/>
        </w:rPr>
        <w:t>2</w:t>
      </w:r>
      <w:r w:rsidR="00D710FC" w:rsidRPr="005A53E1">
        <w:rPr>
          <w:rFonts w:ascii="Times New Roman" w:hAnsi="Times New Roman" w:cs="Times New Roman"/>
          <w:szCs w:val="22"/>
        </w:rPr>
        <w:t xml:space="preserve"> emission</w:t>
      </w:r>
      <w:r w:rsidR="00194D05" w:rsidRPr="005A53E1">
        <w:rPr>
          <w:rFonts w:ascii="Times New Roman" w:hAnsi="Times New Roman" w:cs="Times New Roman"/>
          <w:szCs w:val="22"/>
        </w:rPr>
        <w:t>s</w:t>
      </w:r>
      <w:r w:rsidR="00D710FC" w:rsidRPr="005A53E1">
        <w:rPr>
          <w:rFonts w:ascii="Times New Roman" w:hAnsi="Times New Roman" w:cs="Times New Roman"/>
          <w:szCs w:val="22"/>
        </w:rPr>
        <w:t xml:space="preserve"> in 2010 from </w:t>
      </w:r>
      <w:r w:rsidR="008B541D" w:rsidRPr="005A53E1">
        <w:rPr>
          <w:rFonts w:ascii="Times New Roman" w:hAnsi="Times New Roman" w:cs="Times New Roman"/>
          <w:szCs w:val="22"/>
        </w:rPr>
        <w:t xml:space="preserve">the </w:t>
      </w:r>
      <w:r w:rsidR="00D710FC" w:rsidRPr="005A53E1">
        <w:rPr>
          <w:rFonts w:ascii="Times New Roman" w:hAnsi="Times New Roman" w:cs="Times New Roman"/>
          <w:szCs w:val="22"/>
        </w:rPr>
        <w:t>transport sector</w:t>
      </w:r>
      <w:r w:rsidR="008B541D" w:rsidRPr="005A53E1">
        <w:rPr>
          <w:rFonts w:ascii="Times New Roman" w:hAnsi="Times New Roman" w:cs="Times New Roman"/>
          <w:szCs w:val="22"/>
        </w:rPr>
        <w:t xml:space="preserve"> which is</w:t>
      </w:r>
      <w:r w:rsidR="00D710FC" w:rsidRPr="005A53E1">
        <w:rPr>
          <w:rFonts w:ascii="Times New Roman" w:hAnsi="Times New Roman" w:cs="Times New Roman"/>
          <w:szCs w:val="22"/>
        </w:rPr>
        <w:t xml:space="preserve"> much higher than </w:t>
      </w:r>
      <w:r w:rsidR="00194D05" w:rsidRPr="005A53E1">
        <w:rPr>
          <w:rFonts w:ascii="Times New Roman" w:hAnsi="Times New Roman" w:cs="Times New Roman"/>
          <w:szCs w:val="22"/>
        </w:rPr>
        <w:t xml:space="preserve">in </w:t>
      </w:r>
      <w:r w:rsidR="00330A33" w:rsidRPr="005A53E1">
        <w:rPr>
          <w:rFonts w:ascii="Times New Roman" w:hAnsi="Times New Roman" w:cs="Times New Roman"/>
          <w:szCs w:val="22"/>
        </w:rPr>
        <w:t xml:space="preserve">this </w:t>
      </w:r>
      <w:r w:rsidR="00D710FC" w:rsidRPr="005A53E1">
        <w:rPr>
          <w:rFonts w:ascii="Times New Roman" w:hAnsi="Times New Roman" w:cs="Times New Roman"/>
          <w:szCs w:val="22"/>
        </w:rPr>
        <w:t xml:space="preserve">study. </w:t>
      </w:r>
      <w:r w:rsidR="008B541D" w:rsidRPr="005A53E1">
        <w:rPr>
          <w:rFonts w:ascii="Times New Roman" w:hAnsi="Times New Roman" w:cs="Times New Roman"/>
          <w:szCs w:val="22"/>
        </w:rPr>
        <w:t xml:space="preserve">As </w:t>
      </w:r>
      <w:r w:rsidR="00D710FC" w:rsidRPr="005A53E1">
        <w:rPr>
          <w:rFonts w:ascii="Times New Roman" w:hAnsi="Times New Roman" w:cs="Times New Roman"/>
          <w:szCs w:val="22"/>
        </w:rPr>
        <w:t>Gurjar et al. (2010) projected 2010 emission</w:t>
      </w:r>
      <w:r w:rsidR="00194D05" w:rsidRPr="005A53E1">
        <w:rPr>
          <w:rFonts w:ascii="Times New Roman" w:hAnsi="Times New Roman" w:cs="Times New Roman"/>
          <w:szCs w:val="22"/>
        </w:rPr>
        <w:t>s</w:t>
      </w:r>
      <w:r w:rsidR="00D710FC" w:rsidRPr="005A53E1">
        <w:rPr>
          <w:rFonts w:ascii="Times New Roman" w:hAnsi="Times New Roman" w:cs="Times New Roman"/>
          <w:szCs w:val="22"/>
        </w:rPr>
        <w:t xml:space="preserve"> based on 2000 and 2005 data</w:t>
      </w:r>
      <w:r w:rsidR="008B541D" w:rsidRPr="005A53E1">
        <w:rPr>
          <w:rFonts w:ascii="Times New Roman" w:hAnsi="Times New Roman" w:cs="Times New Roman"/>
          <w:szCs w:val="22"/>
        </w:rPr>
        <w:t>,</w:t>
      </w:r>
      <w:r w:rsidR="00774A64" w:rsidRPr="005A53E1">
        <w:rPr>
          <w:rFonts w:ascii="Times New Roman" w:hAnsi="Times New Roman" w:cs="Times New Roman"/>
          <w:szCs w:val="22"/>
        </w:rPr>
        <w:t xml:space="preserve"> </w:t>
      </w:r>
      <w:r w:rsidR="00D710FC" w:rsidRPr="005A53E1">
        <w:rPr>
          <w:rFonts w:ascii="Times New Roman" w:hAnsi="Times New Roman" w:cs="Times New Roman"/>
          <w:szCs w:val="22"/>
        </w:rPr>
        <w:t>the effect of banning of old vehicle</w:t>
      </w:r>
      <w:r w:rsidR="008B541D" w:rsidRPr="005A53E1">
        <w:rPr>
          <w:rFonts w:ascii="Times New Roman" w:hAnsi="Times New Roman" w:cs="Times New Roman"/>
          <w:szCs w:val="22"/>
        </w:rPr>
        <w:t>s</w:t>
      </w:r>
      <w:r w:rsidR="00D710FC" w:rsidRPr="005A53E1">
        <w:rPr>
          <w:rFonts w:ascii="Times New Roman" w:hAnsi="Times New Roman" w:cs="Times New Roman"/>
          <w:szCs w:val="22"/>
        </w:rPr>
        <w:t xml:space="preserve"> in 2009 may not been considered</w:t>
      </w:r>
      <w:r w:rsidR="00194D05" w:rsidRPr="005A53E1">
        <w:rPr>
          <w:rFonts w:ascii="Times New Roman" w:hAnsi="Times New Roman" w:cs="Times New Roman"/>
          <w:szCs w:val="22"/>
        </w:rPr>
        <w:t>,</w:t>
      </w:r>
      <w:r w:rsidR="00D710FC" w:rsidRPr="005A53E1">
        <w:rPr>
          <w:rFonts w:ascii="Times New Roman" w:hAnsi="Times New Roman" w:cs="Times New Roman"/>
          <w:szCs w:val="22"/>
        </w:rPr>
        <w:t xml:space="preserve"> resulting in a higher estimate than ours. Moreover, </w:t>
      </w:r>
      <w:r w:rsidR="00D710FC" w:rsidRPr="00AC18ED">
        <w:rPr>
          <w:rFonts w:ascii="Times New Roman" w:hAnsi="Times New Roman" w:cs="Times New Roman"/>
          <w:szCs w:val="22"/>
        </w:rPr>
        <w:t xml:space="preserve">low sulfur fuel with &lt;0.05 ppm (both </w:t>
      </w:r>
      <w:r w:rsidR="00D710FC" w:rsidRPr="005A53E1">
        <w:rPr>
          <w:rFonts w:ascii="Times New Roman" w:hAnsi="Times New Roman" w:cs="Times New Roman"/>
          <w:szCs w:val="22"/>
        </w:rPr>
        <w:t xml:space="preserve">diesel and </w:t>
      </w:r>
      <w:r w:rsidR="00463E62" w:rsidRPr="005A53E1">
        <w:rPr>
          <w:rFonts w:ascii="Times New Roman" w:hAnsi="Times New Roman" w:cs="Times New Roman"/>
          <w:szCs w:val="22"/>
        </w:rPr>
        <w:t>gasoline</w:t>
      </w:r>
      <w:r w:rsidR="00D710FC" w:rsidRPr="005A53E1">
        <w:rPr>
          <w:rFonts w:ascii="Times New Roman" w:hAnsi="Times New Roman" w:cs="Times New Roman"/>
          <w:szCs w:val="22"/>
        </w:rPr>
        <w:t xml:space="preserve">) </w:t>
      </w:r>
      <w:r w:rsidR="00194D05" w:rsidRPr="005A53E1">
        <w:rPr>
          <w:rFonts w:ascii="Times New Roman" w:hAnsi="Times New Roman" w:cs="Times New Roman"/>
          <w:szCs w:val="22"/>
        </w:rPr>
        <w:t xml:space="preserve">was </w:t>
      </w:r>
      <w:r w:rsidR="00D710FC" w:rsidRPr="005A53E1">
        <w:rPr>
          <w:rFonts w:ascii="Times New Roman" w:hAnsi="Times New Roman" w:cs="Times New Roman"/>
          <w:szCs w:val="22"/>
        </w:rPr>
        <w:t>made available from January 2001</w:t>
      </w:r>
      <w:r w:rsidR="00194D05" w:rsidRPr="005A53E1">
        <w:rPr>
          <w:rFonts w:ascii="Times New Roman" w:hAnsi="Times New Roman" w:cs="Times New Roman"/>
          <w:szCs w:val="22"/>
        </w:rPr>
        <w:t>,</w:t>
      </w:r>
      <w:r w:rsidR="00D710FC" w:rsidRPr="005A53E1">
        <w:rPr>
          <w:rFonts w:ascii="Times New Roman" w:hAnsi="Times New Roman" w:cs="Times New Roman"/>
          <w:szCs w:val="22"/>
        </w:rPr>
        <w:t xml:space="preserve"> far earlier than </w:t>
      </w:r>
      <w:r w:rsidR="00194D05" w:rsidRPr="005A53E1">
        <w:rPr>
          <w:rFonts w:ascii="Times New Roman" w:hAnsi="Times New Roman" w:cs="Times New Roman"/>
          <w:szCs w:val="22"/>
        </w:rPr>
        <w:t xml:space="preserve">in </w:t>
      </w:r>
      <w:r w:rsidR="00D710FC" w:rsidRPr="005A53E1">
        <w:rPr>
          <w:rFonts w:ascii="Times New Roman" w:hAnsi="Times New Roman" w:cs="Times New Roman"/>
          <w:szCs w:val="22"/>
        </w:rPr>
        <w:t>other states (APR</w:t>
      </w:r>
      <w:r w:rsidR="00330A33" w:rsidRPr="005A53E1">
        <w:rPr>
          <w:rFonts w:ascii="Times New Roman" w:hAnsi="Times New Roman" w:cs="Times New Roman"/>
          <w:szCs w:val="22"/>
        </w:rPr>
        <w:t>,</w:t>
      </w:r>
      <w:r w:rsidR="00463E62" w:rsidRPr="005A53E1">
        <w:rPr>
          <w:rFonts w:ascii="Times New Roman" w:hAnsi="Times New Roman" w:cs="Times New Roman"/>
          <w:szCs w:val="22"/>
        </w:rPr>
        <w:t xml:space="preserve"> </w:t>
      </w:r>
      <w:r w:rsidR="00B846B9" w:rsidRPr="005A53E1">
        <w:rPr>
          <w:rFonts w:ascii="Times New Roman" w:hAnsi="Times New Roman" w:cs="Times New Roman"/>
          <w:szCs w:val="22"/>
        </w:rPr>
        <w:t>2015</w:t>
      </w:r>
      <w:r w:rsidR="00D710FC" w:rsidRPr="005A53E1">
        <w:rPr>
          <w:rFonts w:ascii="Times New Roman" w:hAnsi="Times New Roman" w:cs="Times New Roman"/>
          <w:szCs w:val="22"/>
        </w:rPr>
        <w:t xml:space="preserve">). </w:t>
      </w:r>
      <w:r w:rsidR="008B541D" w:rsidRPr="005A53E1">
        <w:rPr>
          <w:rFonts w:ascii="Times New Roman" w:hAnsi="Times New Roman" w:cs="Times New Roman"/>
          <w:szCs w:val="22"/>
        </w:rPr>
        <w:t>For</w:t>
      </w:r>
      <w:r w:rsidR="00D710FC" w:rsidRPr="005A53E1">
        <w:rPr>
          <w:rFonts w:ascii="Times New Roman" w:hAnsi="Times New Roman" w:cs="Times New Roman"/>
          <w:szCs w:val="22"/>
        </w:rPr>
        <w:t xml:space="preserve"> 2011,</w:t>
      </w:r>
      <w:r w:rsidR="008B541D" w:rsidRPr="005A53E1">
        <w:rPr>
          <w:rFonts w:ascii="Times New Roman" w:hAnsi="Times New Roman" w:cs="Times New Roman"/>
          <w:szCs w:val="22"/>
        </w:rPr>
        <w:t xml:space="preserve"> however,</w:t>
      </w:r>
      <w:r w:rsidR="00D710FC" w:rsidRPr="005A53E1">
        <w:rPr>
          <w:rFonts w:ascii="Times New Roman" w:hAnsi="Times New Roman" w:cs="Times New Roman"/>
          <w:szCs w:val="22"/>
        </w:rPr>
        <w:t xml:space="preserve"> </w:t>
      </w:r>
      <w:r w:rsidR="00194D05" w:rsidRPr="005A53E1">
        <w:rPr>
          <w:rFonts w:ascii="Times New Roman" w:hAnsi="Times New Roman" w:cs="Times New Roman"/>
          <w:szCs w:val="22"/>
        </w:rPr>
        <w:t xml:space="preserve">the </w:t>
      </w:r>
      <w:r w:rsidR="00D710FC" w:rsidRPr="005A53E1">
        <w:rPr>
          <w:rFonts w:ascii="Times New Roman" w:hAnsi="Times New Roman" w:cs="Times New Roman"/>
          <w:szCs w:val="22"/>
        </w:rPr>
        <w:t>SO</w:t>
      </w:r>
      <w:r w:rsidR="00D710FC" w:rsidRPr="005A53E1">
        <w:rPr>
          <w:rFonts w:ascii="Times New Roman" w:hAnsi="Times New Roman" w:cs="Times New Roman"/>
          <w:szCs w:val="22"/>
          <w:vertAlign w:val="subscript"/>
        </w:rPr>
        <w:t>2</w:t>
      </w:r>
      <w:r w:rsidR="00D710FC" w:rsidRPr="005A53E1">
        <w:rPr>
          <w:rFonts w:ascii="Times New Roman" w:hAnsi="Times New Roman" w:cs="Times New Roman"/>
          <w:szCs w:val="22"/>
        </w:rPr>
        <w:t xml:space="preserve"> emission</w:t>
      </w:r>
      <w:r w:rsidR="008B541D" w:rsidRPr="005A53E1">
        <w:rPr>
          <w:rFonts w:ascii="Times New Roman" w:hAnsi="Times New Roman" w:cs="Times New Roman"/>
          <w:szCs w:val="22"/>
        </w:rPr>
        <w:t xml:space="preserve">s </w:t>
      </w:r>
      <w:r w:rsidR="00336942" w:rsidRPr="005A53E1">
        <w:rPr>
          <w:rFonts w:ascii="Times New Roman" w:hAnsi="Times New Roman" w:cs="Times New Roman"/>
          <w:szCs w:val="22"/>
        </w:rPr>
        <w:t xml:space="preserve">from transport sector </w:t>
      </w:r>
      <w:r w:rsidR="008B541D" w:rsidRPr="005A53E1">
        <w:rPr>
          <w:rFonts w:ascii="Times New Roman" w:hAnsi="Times New Roman" w:cs="Times New Roman"/>
          <w:szCs w:val="22"/>
        </w:rPr>
        <w:t>are</w:t>
      </w:r>
      <w:r w:rsidR="00774A64" w:rsidRPr="005A53E1">
        <w:rPr>
          <w:rFonts w:ascii="Times New Roman" w:hAnsi="Times New Roman" w:cs="Times New Roman"/>
          <w:szCs w:val="22"/>
        </w:rPr>
        <w:t xml:space="preserve"> </w:t>
      </w:r>
      <w:r w:rsidR="00D710FC" w:rsidRPr="005A53E1">
        <w:rPr>
          <w:rFonts w:ascii="Times New Roman" w:hAnsi="Times New Roman" w:cs="Times New Roman"/>
          <w:szCs w:val="22"/>
        </w:rPr>
        <w:t xml:space="preserve">estimated to be only 0.15 ton/day (54.8 ton/year) within </w:t>
      </w:r>
      <w:r w:rsidR="00194D05" w:rsidRPr="005A53E1">
        <w:rPr>
          <w:rFonts w:ascii="Times New Roman" w:hAnsi="Times New Roman" w:cs="Times New Roman"/>
          <w:szCs w:val="22"/>
        </w:rPr>
        <w:t xml:space="preserve">the </w:t>
      </w:r>
      <w:r w:rsidR="00D710FC" w:rsidRPr="005A53E1">
        <w:rPr>
          <w:rFonts w:ascii="Times New Roman" w:hAnsi="Times New Roman" w:cs="Times New Roman"/>
          <w:szCs w:val="22"/>
        </w:rPr>
        <w:t>city limits (CPCB</w:t>
      </w:r>
      <w:r w:rsidR="00330A33" w:rsidRPr="005A53E1">
        <w:rPr>
          <w:rFonts w:ascii="Times New Roman" w:hAnsi="Times New Roman" w:cs="Times New Roman"/>
          <w:szCs w:val="22"/>
        </w:rPr>
        <w:t>,</w:t>
      </w:r>
      <w:r w:rsidR="00D710FC" w:rsidRPr="005A53E1">
        <w:rPr>
          <w:rFonts w:ascii="Times New Roman" w:hAnsi="Times New Roman" w:cs="Times New Roman"/>
          <w:szCs w:val="22"/>
        </w:rPr>
        <w:t xml:space="preserve"> 2015</w:t>
      </w:r>
      <w:r w:rsidR="00330A33" w:rsidRPr="005A53E1">
        <w:rPr>
          <w:rFonts w:ascii="Times New Roman" w:hAnsi="Times New Roman" w:cs="Times New Roman"/>
          <w:szCs w:val="22"/>
        </w:rPr>
        <w:t>b</w:t>
      </w:r>
      <w:r w:rsidR="00D710FC" w:rsidRPr="005A53E1">
        <w:rPr>
          <w:rFonts w:ascii="Times New Roman" w:hAnsi="Times New Roman" w:cs="Times New Roman"/>
          <w:szCs w:val="22"/>
        </w:rPr>
        <w:t>). Srivastava and Majumdar (2010) reported only evaporative emission of VOCs for Kolkata city along with other metro cities of India.</w:t>
      </w:r>
      <w:r w:rsidR="00774A64" w:rsidRPr="005A53E1">
        <w:rPr>
          <w:rFonts w:ascii="Times New Roman" w:hAnsi="Times New Roman" w:cs="Times New Roman"/>
          <w:szCs w:val="22"/>
        </w:rPr>
        <w:t xml:space="preserve"> </w:t>
      </w:r>
    </w:p>
    <w:p w14:paraId="0EE3C1C5" w14:textId="757FA819" w:rsidR="00D710FC" w:rsidRPr="00AC18ED" w:rsidRDefault="00194D05" w:rsidP="00AC18ED">
      <w:pPr>
        <w:spacing w:after="120" w:line="276" w:lineRule="auto"/>
        <w:jc w:val="both"/>
        <w:rPr>
          <w:rFonts w:ascii="Times New Roman" w:hAnsi="Times New Roman" w:cs="Times New Roman"/>
          <w:szCs w:val="22"/>
        </w:rPr>
      </w:pPr>
      <w:r>
        <w:rPr>
          <w:rFonts w:ascii="Times New Roman" w:hAnsi="Times New Roman" w:cs="Times New Roman"/>
          <w:szCs w:val="22"/>
        </w:rPr>
        <w:t>For comparison</w:t>
      </w:r>
      <w:r w:rsidR="00D710FC" w:rsidRPr="00AC18ED">
        <w:rPr>
          <w:rFonts w:ascii="Times New Roman" w:hAnsi="Times New Roman" w:cs="Times New Roman"/>
          <w:szCs w:val="22"/>
        </w:rPr>
        <w:t>, there are very limited studies on emission</w:t>
      </w:r>
      <w:r w:rsidR="00774A64">
        <w:rPr>
          <w:rFonts w:ascii="Times New Roman" w:hAnsi="Times New Roman" w:cs="Times New Roman"/>
          <w:szCs w:val="22"/>
        </w:rPr>
        <w:t xml:space="preserve"> </w:t>
      </w:r>
      <w:r w:rsidR="0042714E" w:rsidRPr="00AC18ED">
        <w:rPr>
          <w:rFonts w:ascii="Times New Roman" w:hAnsi="Times New Roman" w:cs="Times New Roman"/>
          <w:szCs w:val="22"/>
        </w:rPr>
        <w:t>inventor</w:t>
      </w:r>
      <w:r w:rsidR="0042714E">
        <w:rPr>
          <w:rFonts w:ascii="Times New Roman" w:hAnsi="Times New Roman" w:cs="Times New Roman"/>
          <w:szCs w:val="22"/>
        </w:rPr>
        <w:t>ies</w:t>
      </w:r>
      <w:r w:rsidR="0042714E" w:rsidRPr="00AC18ED">
        <w:rPr>
          <w:rFonts w:ascii="Times New Roman" w:hAnsi="Times New Roman" w:cs="Times New Roman"/>
          <w:szCs w:val="22"/>
        </w:rPr>
        <w:t xml:space="preserve"> </w:t>
      </w:r>
      <w:r w:rsidR="00D710FC" w:rsidRPr="00AC18ED">
        <w:rPr>
          <w:rFonts w:ascii="Times New Roman" w:hAnsi="Times New Roman" w:cs="Times New Roman"/>
          <w:szCs w:val="22"/>
        </w:rPr>
        <w:t xml:space="preserve">of air pollutants in Kolkata. Most of the studies reported estimates </w:t>
      </w:r>
      <w:r w:rsidR="0042714E">
        <w:rPr>
          <w:rFonts w:ascii="Times New Roman" w:hAnsi="Times New Roman" w:cs="Times New Roman"/>
          <w:szCs w:val="22"/>
        </w:rPr>
        <w:t xml:space="preserve">for a </w:t>
      </w:r>
      <w:r w:rsidR="00D710FC" w:rsidRPr="00AC18ED">
        <w:rPr>
          <w:rFonts w:ascii="Times New Roman" w:hAnsi="Times New Roman" w:cs="Times New Roman"/>
          <w:szCs w:val="22"/>
        </w:rPr>
        <w:t xml:space="preserve">base year </w:t>
      </w:r>
      <w:r w:rsidR="008B541D">
        <w:rPr>
          <w:rFonts w:ascii="Times New Roman" w:hAnsi="Times New Roman" w:cs="Times New Roman"/>
          <w:szCs w:val="22"/>
        </w:rPr>
        <w:t xml:space="preserve">prior to </w:t>
      </w:r>
      <w:r w:rsidR="00D710FC" w:rsidRPr="00AC18ED">
        <w:rPr>
          <w:rFonts w:ascii="Times New Roman" w:hAnsi="Times New Roman" w:cs="Times New Roman"/>
          <w:szCs w:val="22"/>
        </w:rPr>
        <w:t>2005</w:t>
      </w:r>
      <w:r w:rsidR="0042714E">
        <w:rPr>
          <w:rFonts w:ascii="Times New Roman" w:hAnsi="Times New Roman" w:cs="Times New Roman"/>
          <w:szCs w:val="22"/>
        </w:rPr>
        <w:t>,</w:t>
      </w:r>
      <w:r w:rsidR="00774A64">
        <w:rPr>
          <w:rFonts w:ascii="Times New Roman" w:hAnsi="Times New Roman" w:cs="Times New Roman"/>
          <w:szCs w:val="22"/>
        </w:rPr>
        <w:t xml:space="preserve"> </w:t>
      </w:r>
      <w:r w:rsidR="00D710FC" w:rsidRPr="00AC18ED">
        <w:rPr>
          <w:rFonts w:ascii="Times New Roman" w:hAnsi="Times New Roman" w:cs="Times New Roman"/>
          <w:szCs w:val="22"/>
        </w:rPr>
        <w:t xml:space="preserve">and those studies </w:t>
      </w:r>
      <w:r w:rsidR="0042714E">
        <w:rPr>
          <w:rFonts w:ascii="Times New Roman" w:hAnsi="Times New Roman" w:cs="Times New Roman"/>
          <w:szCs w:val="22"/>
        </w:rPr>
        <w:t>mainly</w:t>
      </w:r>
      <w:r w:rsidR="0042714E" w:rsidRPr="00AC18ED">
        <w:rPr>
          <w:rFonts w:ascii="Times New Roman" w:hAnsi="Times New Roman" w:cs="Times New Roman"/>
          <w:szCs w:val="22"/>
        </w:rPr>
        <w:t xml:space="preserve"> </w:t>
      </w:r>
      <w:r w:rsidR="00D710FC" w:rsidRPr="00AC18ED">
        <w:rPr>
          <w:rFonts w:ascii="Times New Roman" w:hAnsi="Times New Roman" w:cs="Times New Roman"/>
          <w:szCs w:val="22"/>
        </w:rPr>
        <w:t>targeted vehicular emissions, power plant</w:t>
      </w:r>
      <w:r w:rsidR="008B541D">
        <w:rPr>
          <w:rFonts w:ascii="Times New Roman" w:hAnsi="Times New Roman" w:cs="Times New Roman"/>
          <w:szCs w:val="22"/>
        </w:rPr>
        <w:t>,</w:t>
      </w:r>
      <w:r w:rsidR="00D710FC" w:rsidRPr="00AC18ED">
        <w:rPr>
          <w:rFonts w:ascii="Times New Roman" w:hAnsi="Times New Roman" w:cs="Times New Roman"/>
          <w:szCs w:val="22"/>
        </w:rPr>
        <w:t xml:space="preserve"> and industrial emissions as major contributors. The studies also </w:t>
      </w:r>
      <w:r w:rsidR="0042714E">
        <w:rPr>
          <w:rFonts w:ascii="Times New Roman" w:hAnsi="Times New Roman" w:cs="Times New Roman"/>
          <w:szCs w:val="22"/>
        </w:rPr>
        <w:t xml:space="preserve">did not </w:t>
      </w:r>
      <w:r w:rsidR="00D710FC" w:rsidRPr="00AC18ED">
        <w:rPr>
          <w:rFonts w:ascii="Times New Roman" w:hAnsi="Times New Roman" w:cs="Times New Roman"/>
          <w:szCs w:val="22"/>
        </w:rPr>
        <w:t>account for certain emission sources such as emissions from</w:t>
      </w:r>
      <w:r w:rsidR="008B541D">
        <w:rPr>
          <w:rFonts w:ascii="Times New Roman" w:hAnsi="Times New Roman" w:cs="Times New Roman"/>
          <w:szCs w:val="22"/>
        </w:rPr>
        <w:t xml:space="preserve"> the</w:t>
      </w:r>
      <w:r w:rsidR="00D710FC" w:rsidRPr="00AC18ED">
        <w:rPr>
          <w:rFonts w:ascii="Times New Roman" w:hAnsi="Times New Roman" w:cs="Times New Roman"/>
          <w:szCs w:val="22"/>
        </w:rPr>
        <w:t xml:space="preserve"> residential</w:t>
      </w:r>
      <w:r w:rsidR="00D24B85">
        <w:rPr>
          <w:rFonts w:ascii="Times New Roman" w:hAnsi="Times New Roman" w:cs="Times New Roman"/>
          <w:szCs w:val="22"/>
        </w:rPr>
        <w:t xml:space="preserve">, </w:t>
      </w:r>
      <w:r w:rsidR="00D710FC" w:rsidRPr="00AC18ED">
        <w:rPr>
          <w:rFonts w:ascii="Times New Roman" w:hAnsi="Times New Roman" w:cs="Times New Roman"/>
          <w:szCs w:val="22"/>
        </w:rPr>
        <w:t>commercial</w:t>
      </w:r>
      <w:r w:rsidR="00D24B85">
        <w:rPr>
          <w:rFonts w:ascii="Times New Roman" w:hAnsi="Times New Roman" w:cs="Times New Roman"/>
          <w:szCs w:val="22"/>
        </w:rPr>
        <w:t xml:space="preserve">, </w:t>
      </w:r>
      <w:r w:rsidR="00D710FC" w:rsidRPr="00AC18ED">
        <w:rPr>
          <w:rFonts w:ascii="Times New Roman" w:hAnsi="Times New Roman" w:cs="Times New Roman"/>
          <w:szCs w:val="22"/>
        </w:rPr>
        <w:t>construction</w:t>
      </w:r>
      <w:r w:rsidR="008B541D">
        <w:rPr>
          <w:rFonts w:ascii="Times New Roman" w:hAnsi="Times New Roman" w:cs="Times New Roman"/>
          <w:szCs w:val="22"/>
        </w:rPr>
        <w:t>,</w:t>
      </w:r>
      <w:r w:rsidR="00D710FC" w:rsidRPr="00AC18ED">
        <w:rPr>
          <w:rFonts w:ascii="Times New Roman" w:hAnsi="Times New Roman" w:cs="Times New Roman"/>
          <w:szCs w:val="22"/>
        </w:rPr>
        <w:t xml:space="preserve"> and waste sector</w:t>
      </w:r>
      <w:r w:rsidR="00CA4726">
        <w:rPr>
          <w:rFonts w:ascii="Times New Roman" w:hAnsi="Times New Roman" w:cs="Times New Roman"/>
          <w:szCs w:val="22"/>
        </w:rPr>
        <w:t>,</w:t>
      </w:r>
      <w:r w:rsidR="00D710FC" w:rsidRPr="00AC18ED">
        <w:rPr>
          <w:rFonts w:ascii="Times New Roman" w:hAnsi="Times New Roman" w:cs="Times New Roman"/>
          <w:szCs w:val="22"/>
        </w:rPr>
        <w:t xml:space="preserve"> which </w:t>
      </w:r>
      <w:r w:rsidR="00CA4726" w:rsidRPr="00AC18ED">
        <w:rPr>
          <w:rFonts w:ascii="Times New Roman" w:hAnsi="Times New Roman" w:cs="Times New Roman"/>
          <w:szCs w:val="22"/>
        </w:rPr>
        <w:t>emerge</w:t>
      </w:r>
      <w:r w:rsidR="00CA4726">
        <w:rPr>
          <w:rFonts w:ascii="Times New Roman" w:hAnsi="Times New Roman" w:cs="Times New Roman"/>
          <w:szCs w:val="22"/>
        </w:rPr>
        <w:t xml:space="preserve"> </w:t>
      </w:r>
      <w:r w:rsidR="00D710FC" w:rsidRPr="00AC18ED">
        <w:rPr>
          <w:rFonts w:ascii="Times New Roman" w:hAnsi="Times New Roman" w:cs="Times New Roman"/>
          <w:szCs w:val="22"/>
        </w:rPr>
        <w:t>as significant contributors as of 2015.</w:t>
      </w:r>
      <w:r w:rsidR="00774A64">
        <w:rPr>
          <w:rFonts w:ascii="Times New Roman" w:hAnsi="Times New Roman" w:cs="Times New Roman"/>
          <w:szCs w:val="22"/>
        </w:rPr>
        <w:t xml:space="preserve"> </w:t>
      </w:r>
      <w:r w:rsidR="00D710FC" w:rsidRPr="00AC18ED">
        <w:rPr>
          <w:rFonts w:ascii="Times New Roman" w:hAnsi="Times New Roman" w:cs="Times New Roman"/>
          <w:szCs w:val="22"/>
        </w:rPr>
        <w:t xml:space="preserve"> </w:t>
      </w:r>
      <w:r w:rsidR="008B541D">
        <w:rPr>
          <w:rFonts w:ascii="Times New Roman" w:hAnsi="Times New Roman" w:cs="Times New Roman"/>
          <w:szCs w:val="22"/>
        </w:rPr>
        <w:t>S</w:t>
      </w:r>
      <w:r w:rsidR="008B541D" w:rsidRPr="00AC18ED">
        <w:rPr>
          <w:rFonts w:ascii="Times New Roman" w:hAnsi="Times New Roman" w:cs="Times New Roman"/>
          <w:szCs w:val="22"/>
        </w:rPr>
        <w:t xml:space="preserve">everal </w:t>
      </w:r>
      <w:r w:rsidR="00D710FC" w:rsidRPr="00AC18ED">
        <w:rPr>
          <w:rFonts w:ascii="Times New Roman" w:hAnsi="Times New Roman" w:cs="Times New Roman"/>
          <w:szCs w:val="22"/>
        </w:rPr>
        <w:t xml:space="preserve">regulations and policies </w:t>
      </w:r>
      <w:r w:rsidR="008B541D">
        <w:rPr>
          <w:rFonts w:ascii="Times New Roman" w:hAnsi="Times New Roman" w:cs="Times New Roman"/>
          <w:szCs w:val="22"/>
        </w:rPr>
        <w:t xml:space="preserve">have been </w:t>
      </w:r>
      <w:r w:rsidR="00D710FC" w:rsidRPr="00AC18ED">
        <w:rPr>
          <w:rFonts w:ascii="Times New Roman" w:hAnsi="Times New Roman" w:cs="Times New Roman"/>
          <w:szCs w:val="22"/>
        </w:rPr>
        <w:t xml:space="preserve">adopted for the city since </w:t>
      </w:r>
      <w:r w:rsidR="009838B2" w:rsidRPr="00AC18ED">
        <w:rPr>
          <w:rFonts w:ascii="Times New Roman" w:hAnsi="Times New Roman" w:cs="Times New Roman"/>
          <w:szCs w:val="22"/>
        </w:rPr>
        <w:t>200</w:t>
      </w:r>
      <w:r w:rsidR="009838B2">
        <w:rPr>
          <w:rFonts w:ascii="Times New Roman" w:hAnsi="Times New Roman" w:cs="Times New Roman"/>
          <w:szCs w:val="22"/>
        </w:rPr>
        <w:t>0</w:t>
      </w:r>
      <w:r w:rsidR="009838B2" w:rsidRPr="00AC18ED">
        <w:rPr>
          <w:rFonts w:ascii="Times New Roman" w:hAnsi="Times New Roman" w:cs="Times New Roman"/>
          <w:szCs w:val="22"/>
        </w:rPr>
        <w:t xml:space="preserve"> </w:t>
      </w:r>
      <w:r w:rsidR="00D710FC" w:rsidRPr="00AC18ED">
        <w:rPr>
          <w:rFonts w:ascii="Times New Roman" w:hAnsi="Times New Roman" w:cs="Times New Roman"/>
          <w:szCs w:val="22"/>
        </w:rPr>
        <w:t xml:space="preserve">(see: </w:t>
      </w:r>
      <w:r w:rsidR="00AE16DB" w:rsidRPr="00AC18ED">
        <w:rPr>
          <w:rFonts w:ascii="Times New Roman" w:hAnsi="Times New Roman" w:cs="Times New Roman"/>
          <w:szCs w:val="22"/>
        </w:rPr>
        <w:t xml:space="preserve">section </w:t>
      </w:r>
      <w:r w:rsidR="00AE16DB">
        <w:rPr>
          <w:rFonts w:ascii="Times New Roman" w:hAnsi="Times New Roman" w:cs="Times New Roman"/>
          <w:szCs w:val="22"/>
        </w:rPr>
        <w:t xml:space="preserve">5 </w:t>
      </w:r>
      <w:r w:rsidR="00330A33">
        <w:rPr>
          <w:rFonts w:ascii="Times New Roman" w:hAnsi="Times New Roman" w:cs="Times New Roman"/>
          <w:szCs w:val="22"/>
        </w:rPr>
        <w:t>above</w:t>
      </w:r>
      <w:r w:rsidR="00D710FC" w:rsidRPr="00AC18ED">
        <w:rPr>
          <w:rFonts w:ascii="Times New Roman" w:hAnsi="Times New Roman" w:cs="Times New Roman"/>
          <w:szCs w:val="22"/>
        </w:rPr>
        <w:t xml:space="preserve">). </w:t>
      </w:r>
      <w:r w:rsidR="008B541D">
        <w:rPr>
          <w:rFonts w:ascii="Times New Roman" w:hAnsi="Times New Roman" w:cs="Times New Roman"/>
          <w:szCs w:val="22"/>
        </w:rPr>
        <w:t>It is thus</w:t>
      </w:r>
      <w:r w:rsidR="00D710FC" w:rsidRPr="00AC18ED">
        <w:rPr>
          <w:rFonts w:ascii="Times New Roman" w:hAnsi="Times New Roman" w:cs="Times New Roman"/>
          <w:szCs w:val="22"/>
        </w:rPr>
        <w:t xml:space="preserve"> difficult to compare </w:t>
      </w:r>
      <w:r w:rsidR="008B541D" w:rsidRPr="00AC18ED">
        <w:rPr>
          <w:rFonts w:ascii="Times New Roman" w:hAnsi="Times New Roman" w:cs="Times New Roman"/>
          <w:szCs w:val="22"/>
        </w:rPr>
        <w:t>the present estimate</w:t>
      </w:r>
      <w:r w:rsidR="008B541D">
        <w:rPr>
          <w:rFonts w:ascii="Times New Roman" w:hAnsi="Times New Roman" w:cs="Times New Roman"/>
          <w:szCs w:val="22"/>
        </w:rPr>
        <w:t>s</w:t>
      </w:r>
      <w:r w:rsidR="008B541D" w:rsidRPr="00AC18ED">
        <w:rPr>
          <w:rFonts w:ascii="Times New Roman" w:hAnsi="Times New Roman" w:cs="Times New Roman"/>
          <w:szCs w:val="22"/>
        </w:rPr>
        <w:t xml:space="preserve"> </w:t>
      </w:r>
      <w:r w:rsidR="00D710FC" w:rsidRPr="00AC18ED">
        <w:rPr>
          <w:rFonts w:ascii="Times New Roman" w:hAnsi="Times New Roman" w:cs="Times New Roman"/>
          <w:szCs w:val="22"/>
        </w:rPr>
        <w:t>consistently with earlier findings.</w:t>
      </w:r>
    </w:p>
    <w:p w14:paraId="13A3703D" w14:textId="1D5B32BD" w:rsidR="00D710FC" w:rsidRPr="00AC18ED" w:rsidRDefault="00D710FC" w:rsidP="00AC18ED">
      <w:pPr>
        <w:pStyle w:val="NormalWeb"/>
        <w:spacing w:before="0" w:beforeAutospacing="0" w:after="120" w:afterAutospacing="0" w:line="276" w:lineRule="auto"/>
        <w:jc w:val="both"/>
        <w:rPr>
          <w:sz w:val="22"/>
          <w:szCs w:val="22"/>
        </w:rPr>
      </w:pPr>
    </w:p>
    <w:p w14:paraId="4A7CE33F" w14:textId="77777777" w:rsidR="00154155" w:rsidRDefault="00154155" w:rsidP="00AC18ED">
      <w:pPr>
        <w:spacing w:after="120" w:line="276" w:lineRule="auto"/>
        <w:jc w:val="both"/>
        <w:rPr>
          <w:rFonts w:ascii="Times New Roman" w:hAnsi="Times New Roman" w:cs="Times New Roman"/>
          <w:szCs w:val="22"/>
        </w:rPr>
      </w:pPr>
    </w:p>
    <w:p w14:paraId="3426B1D8" w14:textId="77777777" w:rsidR="00154155" w:rsidRDefault="00154155" w:rsidP="00AC18ED">
      <w:pPr>
        <w:spacing w:after="120" w:line="276" w:lineRule="auto"/>
        <w:jc w:val="both"/>
        <w:rPr>
          <w:rFonts w:ascii="Times New Roman" w:hAnsi="Times New Roman" w:cs="Times New Roman"/>
          <w:szCs w:val="22"/>
        </w:rPr>
      </w:pPr>
    </w:p>
    <w:p w14:paraId="4B8169A9" w14:textId="77777777" w:rsidR="00154155" w:rsidRDefault="00154155" w:rsidP="00AC18ED">
      <w:pPr>
        <w:spacing w:after="120" w:line="276" w:lineRule="auto"/>
        <w:jc w:val="both"/>
        <w:rPr>
          <w:rFonts w:ascii="Times New Roman" w:hAnsi="Times New Roman" w:cs="Times New Roman"/>
          <w:szCs w:val="22"/>
        </w:rPr>
      </w:pPr>
    </w:p>
    <w:p w14:paraId="3EBF4918" w14:textId="77777777" w:rsidR="00154155" w:rsidRDefault="00154155" w:rsidP="00AC18ED">
      <w:pPr>
        <w:spacing w:after="120" w:line="276" w:lineRule="auto"/>
        <w:jc w:val="both"/>
        <w:rPr>
          <w:rFonts w:ascii="Times New Roman" w:hAnsi="Times New Roman" w:cs="Times New Roman"/>
          <w:szCs w:val="22"/>
        </w:rPr>
      </w:pPr>
    </w:p>
    <w:p w14:paraId="4B63E93F" w14:textId="77777777" w:rsidR="00154155" w:rsidRDefault="00154155" w:rsidP="00AC18ED">
      <w:pPr>
        <w:spacing w:after="120" w:line="276" w:lineRule="auto"/>
        <w:jc w:val="both"/>
        <w:rPr>
          <w:rFonts w:ascii="Times New Roman" w:hAnsi="Times New Roman" w:cs="Times New Roman"/>
          <w:szCs w:val="22"/>
        </w:rPr>
      </w:pPr>
    </w:p>
    <w:p w14:paraId="52F7F352" w14:textId="77777777" w:rsidR="00154155" w:rsidRDefault="00154155" w:rsidP="00AC18ED">
      <w:pPr>
        <w:spacing w:after="120" w:line="276" w:lineRule="auto"/>
        <w:jc w:val="both"/>
        <w:rPr>
          <w:rFonts w:ascii="Times New Roman" w:hAnsi="Times New Roman" w:cs="Times New Roman"/>
          <w:szCs w:val="22"/>
        </w:rPr>
      </w:pPr>
    </w:p>
    <w:p w14:paraId="0D3E7E0A" w14:textId="77777777" w:rsidR="00154155" w:rsidRDefault="00154155" w:rsidP="00AC18ED">
      <w:pPr>
        <w:spacing w:after="120" w:line="276" w:lineRule="auto"/>
        <w:jc w:val="both"/>
        <w:rPr>
          <w:rFonts w:ascii="Times New Roman" w:hAnsi="Times New Roman" w:cs="Times New Roman"/>
          <w:szCs w:val="22"/>
        </w:rPr>
      </w:pPr>
    </w:p>
    <w:p w14:paraId="3175F2AA" w14:textId="77777777" w:rsidR="00154155" w:rsidRDefault="00154155" w:rsidP="00AC18ED">
      <w:pPr>
        <w:spacing w:after="120" w:line="276" w:lineRule="auto"/>
        <w:jc w:val="both"/>
        <w:rPr>
          <w:rFonts w:ascii="Times New Roman" w:hAnsi="Times New Roman" w:cs="Times New Roman"/>
          <w:szCs w:val="22"/>
        </w:rPr>
      </w:pPr>
    </w:p>
    <w:p w14:paraId="14EB43F8" w14:textId="77777777" w:rsidR="00154155" w:rsidRDefault="00154155" w:rsidP="00AC18ED">
      <w:pPr>
        <w:spacing w:after="120" w:line="276" w:lineRule="auto"/>
        <w:jc w:val="both"/>
        <w:rPr>
          <w:rFonts w:ascii="Times New Roman" w:hAnsi="Times New Roman" w:cs="Times New Roman"/>
          <w:szCs w:val="22"/>
        </w:rPr>
      </w:pPr>
    </w:p>
    <w:p w14:paraId="209B3D43" w14:textId="77777777" w:rsidR="00154155" w:rsidRDefault="00154155" w:rsidP="00AC18ED">
      <w:pPr>
        <w:spacing w:after="120" w:line="276" w:lineRule="auto"/>
        <w:jc w:val="both"/>
        <w:rPr>
          <w:rFonts w:ascii="Times New Roman" w:hAnsi="Times New Roman" w:cs="Times New Roman"/>
          <w:szCs w:val="22"/>
        </w:rPr>
      </w:pPr>
    </w:p>
    <w:p w14:paraId="7E8A07B5" w14:textId="77777777" w:rsidR="00154155" w:rsidRDefault="00154155" w:rsidP="00AC18ED">
      <w:pPr>
        <w:spacing w:after="120" w:line="276" w:lineRule="auto"/>
        <w:jc w:val="both"/>
        <w:rPr>
          <w:rFonts w:ascii="Times New Roman" w:hAnsi="Times New Roman" w:cs="Times New Roman"/>
          <w:szCs w:val="22"/>
        </w:rPr>
      </w:pPr>
    </w:p>
    <w:p w14:paraId="105698D4" w14:textId="77777777" w:rsidR="00154155" w:rsidRDefault="00154155" w:rsidP="00AC18ED">
      <w:pPr>
        <w:spacing w:after="120" w:line="276" w:lineRule="auto"/>
        <w:jc w:val="both"/>
        <w:rPr>
          <w:rFonts w:ascii="Times New Roman" w:hAnsi="Times New Roman" w:cs="Times New Roman"/>
          <w:szCs w:val="22"/>
        </w:rPr>
      </w:pPr>
    </w:p>
    <w:p w14:paraId="6531AA0C" w14:textId="77777777" w:rsidR="00154155" w:rsidRDefault="00154155" w:rsidP="00AC18ED">
      <w:pPr>
        <w:spacing w:after="120" w:line="276" w:lineRule="auto"/>
        <w:jc w:val="both"/>
        <w:rPr>
          <w:rFonts w:ascii="Times New Roman" w:hAnsi="Times New Roman" w:cs="Times New Roman"/>
          <w:szCs w:val="22"/>
        </w:rPr>
      </w:pPr>
    </w:p>
    <w:p w14:paraId="3D556E91" w14:textId="77777777" w:rsidR="00154155" w:rsidRDefault="00154155" w:rsidP="00AC18ED">
      <w:pPr>
        <w:spacing w:after="120" w:line="276" w:lineRule="auto"/>
        <w:jc w:val="both"/>
        <w:rPr>
          <w:rFonts w:ascii="Times New Roman" w:hAnsi="Times New Roman" w:cs="Times New Roman"/>
          <w:szCs w:val="22"/>
        </w:rPr>
      </w:pPr>
    </w:p>
    <w:p w14:paraId="117F9336" w14:textId="77777777" w:rsidR="00154155" w:rsidRDefault="00154155" w:rsidP="00AC18ED">
      <w:pPr>
        <w:spacing w:after="120" w:line="276" w:lineRule="auto"/>
        <w:jc w:val="both"/>
        <w:rPr>
          <w:rFonts w:ascii="Times New Roman" w:hAnsi="Times New Roman" w:cs="Times New Roman"/>
          <w:szCs w:val="22"/>
        </w:rPr>
      </w:pPr>
    </w:p>
    <w:p w14:paraId="089EC56A" w14:textId="479C89EA" w:rsidR="00ED1D8B" w:rsidRDefault="00064029" w:rsidP="00374F14">
      <w:pPr>
        <w:pStyle w:val="Heading1"/>
        <w:numPr>
          <w:ilvl w:val="0"/>
          <w:numId w:val="11"/>
        </w:numPr>
        <w:spacing w:before="0" w:after="120" w:line="276" w:lineRule="auto"/>
        <w:rPr>
          <w:rFonts w:ascii="Times New Roman" w:hAnsi="Times New Roman" w:cs="Times New Roman"/>
          <w:b/>
          <w:sz w:val="24"/>
          <w:szCs w:val="22"/>
        </w:rPr>
      </w:pPr>
      <w:bookmarkStart w:id="37" w:name="_Toc22630754"/>
      <w:r>
        <w:rPr>
          <w:rFonts w:ascii="Times New Roman" w:hAnsi="Times New Roman" w:cs="Times New Roman"/>
          <w:b/>
          <w:sz w:val="24"/>
          <w:szCs w:val="22"/>
        </w:rPr>
        <w:lastRenderedPageBreak/>
        <w:t xml:space="preserve">Air pollutant and GHG emissions </w:t>
      </w:r>
      <w:r w:rsidR="00256685">
        <w:rPr>
          <w:rFonts w:ascii="Times New Roman" w:hAnsi="Times New Roman" w:cs="Times New Roman"/>
          <w:b/>
          <w:sz w:val="24"/>
          <w:szCs w:val="22"/>
        </w:rPr>
        <w:t xml:space="preserve">projected </w:t>
      </w:r>
      <w:r>
        <w:rPr>
          <w:rFonts w:ascii="Times New Roman" w:hAnsi="Times New Roman" w:cs="Times New Roman"/>
          <w:b/>
          <w:sz w:val="24"/>
          <w:szCs w:val="22"/>
        </w:rPr>
        <w:t>for Kolkata in 2030</w:t>
      </w:r>
      <w:bookmarkEnd w:id="37"/>
    </w:p>
    <w:p w14:paraId="39F2546B" w14:textId="1F1AB87E" w:rsidR="00EC271C" w:rsidRPr="002A73C5" w:rsidRDefault="00EC271C" w:rsidP="001003EB">
      <w:pPr>
        <w:rPr>
          <w:rFonts w:ascii="Times New Roman" w:hAnsi="Times New Roman"/>
          <w:b/>
        </w:rPr>
      </w:pPr>
      <w:r w:rsidRPr="002A73C5">
        <w:rPr>
          <w:rFonts w:ascii="Times New Roman" w:hAnsi="Times New Roman"/>
          <w:b/>
        </w:rPr>
        <w:t>Table S5: Estimated sector wise emissions under policy scenarios in 2030 (in kt)</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73"/>
        <w:gridCol w:w="551"/>
        <w:gridCol w:w="551"/>
        <w:gridCol w:w="551"/>
        <w:gridCol w:w="551"/>
        <w:gridCol w:w="552"/>
        <w:gridCol w:w="551"/>
        <w:gridCol w:w="551"/>
        <w:gridCol w:w="551"/>
        <w:gridCol w:w="552"/>
        <w:gridCol w:w="551"/>
        <w:gridCol w:w="551"/>
        <w:gridCol w:w="551"/>
        <w:gridCol w:w="552"/>
        <w:gridCol w:w="759"/>
      </w:tblGrid>
      <w:tr w:rsidR="008D492E" w:rsidRPr="00F97BFF" w14:paraId="5E4B87DB" w14:textId="77777777" w:rsidTr="00F97BFF">
        <w:trPr>
          <w:cantSplit/>
          <w:trHeight w:val="2177"/>
        </w:trPr>
        <w:tc>
          <w:tcPr>
            <w:tcW w:w="568" w:type="dxa"/>
            <w:shd w:val="clear" w:color="auto" w:fill="auto"/>
            <w:noWrap/>
            <w:textDirection w:val="btLr"/>
            <w:vAlign w:val="center"/>
            <w:hideMark/>
          </w:tcPr>
          <w:p w14:paraId="21BFD84C" w14:textId="6732EFB8" w:rsidR="000D0C69" w:rsidRPr="002A73C5" w:rsidRDefault="003C1902" w:rsidP="00F97BFF">
            <w:pPr>
              <w:spacing w:after="0" w:line="240" w:lineRule="auto"/>
              <w:ind w:left="113" w:right="-108"/>
              <w:rPr>
                <w:rFonts w:ascii="Times New Roman" w:hAnsi="Times New Roman"/>
                <w:sz w:val="16"/>
              </w:rPr>
            </w:pPr>
            <w:r w:rsidRPr="002A73C5">
              <w:rPr>
                <w:rFonts w:ascii="Times New Roman" w:hAnsi="Times New Roman"/>
                <w:sz w:val="16"/>
              </w:rPr>
              <w:t>Air Pollutant/</w:t>
            </w:r>
            <w:r w:rsidR="006834FA" w:rsidRPr="002A73C5">
              <w:rPr>
                <w:rFonts w:ascii="Times New Roman" w:hAnsi="Times New Roman"/>
                <w:sz w:val="16"/>
              </w:rPr>
              <w:t xml:space="preserve"> </w:t>
            </w:r>
            <w:r w:rsidRPr="002A73C5">
              <w:rPr>
                <w:rFonts w:ascii="Times New Roman" w:hAnsi="Times New Roman"/>
                <w:sz w:val="16"/>
              </w:rPr>
              <w:t>GHG</w:t>
            </w:r>
          </w:p>
        </w:tc>
        <w:tc>
          <w:tcPr>
            <w:tcW w:w="573" w:type="dxa"/>
            <w:shd w:val="clear" w:color="auto" w:fill="auto"/>
            <w:noWrap/>
            <w:textDirection w:val="btLr"/>
            <w:vAlign w:val="center"/>
            <w:hideMark/>
          </w:tcPr>
          <w:p w14:paraId="57D9AEDB" w14:textId="1D75A985" w:rsidR="000D0C69" w:rsidRPr="002A73C5" w:rsidRDefault="003C1902" w:rsidP="00F97BFF">
            <w:pPr>
              <w:spacing w:after="0" w:line="240" w:lineRule="auto"/>
              <w:ind w:left="113" w:right="113"/>
              <w:rPr>
                <w:rFonts w:ascii="Times New Roman" w:hAnsi="Times New Roman"/>
                <w:sz w:val="16"/>
              </w:rPr>
            </w:pPr>
            <w:r w:rsidRPr="002A73C5">
              <w:rPr>
                <w:rFonts w:ascii="Times New Roman" w:hAnsi="Times New Roman"/>
                <w:sz w:val="16"/>
              </w:rPr>
              <w:t>Scenarios</w:t>
            </w:r>
          </w:p>
        </w:tc>
        <w:tc>
          <w:tcPr>
            <w:tcW w:w="551" w:type="dxa"/>
            <w:shd w:val="clear" w:color="auto" w:fill="auto"/>
            <w:textDirection w:val="btLr"/>
            <w:vAlign w:val="bottom"/>
            <w:hideMark/>
          </w:tcPr>
          <w:p w14:paraId="5515D9D4" w14:textId="77777777" w:rsidR="000D0C69" w:rsidRPr="002A73C5" w:rsidRDefault="000D0C69" w:rsidP="00F97BFF">
            <w:pPr>
              <w:spacing w:after="0" w:line="240" w:lineRule="auto"/>
              <w:ind w:left="113" w:right="113"/>
              <w:rPr>
                <w:rFonts w:ascii="Times New Roman" w:hAnsi="Times New Roman"/>
                <w:sz w:val="16"/>
              </w:rPr>
            </w:pPr>
            <w:r w:rsidRPr="002A73C5">
              <w:rPr>
                <w:rFonts w:ascii="Times New Roman" w:hAnsi="Times New Roman"/>
                <w:sz w:val="16"/>
              </w:rPr>
              <w:t>Power Plants</w:t>
            </w:r>
          </w:p>
        </w:tc>
        <w:tc>
          <w:tcPr>
            <w:tcW w:w="551" w:type="dxa"/>
            <w:shd w:val="clear" w:color="auto" w:fill="auto"/>
            <w:textDirection w:val="btLr"/>
            <w:vAlign w:val="bottom"/>
            <w:hideMark/>
          </w:tcPr>
          <w:p w14:paraId="425284CA" w14:textId="77777777" w:rsidR="000D0C69" w:rsidRPr="002A73C5" w:rsidRDefault="000D0C69" w:rsidP="00F97BFF">
            <w:pPr>
              <w:spacing w:after="0" w:line="240" w:lineRule="auto"/>
              <w:ind w:left="113" w:right="113"/>
              <w:rPr>
                <w:rFonts w:ascii="Times New Roman" w:hAnsi="Times New Roman"/>
                <w:sz w:val="16"/>
              </w:rPr>
            </w:pPr>
            <w:r w:rsidRPr="002A73C5">
              <w:rPr>
                <w:rFonts w:ascii="Times New Roman" w:hAnsi="Times New Roman"/>
                <w:sz w:val="16"/>
              </w:rPr>
              <w:t>Domestic Combustion</w:t>
            </w:r>
          </w:p>
        </w:tc>
        <w:tc>
          <w:tcPr>
            <w:tcW w:w="551" w:type="dxa"/>
            <w:shd w:val="clear" w:color="auto" w:fill="auto"/>
            <w:textDirection w:val="btLr"/>
            <w:vAlign w:val="bottom"/>
            <w:hideMark/>
          </w:tcPr>
          <w:p w14:paraId="72BD0D00" w14:textId="77777777" w:rsidR="000D0C69" w:rsidRPr="002A73C5" w:rsidRDefault="000D0C69" w:rsidP="00F97BFF">
            <w:pPr>
              <w:spacing w:after="0" w:line="240" w:lineRule="auto"/>
              <w:ind w:left="113" w:right="113"/>
              <w:rPr>
                <w:rFonts w:ascii="Times New Roman" w:hAnsi="Times New Roman"/>
                <w:sz w:val="16"/>
              </w:rPr>
            </w:pPr>
            <w:r w:rsidRPr="002A73C5">
              <w:rPr>
                <w:rFonts w:ascii="Times New Roman" w:hAnsi="Times New Roman"/>
                <w:sz w:val="16"/>
              </w:rPr>
              <w:t>Industrial emission</w:t>
            </w:r>
          </w:p>
        </w:tc>
        <w:tc>
          <w:tcPr>
            <w:tcW w:w="551" w:type="dxa"/>
            <w:shd w:val="clear" w:color="auto" w:fill="auto"/>
            <w:textDirection w:val="btLr"/>
            <w:vAlign w:val="bottom"/>
            <w:hideMark/>
          </w:tcPr>
          <w:p w14:paraId="59A8AE1D" w14:textId="77777777" w:rsidR="000D0C69" w:rsidRPr="002A73C5" w:rsidRDefault="000D0C69" w:rsidP="00F97BFF">
            <w:pPr>
              <w:spacing w:after="0" w:line="240" w:lineRule="auto"/>
              <w:ind w:left="113" w:right="113"/>
              <w:rPr>
                <w:rFonts w:ascii="Times New Roman" w:hAnsi="Times New Roman"/>
                <w:sz w:val="16"/>
              </w:rPr>
            </w:pPr>
            <w:r w:rsidRPr="002A73C5">
              <w:rPr>
                <w:rFonts w:ascii="Times New Roman" w:hAnsi="Times New Roman"/>
                <w:sz w:val="16"/>
              </w:rPr>
              <w:t>Road Transport (exhaust)</w:t>
            </w:r>
          </w:p>
        </w:tc>
        <w:tc>
          <w:tcPr>
            <w:tcW w:w="552" w:type="dxa"/>
            <w:shd w:val="clear" w:color="auto" w:fill="auto"/>
            <w:textDirection w:val="btLr"/>
            <w:vAlign w:val="bottom"/>
            <w:hideMark/>
          </w:tcPr>
          <w:p w14:paraId="372C64C7" w14:textId="77777777" w:rsidR="000D0C69" w:rsidRPr="002A73C5" w:rsidRDefault="000D0C69" w:rsidP="00F97BFF">
            <w:pPr>
              <w:spacing w:after="0" w:line="240" w:lineRule="auto"/>
              <w:ind w:left="113" w:right="113"/>
              <w:rPr>
                <w:rFonts w:ascii="Times New Roman" w:hAnsi="Times New Roman"/>
                <w:sz w:val="16"/>
              </w:rPr>
            </w:pPr>
            <w:r w:rsidRPr="002A73C5">
              <w:rPr>
                <w:rFonts w:ascii="Times New Roman" w:hAnsi="Times New Roman"/>
                <w:sz w:val="16"/>
              </w:rPr>
              <w:t>Road Transport (non-exhaust)</w:t>
            </w:r>
          </w:p>
        </w:tc>
        <w:tc>
          <w:tcPr>
            <w:tcW w:w="551" w:type="dxa"/>
            <w:shd w:val="clear" w:color="auto" w:fill="auto"/>
            <w:textDirection w:val="btLr"/>
            <w:vAlign w:val="bottom"/>
            <w:hideMark/>
          </w:tcPr>
          <w:p w14:paraId="3D2302C1" w14:textId="77777777" w:rsidR="000D0C69" w:rsidRPr="002A73C5" w:rsidRDefault="000D0C69" w:rsidP="00F97BFF">
            <w:pPr>
              <w:spacing w:after="0" w:line="240" w:lineRule="auto"/>
              <w:ind w:left="113" w:right="113"/>
              <w:rPr>
                <w:rFonts w:ascii="Times New Roman" w:hAnsi="Times New Roman"/>
                <w:sz w:val="16"/>
              </w:rPr>
            </w:pPr>
            <w:r w:rsidRPr="002A73C5">
              <w:rPr>
                <w:rFonts w:ascii="Times New Roman" w:hAnsi="Times New Roman"/>
                <w:sz w:val="16"/>
              </w:rPr>
              <w:t>Waste and open burning</w:t>
            </w:r>
          </w:p>
        </w:tc>
        <w:tc>
          <w:tcPr>
            <w:tcW w:w="551" w:type="dxa"/>
            <w:shd w:val="clear" w:color="auto" w:fill="auto"/>
            <w:textDirection w:val="btLr"/>
            <w:vAlign w:val="bottom"/>
            <w:hideMark/>
          </w:tcPr>
          <w:p w14:paraId="032D8580" w14:textId="3D60C6FC" w:rsidR="000D0C69" w:rsidRPr="002A73C5" w:rsidRDefault="000D0C69" w:rsidP="00F97BFF">
            <w:pPr>
              <w:spacing w:after="0" w:line="240" w:lineRule="auto"/>
              <w:ind w:left="113" w:right="113"/>
              <w:rPr>
                <w:rFonts w:ascii="Times New Roman" w:hAnsi="Times New Roman"/>
                <w:sz w:val="16"/>
              </w:rPr>
            </w:pPr>
            <w:r w:rsidRPr="002A73C5">
              <w:rPr>
                <w:rFonts w:ascii="Times New Roman" w:hAnsi="Times New Roman"/>
                <w:sz w:val="16"/>
              </w:rPr>
              <w:t>Construction</w:t>
            </w:r>
          </w:p>
        </w:tc>
        <w:tc>
          <w:tcPr>
            <w:tcW w:w="551" w:type="dxa"/>
            <w:shd w:val="clear" w:color="auto" w:fill="auto"/>
            <w:textDirection w:val="btLr"/>
            <w:vAlign w:val="bottom"/>
            <w:hideMark/>
          </w:tcPr>
          <w:p w14:paraId="04673BBF" w14:textId="77777777" w:rsidR="000D0C69" w:rsidRPr="002A73C5" w:rsidRDefault="000D0C69" w:rsidP="00F97BFF">
            <w:pPr>
              <w:spacing w:after="0" w:line="240" w:lineRule="auto"/>
              <w:ind w:left="113" w:right="113"/>
              <w:rPr>
                <w:rFonts w:ascii="Times New Roman" w:hAnsi="Times New Roman"/>
                <w:sz w:val="16"/>
              </w:rPr>
            </w:pPr>
            <w:r w:rsidRPr="002A73C5">
              <w:rPr>
                <w:rFonts w:ascii="Times New Roman" w:hAnsi="Times New Roman"/>
                <w:sz w:val="16"/>
              </w:rPr>
              <w:t>Agriculture</w:t>
            </w:r>
          </w:p>
        </w:tc>
        <w:tc>
          <w:tcPr>
            <w:tcW w:w="552" w:type="dxa"/>
            <w:shd w:val="clear" w:color="auto" w:fill="auto"/>
            <w:textDirection w:val="btLr"/>
            <w:vAlign w:val="bottom"/>
            <w:hideMark/>
          </w:tcPr>
          <w:p w14:paraId="076BC35E" w14:textId="77777777" w:rsidR="000D0C69" w:rsidRPr="002A73C5" w:rsidRDefault="000D0C69" w:rsidP="00F97BFF">
            <w:pPr>
              <w:spacing w:after="0" w:line="240" w:lineRule="auto"/>
              <w:ind w:left="113" w:right="113"/>
              <w:rPr>
                <w:rFonts w:ascii="Times New Roman" w:hAnsi="Times New Roman"/>
                <w:sz w:val="16"/>
              </w:rPr>
            </w:pPr>
            <w:r w:rsidRPr="002A73C5">
              <w:rPr>
                <w:rFonts w:ascii="Times New Roman" w:hAnsi="Times New Roman"/>
                <w:sz w:val="16"/>
              </w:rPr>
              <w:t>Non-road machinery</w:t>
            </w:r>
          </w:p>
        </w:tc>
        <w:tc>
          <w:tcPr>
            <w:tcW w:w="551" w:type="dxa"/>
            <w:shd w:val="clear" w:color="auto" w:fill="auto"/>
            <w:textDirection w:val="btLr"/>
            <w:vAlign w:val="bottom"/>
            <w:hideMark/>
          </w:tcPr>
          <w:p w14:paraId="4C32A15D" w14:textId="77777777" w:rsidR="000D0C69" w:rsidRPr="002A73C5" w:rsidRDefault="000D0C69" w:rsidP="00F97BFF">
            <w:pPr>
              <w:spacing w:after="0" w:line="240" w:lineRule="auto"/>
              <w:ind w:left="113" w:right="113"/>
              <w:rPr>
                <w:rFonts w:ascii="Times New Roman" w:hAnsi="Times New Roman"/>
                <w:sz w:val="16"/>
              </w:rPr>
            </w:pPr>
            <w:r w:rsidRPr="002A73C5">
              <w:rPr>
                <w:rFonts w:ascii="Times New Roman" w:hAnsi="Times New Roman"/>
                <w:sz w:val="16"/>
              </w:rPr>
              <w:t>Fuel conversion</w:t>
            </w:r>
          </w:p>
        </w:tc>
        <w:tc>
          <w:tcPr>
            <w:tcW w:w="551" w:type="dxa"/>
            <w:shd w:val="clear" w:color="auto" w:fill="auto"/>
            <w:textDirection w:val="btLr"/>
            <w:vAlign w:val="bottom"/>
            <w:hideMark/>
          </w:tcPr>
          <w:p w14:paraId="4D654E85" w14:textId="77777777" w:rsidR="000D0C69" w:rsidRPr="002A73C5" w:rsidRDefault="000D0C69" w:rsidP="00F97BFF">
            <w:pPr>
              <w:spacing w:after="0" w:line="240" w:lineRule="auto"/>
              <w:ind w:left="113" w:right="113"/>
              <w:rPr>
                <w:rFonts w:ascii="Times New Roman" w:hAnsi="Times New Roman"/>
                <w:sz w:val="16"/>
              </w:rPr>
            </w:pPr>
            <w:r w:rsidRPr="002A73C5">
              <w:rPr>
                <w:rFonts w:ascii="Times New Roman" w:hAnsi="Times New Roman"/>
                <w:sz w:val="16"/>
              </w:rPr>
              <w:t>Solvent use</w:t>
            </w:r>
          </w:p>
        </w:tc>
        <w:tc>
          <w:tcPr>
            <w:tcW w:w="551" w:type="dxa"/>
            <w:shd w:val="clear" w:color="auto" w:fill="auto"/>
            <w:textDirection w:val="btLr"/>
            <w:vAlign w:val="bottom"/>
            <w:hideMark/>
          </w:tcPr>
          <w:p w14:paraId="4282202E" w14:textId="77777777" w:rsidR="000D0C69" w:rsidRPr="002A73C5" w:rsidRDefault="000D0C69" w:rsidP="00F97BFF">
            <w:pPr>
              <w:spacing w:after="0" w:line="240" w:lineRule="auto"/>
              <w:ind w:left="113" w:right="113"/>
              <w:rPr>
                <w:rFonts w:ascii="Times New Roman" w:hAnsi="Times New Roman"/>
                <w:sz w:val="16"/>
              </w:rPr>
            </w:pPr>
            <w:r w:rsidRPr="002A73C5">
              <w:rPr>
                <w:rFonts w:ascii="Times New Roman" w:hAnsi="Times New Roman"/>
                <w:sz w:val="16"/>
              </w:rPr>
              <w:t>Fuel production &amp; distribution</w:t>
            </w:r>
          </w:p>
        </w:tc>
        <w:tc>
          <w:tcPr>
            <w:tcW w:w="552" w:type="dxa"/>
            <w:shd w:val="clear" w:color="auto" w:fill="auto"/>
            <w:textDirection w:val="btLr"/>
            <w:vAlign w:val="bottom"/>
            <w:hideMark/>
          </w:tcPr>
          <w:p w14:paraId="151952B7" w14:textId="77777777" w:rsidR="000D0C69" w:rsidRPr="002A73C5" w:rsidRDefault="000D0C69" w:rsidP="00F97BFF">
            <w:pPr>
              <w:spacing w:after="0" w:line="240" w:lineRule="auto"/>
              <w:ind w:left="113" w:right="113"/>
              <w:rPr>
                <w:rFonts w:ascii="Times New Roman" w:hAnsi="Times New Roman"/>
                <w:sz w:val="16"/>
              </w:rPr>
            </w:pPr>
            <w:r w:rsidRPr="002A73C5">
              <w:rPr>
                <w:rFonts w:ascii="Times New Roman" w:hAnsi="Times New Roman"/>
                <w:sz w:val="16"/>
              </w:rPr>
              <w:t>Non-energy use</w:t>
            </w:r>
          </w:p>
        </w:tc>
        <w:tc>
          <w:tcPr>
            <w:tcW w:w="759" w:type="dxa"/>
            <w:shd w:val="clear" w:color="auto" w:fill="auto"/>
            <w:textDirection w:val="btLr"/>
            <w:vAlign w:val="bottom"/>
            <w:hideMark/>
          </w:tcPr>
          <w:p w14:paraId="0786ED55" w14:textId="77777777" w:rsidR="000D0C69" w:rsidRPr="002A73C5" w:rsidRDefault="000D0C69" w:rsidP="00F97BFF">
            <w:pPr>
              <w:spacing w:after="0" w:line="240" w:lineRule="auto"/>
              <w:ind w:left="113" w:right="113"/>
              <w:rPr>
                <w:rFonts w:ascii="Times New Roman" w:hAnsi="Times New Roman"/>
                <w:sz w:val="16"/>
              </w:rPr>
            </w:pPr>
            <w:r w:rsidRPr="002A73C5">
              <w:rPr>
                <w:rFonts w:ascii="Times New Roman" w:hAnsi="Times New Roman"/>
                <w:sz w:val="16"/>
              </w:rPr>
              <w:t>Total emission</w:t>
            </w:r>
          </w:p>
        </w:tc>
      </w:tr>
      <w:tr w:rsidR="003C1902" w:rsidRPr="00F97BFF" w14:paraId="667E1C9D" w14:textId="77777777" w:rsidTr="001003EB">
        <w:trPr>
          <w:trHeight w:val="204"/>
        </w:trPr>
        <w:tc>
          <w:tcPr>
            <w:tcW w:w="568" w:type="dxa"/>
            <w:shd w:val="clear" w:color="auto" w:fill="auto"/>
            <w:noWrap/>
            <w:vAlign w:val="bottom"/>
            <w:hideMark/>
          </w:tcPr>
          <w:p w14:paraId="12A7BC52" w14:textId="3976D65B" w:rsidR="000D0C69" w:rsidRPr="002A73C5" w:rsidRDefault="000D0C69" w:rsidP="001003EB">
            <w:pPr>
              <w:spacing w:after="0" w:line="240" w:lineRule="auto"/>
              <w:ind w:right="-108"/>
              <w:rPr>
                <w:rFonts w:ascii="Times New Roman" w:hAnsi="Times New Roman"/>
                <w:b/>
                <w:sz w:val="16"/>
              </w:rPr>
            </w:pPr>
            <w:r w:rsidRPr="002A73C5">
              <w:rPr>
                <w:rFonts w:ascii="Times New Roman" w:hAnsi="Times New Roman"/>
                <w:b/>
                <w:sz w:val="16"/>
              </w:rPr>
              <w:t>PM</w:t>
            </w:r>
            <w:r w:rsidRPr="002A73C5">
              <w:rPr>
                <w:rFonts w:ascii="Times New Roman" w:hAnsi="Times New Roman"/>
                <w:b/>
                <w:sz w:val="16"/>
                <w:vertAlign w:val="subscript"/>
              </w:rPr>
              <w:t>10</w:t>
            </w:r>
          </w:p>
        </w:tc>
        <w:tc>
          <w:tcPr>
            <w:tcW w:w="573" w:type="dxa"/>
            <w:shd w:val="clear" w:color="auto" w:fill="auto"/>
            <w:noWrap/>
            <w:vAlign w:val="bottom"/>
            <w:hideMark/>
          </w:tcPr>
          <w:p w14:paraId="47F04E82" w14:textId="77777777" w:rsidR="000D0C69" w:rsidRPr="002A73C5" w:rsidRDefault="000D0C69" w:rsidP="000C659B">
            <w:pPr>
              <w:spacing w:after="0" w:line="240" w:lineRule="auto"/>
              <w:rPr>
                <w:rFonts w:ascii="Times New Roman" w:hAnsi="Times New Roman"/>
                <w:b/>
                <w:sz w:val="16"/>
              </w:rPr>
            </w:pPr>
            <w:r w:rsidRPr="002A73C5">
              <w:rPr>
                <w:rFonts w:ascii="Times New Roman" w:hAnsi="Times New Roman"/>
                <w:b/>
                <w:sz w:val="16"/>
              </w:rPr>
              <w:t>BAU</w:t>
            </w:r>
          </w:p>
        </w:tc>
        <w:tc>
          <w:tcPr>
            <w:tcW w:w="551" w:type="dxa"/>
            <w:shd w:val="clear" w:color="auto" w:fill="auto"/>
            <w:noWrap/>
            <w:vAlign w:val="bottom"/>
            <w:hideMark/>
          </w:tcPr>
          <w:p w14:paraId="6900BE52" w14:textId="77777777" w:rsidR="000D0C69" w:rsidRPr="002A73C5" w:rsidRDefault="000D0C69" w:rsidP="00FF64CD">
            <w:pPr>
              <w:spacing w:after="0" w:line="240" w:lineRule="auto"/>
              <w:jc w:val="right"/>
              <w:rPr>
                <w:rFonts w:ascii="Times New Roman" w:hAnsi="Times New Roman"/>
                <w:sz w:val="16"/>
              </w:rPr>
            </w:pPr>
            <w:r w:rsidRPr="002A73C5">
              <w:rPr>
                <w:rFonts w:ascii="Times New Roman" w:hAnsi="Times New Roman"/>
                <w:sz w:val="16"/>
              </w:rPr>
              <w:t>12.2</w:t>
            </w:r>
          </w:p>
        </w:tc>
        <w:tc>
          <w:tcPr>
            <w:tcW w:w="551" w:type="dxa"/>
            <w:shd w:val="clear" w:color="auto" w:fill="auto"/>
            <w:noWrap/>
            <w:vAlign w:val="bottom"/>
            <w:hideMark/>
          </w:tcPr>
          <w:p w14:paraId="5C923B9C"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11.8</w:t>
            </w:r>
          </w:p>
        </w:tc>
        <w:tc>
          <w:tcPr>
            <w:tcW w:w="551" w:type="dxa"/>
            <w:shd w:val="clear" w:color="auto" w:fill="auto"/>
            <w:noWrap/>
            <w:vAlign w:val="bottom"/>
            <w:hideMark/>
          </w:tcPr>
          <w:p w14:paraId="7105B81F"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3.7</w:t>
            </w:r>
          </w:p>
        </w:tc>
        <w:tc>
          <w:tcPr>
            <w:tcW w:w="551" w:type="dxa"/>
            <w:shd w:val="clear" w:color="auto" w:fill="auto"/>
            <w:noWrap/>
            <w:vAlign w:val="bottom"/>
            <w:hideMark/>
          </w:tcPr>
          <w:p w14:paraId="03755F0C"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2.4</w:t>
            </w:r>
          </w:p>
        </w:tc>
        <w:tc>
          <w:tcPr>
            <w:tcW w:w="552" w:type="dxa"/>
            <w:shd w:val="clear" w:color="auto" w:fill="auto"/>
            <w:noWrap/>
            <w:vAlign w:val="bottom"/>
            <w:hideMark/>
          </w:tcPr>
          <w:p w14:paraId="48CC047C"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40.5</w:t>
            </w:r>
          </w:p>
        </w:tc>
        <w:tc>
          <w:tcPr>
            <w:tcW w:w="551" w:type="dxa"/>
            <w:shd w:val="clear" w:color="auto" w:fill="auto"/>
            <w:noWrap/>
            <w:vAlign w:val="bottom"/>
            <w:hideMark/>
          </w:tcPr>
          <w:p w14:paraId="55D4DA91"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3.9</w:t>
            </w:r>
          </w:p>
        </w:tc>
        <w:tc>
          <w:tcPr>
            <w:tcW w:w="551" w:type="dxa"/>
            <w:shd w:val="clear" w:color="auto" w:fill="auto"/>
            <w:noWrap/>
            <w:vAlign w:val="bottom"/>
            <w:hideMark/>
          </w:tcPr>
          <w:p w14:paraId="61D1DE7D"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7.6</w:t>
            </w:r>
          </w:p>
        </w:tc>
        <w:tc>
          <w:tcPr>
            <w:tcW w:w="551" w:type="dxa"/>
            <w:shd w:val="clear" w:color="auto" w:fill="auto"/>
            <w:noWrap/>
            <w:vAlign w:val="bottom"/>
            <w:hideMark/>
          </w:tcPr>
          <w:p w14:paraId="4B515E3E"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1.3</w:t>
            </w:r>
          </w:p>
        </w:tc>
        <w:tc>
          <w:tcPr>
            <w:tcW w:w="552" w:type="dxa"/>
            <w:shd w:val="clear" w:color="auto" w:fill="auto"/>
            <w:noWrap/>
            <w:vAlign w:val="bottom"/>
            <w:hideMark/>
          </w:tcPr>
          <w:p w14:paraId="0B993B88"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0.4</w:t>
            </w:r>
          </w:p>
        </w:tc>
        <w:tc>
          <w:tcPr>
            <w:tcW w:w="551" w:type="dxa"/>
            <w:shd w:val="clear" w:color="auto" w:fill="auto"/>
            <w:noWrap/>
            <w:vAlign w:val="bottom"/>
            <w:hideMark/>
          </w:tcPr>
          <w:p w14:paraId="108D7D11"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F03B28B"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BE54F44"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571EDC90"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560059B3" w14:textId="77777777" w:rsidR="000D0C69" w:rsidRPr="002A73C5" w:rsidRDefault="000D0C69">
            <w:pPr>
              <w:spacing w:after="0" w:line="240" w:lineRule="auto"/>
              <w:jc w:val="right"/>
              <w:rPr>
                <w:rFonts w:ascii="Times New Roman" w:hAnsi="Times New Roman"/>
                <w:b/>
                <w:sz w:val="16"/>
              </w:rPr>
            </w:pPr>
            <w:r w:rsidRPr="002A73C5">
              <w:rPr>
                <w:rFonts w:ascii="Times New Roman" w:hAnsi="Times New Roman"/>
                <w:b/>
                <w:sz w:val="16"/>
              </w:rPr>
              <w:t>83.7</w:t>
            </w:r>
          </w:p>
        </w:tc>
      </w:tr>
      <w:tr w:rsidR="003C1902" w:rsidRPr="00F97BFF" w14:paraId="6ED5E9B4" w14:textId="77777777" w:rsidTr="001003EB">
        <w:trPr>
          <w:trHeight w:val="204"/>
        </w:trPr>
        <w:tc>
          <w:tcPr>
            <w:tcW w:w="568" w:type="dxa"/>
            <w:shd w:val="clear" w:color="auto" w:fill="auto"/>
            <w:noWrap/>
            <w:vAlign w:val="bottom"/>
            <w:hideMark/>
          </w:tcPr>
          <w:p w14:paraId="0F1CA527" w14:textId="77777777" w:rsidR="000D0C69" w:rsidRPr="002A73C5" w:rsidRDefault="000D0C69" w:rsidP="001003EB">
            <w:pPr>
              <w:spacing w:after="0" w:line="240" w:lineRule="auto"/>
              <w:ind w:right="-108"/>
              <w:rPr>
                <w:rFonts w:ascii="Times New Roman" w:hAnsi="Times New Roman"/>
                <w:sz w:val="16"/>
              </w:rPr>
            </w:pPr>
          </w:p>
        </w:tc>
        <w:tc>
          <w:tcPr>
            <w:tcW w:w="573" w:type="dxa"/>
            <w:shd w:val="clear" w:color="auto" w:fill="auto"/>
            <w:noWrap/>
            <w:vAlign w:val="bottom"/>
            <w:hideMark/>
          </w:tcPr>
          <w:p w14:paraId="58F89525" w14:textId="77777777" w:rsidR="000D0C69" w:rsidRPr="002A73C5" w:rsidRDefault="000D0C69" w:rsidP="000C659B">
            <w:pPr>
              <w:spacing w:after="0" w:line="240" w:lineRule="auto"/>
              <w:rPr>
                <w:rFonts w:ascii="Times New Roman" w:hAnsi="Times New Roman"/>
                <w:b/>
                <w:sz w:val="16"/>
              </w:rPr>
            </w:pPr>
            <w:r w:rsidRPr="002A73C5">
              <w:rPr>
                <w:rFonts w:ascii="Times New Roman" w:hAnsi="Times New Roman"/>
                <w:b/>
                <w:sz w:val="16"/>
              </w:rPr>
              <w:t>ACT</w:t>
            </w:r>
          </w:p>
        </w:tc>
        <w:tc>
          <w:tcPr>
            <w:tcW w:w="551" w:type="dxa"/>
            <w:shd w:val="clear" w:color="auto" w:fill="auto"/>
            <w:noWrap/>
            <w:vAlign w:val="bottom"/>
            <w:hideMark/>
          </w:tcPr>
          <w:p w14:paraId="537E8D53" w14:textId="77777777" w:rsidR="000D0C69" w:rsidRPr="002A73C5" w:rsidRDefault="000D0C69" w:rsidP="00FF64CD">
            <w:pPr>
              <w:spacing w:after="0" w:line="240" w:lineRule="auto"/>
              <w:jc w:val="right"/>
              <w:rPr>
                <w:rFonts w:ascii="Times New Roman" w:hAnsi="Times New Roman"/>
                <w:sz w:val="16"/>
              </w:rPr>
            </w:pPr>
            <w:r w:rsidRPr="002A73C5">
              <w:rPr>
                <w:rFonts w:ascii="Times New Roman" w:hAnsi="Times New Roman"/>
                <w:sz w:val="16"/>
              </w:rPr>
              <w:t>1.4</w:t>
            </w:r>
          </w:p>
        </w:tc>
        <w:tc>
          <w:tcPr>
            <w:tcW w:w="551" w:type="dxa"/>
            <w:shd w:val="clear" w:color="auto" w:fill="auto"/>
            <w:noWrap/>
            <w:vAlign w:val="bottom"/>
            <w:hideMark/>
          </w:tcPr>
          <w:p w14:paraId="39007DAC"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4.6</w:t>
            </w:r>
          </w:p>
        </w:tc>
        <w:tc>
          <w:tcPr>
            <w:tcW w:w="551" w:type="dxa"/>
            <w:shd w:val="clear" w:color="auto" w:fill="auto"/>
            <w:noWrap/>
            <w:vAlign w:val="bottom"/>
            <w:hideMark/>
          </w:tcPr>
          <w:p w14:paraId="62E20520"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1.0</w:t>
            </w:r>
          </w:p>
        </w:tc>
        <w:tc>
          <w:tcPr>
            <w:tcW w:w="551" w:type="dxa"/>
            <w:shd w:val="clear" w:color="auto" w:fill="auto"/>
            <w:noWrap/>
            <w:vAlign w:val="bottom"/>
            <w:hideMark/>
          </w:tcPr>
          <w:p w14:paraId="13EB8E12"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2.4</w:t>
            </w:r>
          </w:p>
        </w:tc>
        <w:tc>
          <w:tcPr>
            <w:tcW w:w="552" w:type="dxa"/>
            <w:shd w:val="clear" w:color="auto" w:fill="auto"/>
            <w:noWrap/>
            <w:vAlign w:val="bottom"/>
            <w:hideMark/>
          </w:tcPr>
          <w:p w14:paraId="4EB5FC2A"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40.5</w:t>
            </w:r>
          </w:p>
        </w:tc>
        <w:tc>
          <w:tcPr>
            <w:tcW w:w="551" w:type="dxa"/>
            <w:shd w:val="clear" w:color="auto" w:fill="auto"/>
            <w:noWrap/>
            <w:vAlign w:val="bottom"/>
            <w:hideMark/>
          </w:tcPr>
          <w:p w14:paraId="3697B6DE"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3.6</w:t>
            </w:r>
          </w:p>
        </w:tc>
        <w:tc>
          <w:tcPr>
            <w:tcW w:w="551" w:type="dxa"/>
            <w:shd w:val="clear" w:color="auto" w:fill="auto"/>
            <w:noWrap/>
            <w:vAlign w:val="bottom"/>
            <w:hideMark/>
          </w:tcPr>
          <w:p w14:paraId="754F33CB"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6.4</w:t>
            </w:r>
          </w:p>
        </w:tc>
        <w:tc>
          <w:tcPr>
            <w:tcW w:w="551" w:type="dxa"/>
            <w:shd w:val="clear" w:color="auto" w:fill="auto"/>
            <w:noWrap/>
            <w:vAlign w:val="bottom"/>
            <w:hideMark/>
          </w:tcPr>
          <w:p w14:paraId="7A82E815"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1.3</w:t>
            </w:r>
          </w:p>
        </w:tc>
        <w:tc>
          <w:tcPr>
            <w:tcW w:w="552" w:type="dxa"/>
            <w:shd w:val="clear" w:color="auto" w:fill="auto"/>
            <w:noWrap/>
            <w:vAlign w:val="bottom"/>
            <w:hideMark/>
          </w:tcPr>
          <w:p w14:paraId="0B0E58DB"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0.5</w:t>
            </w:r>
          </w:p>
        </w:tc>
        <w:tc>
          <w:tcPr>
            <w:tcW w:w="551" w:type="dxa"/>
            <w:shd w:val="clear" w:color="auto" w:fill="auto"/>
            <w:noWrap/>
            <w:vAlign w:val="bottom"/>
            <w:hideMark/>
          </w:tcPr>
          <w:p w14:paraId="40737A56"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9291899"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8A179E1"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55CD6D7A"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44EDB8C3" w14:textId="77777777" w:rsidR="000D0C69" w:rsidRPr="002A73C5" w:rsidRDefault="000D0C69">
            <w:pPr>
              <w:spacing w:after="0" w:line="240" w:lineRule="auto"/>
              <w:jc w:val="right"/>
              <w:rPr>
                <w:rFonts w:ascii="Times New Roman" w:hAnsi="Times New Roman"/>
                <w:b/>
                <w:sz w:val="16"/>
              </w:rPr>
            </w:pPr>
            <w:r w:rsidRPr="002A73C5">
              <w:rPr>
                <w:rFonts w:ascii="Times New Roman" w:hAnsi="Times New Roman"/>
                <w:b/>
                <w:sz w:val="16"/>
              </w:rPr>
              <w:t>61.6</w:t>
            </w:r>
          </w:p>
        </w:tc>
      </w:tr>
      <w:tr w:rsidR="003C1902" w:rsidRPr="00F97BFF" w14:paraId="25F7476B" w14:textId="77777777" w:rsidTr="001003EB">
        <w:trPr>
          <w:trHeight w:val="204"/>
        </w:trPr>
        <w:tc>
          <w:tcPr>
            <w:tcW w:w="568" w:type="dxa"/>
            <w:shd w:val="clear" w:color="auto" w:fill="auto"/>
            <w:noWrap/>
            <w:vAlign w:val="bottom"/>
            <w:hideMark/>
          </w:tcPr>
          <w:p w14:paraId="1F738891" w14:textId="77777777" w:rsidR="000D0C69" w:rsidRPr="002A73C5" w:rsidRDefault="000D0C69"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2E4AE4FD" w14:textId="77777777" w:rsidR="000D0C69" w:rsidRPr="002A73C5" w:rsidRDefault="000D0C69" w:rsidP="000C659B">
            <w:pPr>
              <w:spacing w:after="0" w:line="240" w:lineRule="auto"/>
              <w:rPr>
                <w:rFonts w:ascii="Times New Roman" w:hAnsi="Times New Roman"/>
                <w:b/>
                <w:sz w:val="16"/>
              </w:rPr>
            </w:pPr>
            <w:r w:rsidRPr="002A73C5">
              <w:rPr>
                <w:rFonts w:ascii="Times New Roman" w:hAnsi="Times New Roman"/>
                <w:b/>
                <w:sz w:val="16"/>
              </w:rPr>
              <w:t>LCI</w:t>
            </w:r>
          </w:p>
        </w:tc>
        <w:tc>
          <w:tcPr>
            <w:tcW w:w="551" w:type="dxa"/>
            <w:shd w:val="clear" w:color="auto" w:fill="auto"/>
            <w:noWrap/>
            <w:vAlign w:val="bottom"/>
            <w:hideMark/>
          </w:tcPr>
          <w:p w14:paraId="0A3F8E3D" w14:textId="77777777" w:rsidR="000D0C69" w:rsidRPr="002A73C5" w:rsidRDefault="000D0C69" w:rsidP="00FF64CD">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34062D9"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1.6</w:t>
            </w:r>
          </w:p>
        </w:tc>
        <w:tc>
          <w:tcPr>
            <w:tcW w:w="551" w:type="dxa"/>
            <w:shd w:val="clear" w:color="auto" w:fill="auto"/>
            <w:noWrap/>
            <w:vAlign w:val="bottom"/>
            <w:hideMark/>
          </w:tcPr>
          <w:p w14:paraId="181CEA83"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3.6</w:t>
            </w:r>
          </w:p>
        </w:tc>
        <w:tc>
          <w:tcPr>
            <w:tcW w:w="551" w:type="dxa"/>
            <w:shd w:val="clear" w:color="auto" w:fill="auto"/>
            <w:noWrap/>
            <w:vAlign w:val="bottom"/>
            <w:hideMark/>
          </w:tcPr>
          <w:p w14:paraId="285D689A"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2.4</w:t>
            </w:r>
          </w:p>
        </w:tc>
        <w:tc>
          <w:tcPr>
            <w:tcW w:w="552" w:type="dxa"/>
            <w:shd w:val="clear" w:color="auto" w:fill="auto"/>
            <w:noWrap/>
            <w:vAlign w:val="bottom"/>
            <w:hideMark/>
          </w:tcPr>
          <w:p w14:paraId="22829A96"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40.5</w:t>
            </w:r>
          </w:p>
        </w:tc>
        <w:tc>
          <w:tcPr>
            <w:tcW w:w="551" w:type="dxa"/>
            <w:shd w:val="clear" w:color="auto" w:fill="auto"/>
            <w:noWrap/>
            <w:vAlign w:val="bottom"/>
            <w:hideMark/>
          </w:tcPr>
          <w:p w14:paraId="077140A4"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3.9</w:t>
            </w:r>
          </w:p>
        </w:tc>
        <w:tc>
          <w:tcPr>
            <w:tcW w:w="551" w:type="dxa"/>
            <w:shd w:val="clear" w:color="auto" w:fill="auto"/>
            <w:noWrap/>
            <w:vAlign w:val="bottom"/>
            <w:hideMark/>
          </w:tcPr>
          <w:p w14:paraId="1EC98662"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7.6</w:t>
            </w:r>
          </w:p>
        </w:tc>
        <w:tc>
          <w:tcPr>
            <w:tcW w:w="551" w:type="dxa"/>
            <w:shd w:val="clear" w:color="auto" w:fill="auto"/>
            <w:noWrap/>
            <w:vAlign w:val="bottom"/>
            <w:hideMark/>
          </w:tcPr>
          <w:p w14:paraId="343516EC"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1.3</w:t>
            </w:r>
          </w:p>
        </w:tc>
        <w:tc>
          <w:tcPr>
            <w:tcW w:w="552" w:type="dxa"/>
            <w:shd w:val="clear" w:color="auto" w:fill="auto"/>
            <w:noWrap/>
            <w:vAlign w:val="bottom"/>
            <w:hideMark/>
          </w:tcPr>
          <w:p w14:paraId="73BD33D9"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0.5</w:t>
            </w:r>
          </w:p>
        </w:tc>
        <w:tc>
          <w:tcPr>
            <w:tcW w:w="551" w:type="dxa"/>
            <w:shd w:val="clear" w:color="auto" w:fill="auto"/>
            <w:noWrap/>
            <w:vAlign w:val="bottom"/>
            <w:hideMark/>
          </w:tcPr>
          <w:p w14:paraId="3C7AFD0D"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54AA0E1"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B0ACAAE"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580E411D"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35E4CF73" w14:textId="77777777" w:rsidR="000D0C69" w:rsidRPr="002A73C5" w:rsidRDefault="000D0C69">
            <w:pPr>
              <w:spacing w:after="0" w:line="240" w:lineRule="auto"/>
              <w:jc w:val="right"/>
              <w:rPr>
                <w:rFonts w:ascii="Times New Roman" w:hAnsi="Times New Roman"/>
                <w:b/>
                <w:sz w:val="16"/>
              </w:rPr>
            </w:pPr>
            <w:r w:rsidRPr="002A73C5">
              <w:rPr>
                <w:rFonts w:ascii="Times New Roman" w:hAnsi="Times New Roman"/>
                <w:b/>
                <w:sz w:val="16"/>
              </w:rPr>
              <w:t>61.4</w:t>
            </w:r>
          </w:p>
        </w:tc>
      </w:tr>
      <w:tr w:rsidR="003C1902" w:rsidRPr="00F97BFF" w14:paraId="1226F97B" w14:textId="77777777" w:rsidTr="001003EB">
        <w:trPr>
          <w:trHeight w:val="204"/>
        </w:trPr>
        <w:tc>
          <w:tcPr>
            <w:tcW w:w="568" w:type="dxa"/>
            <w:shd w:val="clear" w:color="auto" w:fill="auto"/>
            <w:noWrap/>
            <w:vAlign w:val="bottom"/>
            <w:hideMark/>
          </w:tcPr>
          <w:p w14:paraId="1A7BA924" w14:textId="77777777" w:rsidR="000D0C69" w:rsidRPr="002A73C5" w:rsidRDefault="000D0C69"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151498AE" w14:textId="77777777" w:rsidR="000D0C69" w:rsidRPr="002A73C5" w:rsidRDefault="000D0C69" w:rsidP="000C659B">
            <w:pPr>
              <w:spacing w:after="0" w:line="240" w:lineRule="auto"/>
              <w:rPr>
                <w:rFonts w:ascii="Times New Roman" w:hAnsi="Times New Roman"/>
                <w:b/>
                <w:sz w:val="16"/>
              </w:rPr>
            </w:pPr>
            <w:r w:rsidRPr="002A73C5">
              <w:rPr>
                <w:rFonts w:ascii="Times New Roman" w:hAnsi="Times New Roman"/>
                <w:b/>
                <w:sz w:val="16"/>
              </w:rPr>
              <w:t>CAS</w:t>
            </w:r>
          </w:p>
        </w:tc>
        <w:tc>
          <w:tcPr>
            <w:tcW w:w="551" w:type="dxa"/>
            <w:shd w:val="clear" w:color="auto" w:fill="auto"/>
            <w:noWrap/>
            <w:vAlign w:val="bottom"/>
            <w:hideMark/>
          </w:tcPr>
          <w:p w14:paraId="52321371" w14:textId="77777777" w:rsidR="000D0C69" w:rsidRPr="002A73C5" w:rsidRDefault="000D0C69" w:rsidP="00FF64CD">
            <w:pPr>
              <w:spacing w:after="0" w:line="240" w:lineRule="auto"/>
              <w:jc w:val="right"/>
              <w:rPr>
                <w:rFonts w:ascii="Times New Roman" w:hAnsi="Times New Roman"/>
                <w:sz w:val="16"/>
              </w:rPr>
            </w:pPr>
            <w:r w:rsidRPr="002A73C5">
              <w:rPr>
                <w:rFonts w:ascii="Times New Roman" w:hAnsi="Times New Roman"/>
                <w:sz w:val="16"/>
              </w:rPr>
              <w:t>1.4</w:t>
            </w:r>
          </w:p>
        </w:tc>
        <w:tc>
          <w:tcPr>
            <w:tcW w:w="551" w:type="dxa"/>
            <w:shd w:val="clear" w:color="auto" w:fill="auto"/>
            <w:noWrap/>
            <w:vAlign w:val="bottom"/>
            <w:hideMark/>
          </w:tcPr>
          <w:p w14:paraId="6620B3C9"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0.8</w:t>
            </w:r>
          </w:p>
        </w:tc>
        <w:tc>
          <w:tcPr>
            <w:tcW w:w="551" w:type="dxa"/>
            <w:shd w:val="clear" w:color="auto" w:fill="auto"/>
            <w:noWrap/>
            <w:vAlign w:val="bottom"/>
            <w:hideMark/>
          </w:tcPr>
          <w:p w14:paraId="0F9E08C7"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1.0</w:t>
            </w:r>
          </w:p>
        </w:tc>
        <w:tc>
          <w:tcPr>
            <w:tcW w:w="551" w:type="dxa"/>
            <w:shd w:val="clear" w:color="auto" w:fill="auto"/>
            <w:noWrap/>
            <w:vAlign w:val="bottom"/>
            <w:hideMark/>
          </w:tcPr>
          <w:p w14:paraId="3CC37D34"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1.9</w:t>
            </w:r>
          </w:p>
        </w:tc>
        <w:tc>
          <w:tcPr>
            <w:tcW w:w="552" w:type="dxa"/>
            <w:shd w:val="clear" w:color="auto" w:fill="auto"/>
            <w:noWrap/>
            <w:vAlign w:val="bottom"/>
            <w:hideMark/>
          </w:tcPr>
          <w:p w14:paraId="32A71599"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38.2</w:t>
            </w:r>
          </w:p>
        </w:tc>
        <w:tc>
          <w:tcPr>
            <w:tcW w:w="551" w:type="dxa"/>
            <w:shd w:val="clear" w:color="auto" w:fill="auto"/>
            <w:noWrap/>
            <w:vAlign w:val="bottom"/>
            <w:hideMark/>
          </w:tcPr>
          <w:p w14:paraId="4EF46307"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3.0</w:t>
            </w:r>
          </w:p>
        </w:tc>
        <w:tc>
          <w:tcPr>
            <w:tcW w:w="551" w:type="dxa"/>
            <w:shd w:val="clear" w:color="auto" w:fill="auto"/>
            <w:noWrap/>
            <w:vAlign w:val="bottom"/>
            <w:hideMark/>
          </w:tcPr>
          <w:p w14:paraId="1087D239"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6.1</w:t>
            </w:r>
          </w:p>
        </w:tc>
        <w:tc>
          <w:tcPr>
            <w:tcW w:w="551" w:type="dxa"/>
            <w:shd w:val="clear" w:color="auto" w:fill="auto"/>
            <w:noWrap/>
            <w:vAlign w:val="bottom"/>
            <w:hideMark/>
          </w:tcPr>
          <w:p w14:paraId="45987D8B"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1.3</w:t>
            </w:r>
          </w:p>
        </w:tc>
        <w:tc>
          <w:tcPr>
            <w:tcW w:w="552" w:type="dxa"/>
            <w:shd w:val="clear" w:color="auto" w:fill="auto"/>
            <w:noWrap/>
            <w:vAlign w:val="bottom"/>
            <w:hideMark/>
          </w:tcPr>
          <w:p w14:paraId="0615171D"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0.5</w:t>
            </w:r>
          </w:p>
        </w:tc>
        <w:tc>
          <w:tcPr>
            <w:tcW w:w="551" w:type="dxa"/>
            <w:shd w:val="clear" w:color="auto" w:fill="auto"/>
            <w:noWrap/>
            <w:vAlign w:val="bottom"/>
            <w:hideMark/>
          </w:tcPr>
          <w:p w14:paraId="7224704D"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AF51FB9"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8CEEFD3"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25D32F9F" w14:textId="77777777" w:rsidR="000D0C69" w:rsidRPr="002A73C5" w:rsidRDefault="000D0C69">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31D6A28E" w14:textId="77777777" w:rsidR="000D0C69" w:rsidRPr="002A73C5" w:rsidRDefault="000D0C69">
            <w:pPr>
              <w:spacing w:after="0" w:line="240" w:lineRule="auto"/>
              <w:jc w:val="right"/>
              <w:rPr>
                <w:rFonts w:ascii="Times New Roman" w:hAnsi="Times New Roman"/>
                <w:b/>
                <w:sz w:val="16"/>
              </w:rPr>
            </w:pPr>
            <w:r w:rsidRPr="002A73C5">
              <w:rPr>
                <w:rFonts w:ascii="Times New Roman" w:hAnsi="Times New Roman"/>
                <w:b/>
                <w:sz w:val="16"/>
              </w:rPr>
              <w:t>54.1</w:t>
            </w:r>
          </w:p>
        </w:tc>
      </w:tr>
      <w:tr w:rsidR="006834FA" w:rsidRPr="00F97BFF" w14:paraId="3F7CE493" w14:textId="77777777" w:rsidTr="001003EB">
        <w:trPr>
          <w:trHeight w:val="204"/>
        </w:trPr>
        <w:tc>
          <w:tcPr>
            <w:tcW w:w="568" w:type="dxa"/>
            <w:shd w:val="clear" w:color="auto" w:fill="auto"/>
            <w:noWrap/>
            <w:vAlign w:val="bottom"/>
            <w:hideMark/>
          </w:tcPr>
          <w:p w14:paraId="7C3D99A1" w14:textId="77F6160D" w:rsidR="006834FA" w:rsidRPr="002A73C5" w:rsidRDefault="006834FA" w:rsidP="001003EB">
            <w:pPr>
              <w:spacing w:after="0" w:line="240" w:lineRule="auto"/>
              <w:ind w:right="-108"/>
              <w:rPr>
                <w:rFonts w:ascii="Times New Roman" w:hAnsi="Times New Roman"/>
                <w:b/>
                <w:sz w:val="16"/>
              </w:rPr>
            </w:pPr>
            <w:r w:rsidRPr="002A73C5">
              <w:rPr>
                <w:rFonts w:ascii="Times New Roman" w:hAnsi="Times New Roman"/>
                <w:b/>
                <w:sz w:val="16"/>
              </w:rPr>
              <w:t>PM</w:t>
            </w:r>
            <w:r w:rsidRPr="002A73C5">
              <w:rPr>
                <w:rFonts w:ascii="Times New Roman" w:hAnsi="Times New Roman"/>
                <w:b/>
                <w:sz w:val="16"/>
                <w:vertAlign w:val="subscript"/>
              </w:rPr>
              <w:t>2.5</w:t>
            </w:r>
          </w:p>
        </w:tc>
        <w:tc>
          <w:tcPr>
            <w:tcW w:w="573" w:type="dxa"/>
            <w:shd w:val="clear" w:color="auto" w:fill="auto"/>
            <w:noWrap/>
            <w:vAlign w:val="bottom"/>
            <w:hideMark/>
          </w:tcPr>
          <w:p w14:paraId="623BAD4C"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BAU</w:t>
            </w:r>
          </w:p>
        </w:tc>
        <w:tc>
          <w:tcPr>
            <w:tcW w:w="551" w:type="dxa"/>
            <w:shd w:val="clear" w:color="auto" w:fill="auto"/>
            <w:noWrap/>
            <w:vAlign w:val="bottom"/>
            <w:hideMark/>
          </w:tcPr>
          <w:p w14:paraId="26742789"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6.5</w:t>
            </w:r>
          </w:p>
        </w:tc>
        <w:tc>
          <w:tcPr>
            <w:tcW w:w="551" w:type="dxa"/>
            <w:shd w:val="clear" w:color="auto" w:fill="auto"/>
            <w:noWrap/>
            <w:vAlign w:val="bottom"/>
            <w:hideMark/>
          </w:tcPr>
          <w:p w14:paraId="511D6DF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6.9</w:t>
            </w:r>
          </w:p>
        </w:tc>
        <w:tc>
          <w:tcPr>
            <w:tcW w:w="551" w:type="dxa"/>
            <w:shd w:val="clear" w:color="auto" w:fill="auto"/>
            <w:noWrap/>
            <w:vAlign w:val="bottom"/>
            <w:hideMark/>
          </w:tcPr>
          <w:p w14:paraId="7110633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1.3</w:t>
            </w:r>
          </w:p>
        </w:tc>
        <w:tc>
          <w:tcPr>
            <w:tcW w:w="551" w:type="dxa"/>
            <w:shd w:val="clear" w:color="auto" w:fill="auto"/>
            <w:noWrap/>
            <w:vAlign w:val="bottom"/>
            <w:hideMark/>
          </w:tcPr>
          <w:p w14:paraId="1CBBF21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2.3</w:t>
            </w:r>
          </w:p>
        </w:tc>
        <w:tc>
          <w:tcPr>
            <w:tcW w:w="552" w:type="dxa"/>
            <w:shd w:val="clear" w:color="auto" w:fill="auto"/>
            <w:noWrap/>
            <w:vAlign w:val="bottom"/>
            <w:hideMark/>
          </w:tcPr>
          <w:p w14:paraId="7142B7B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6.2</w:t>
            </w:r>
          </w:p>
        </w:tc>
        <w:tc>
          <w:tcPr>
            <w:tcW w:w="551" w:type="dxa"/>
            <w:shd w:val="clear" w:color="auto" w:fill="auto"/>
            <w:noWrap/>
            <w:vAlign w:val="bottom"/>
            <w:hideMark/>
          </w:tcPr>
          <w:p w14:paraId="278EC82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3.9</w:t>
            </w:r>
          </w:p>
        </w:tc>
        <w:tc>
          <w:tcPr>
            <w:tcW w:w="551" w:type="dxa"/>
            <w:shd w:val="clear" w:color="auto" w:fill="auto"/>
            <w:noWrap/>
            <w:vAlign w:val="bottom"/>
            <w:hideMark/>
          </w:tcPr>
          <w:p w14:paraId="2BA0CCD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0.8</w:t>
            </w:r>
          </w:p>
        </w:tc>
        <w:tc>
          <w:tcPr>
            <w:tcW w:w="551" w:type="dxa"/>
            <w:shd w:val="clear" w:color="auto" w:fill="auto"/>
            <w:noWrap/>
            <w:vAlign w:val="bottom"/>
            <w:hideMark/>
          </w:tcPr>
          <w:p w14:paraId="52DF440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0.3</w:t>
            </w:r>
          </w:p>
        </w:tc>
        <w:tc>
          <w:tcPr>
            <w:tcW w:w="552" w:type="dxa"/>
            <w:shd w:val="clear" w:color="auto" w:fill="auto"/>
            <w:noWrap/>
            <w:vAlign w:val="bottom"/>
            <w:hideMark/>
          </w:tcPr>
          <w:p w14:paraId="5A42686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0.4</w:t>
            </w:r>
          </w:p>
        </w:tc>
        <w:tc>
          <w:tcPr>
            <w:tcW w:w="551" w:type="dxa"/>
            <w:shd w:val="clear" w:color="auto" w:fill="auto"/>
            <w:noWrap/>
            <w:vAlign w:val="bottom"/>
            <w:hideMark/>
          </w:tcPr>
          <w:p w14:paraId="40AD4FA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3D49D2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E9D5D2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160A4F7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24969272"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28.6</w:t>
            </w:r>
          </w:p>
        </w:tc>
      </w:tr>
      <w:tr w:rsidR="006834FA" w:rsidRPr="00F97BFF" w14:paraId="6C2F04D7" w14:textId="77777777" w:rsidTr="001003EB">
        <w:trPr>
          <w:trHeight w:val="204"/>
        </w:trPr>
        <w:tc>
          <w:tcPr>
            <w:tcW w:w="568" w:type="dxa"/>
            <w:shd w:val="clear" w:color="auto" w:fill="auto"/>
            <w:noWrap/>
            <w:vAlign w:val="bottom"/>
          </w:tcPr>
          <w:p w14:paraId="3559A7FB" w14:textId="57903AAE"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4B8E1416"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ACT</w:t>
            </w:r>
          </w:p>
        </w:tc>
        <w:tc>
          <w:tcPr>
            <w:tcW w:w="551" w:type="dxa"/>
            <w:shd w:val="clear" w:color="auto" w:fill="auto"/>
            <w:noWrap/>
            <w:vAlign w:val="bottom"/>
            <w:hideMark/>
          </w:tcPr>
          <w:p w14:paraId="24A569E8"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1.1</w:t>
            </w:r>
          </w:p>
        </w:tc>
        <w:tc>
          <w:tcPr>
            <w:tcW w:w="551" w:type="dxa"/>
            <w:shd w:val="clear" w:color="auto" w:fill="auto"/>
            <w:noWrap/>
            <w:vAlign w:val="bottom"/>
            <w:hideMark/>
          </w:tcPr>
          <w:p w14:paraId="78DCC1E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3.8</w:t>
            </w:r>
          </w:p>
        </w:tc>
        <w:tc>
          <w:tcPr>
            <w:tcW w:w="551" w:type="dxa"/>
            <w:shd w:val="clear" w:color="auto" w:fill="auto"/>
            <w:noWrap/>
            <w:vAlign w:val="bottom"/>
            <w:hideMark/>
          </w:tcPr>
          <w:p w14:paraId="4808500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0.3</w:t>
            </w:r>
          </w:p>
        </w:tc>
        <w:tc>
          <w:tcPr>
            <w:tcW w:w="551" w:type="dxa"/>
            <w:shd w:val="clear" w:color="auto" w:fill="auto"/>
            <w:noWrap/>
            <w:vAlign w:val="bottom"/>
            <w:hideMark/>
          </w:tcPr>
          <w:p w14:paraId="01F2051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2.3</w:t>
            </w:r>
          </w:p>
        </w:tc>
        <w:tc>
          <w:tcPr>
            <w:tcW w:w="552" w:type="dxa"/>
            <w:shd w:val="clear" w:color="auto" w:fill="auto"/>
            <w:noWrap/>
            <w:vAlign w:val="bottom"/>
            <w:hideMark/>
          </w:tcPr>
          <w:p w14:paraId="3CBAFFB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6.2</w:t>
            </w:r>
          </w:p>
        </w:tc>
        <w:tc>
          <w:tcPr>
            <w:tcW w:w="551" w:type="dxa"/>
            <w:shd w:val="clear" w:color="auto" w:fill="auto"/>
            <w:noWrap/>
            <w:vAlign w:val="bottom"/>
            <w:hideMark/>
          </w:tcPr>
          <w:p w14:paraId="6CF071E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3.6</w:t>
            </w:r>
          </w:p>
        </w:tc>
        <w:tc>
          <w:tcPr>
            <w:tcW w:w="551" w:type="dxa"/>
            <w:shd w:val="clear" w:color="auto" w:fill="auto"/>
            <w:noWrap/>
            <w:vAlign w:val="bottom"/>
            <w:hideMark/>
          </w:tcPr>
          <w:p w14:paraId="5F4DE59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0.7</w:t>
            </w:r>
          </w:p>
        </w:tc>
        <w:tc>
          <w:tcPr>
            <w:tcW w:w="551" w:type="dxa"/>
            <w:shd w:val="clear" w:color="auto" w:fill="auto"/>
            <w:noWrap/>
            <w:vAlign w:val="bottom"/>
            <w:hideMark/>
          </w:tcPr>
          <w:p w14:paraId="4A6E6AE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0.3</w:t>
            </w:r>
          </w:p>
        </w:tc>
        <w:tc>
          <w:tcPr>
            <w:tcW w:w="552" w:type="dxa"/>
            <w:shd w:val="clear" w:color="auto" w:fill="auto"/>
            <w:noWrap/>
            <w:vAlign w:val="bottom"/>
            <w:hideMark/>
          </w:tcPr>
          <w:p w14:paraId="0908534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0.4</w:t>
            </w:r>
          </w:p>
        </w:tc>
        <w:tc>
          <w:tcPr>
            <w:tcW w:w="551" w:type="dxa"/>
            <w:shd w:val="clear" w:color="auto" w:fill="auto"/>
            <w:noWrap/>
            <w:vAlign w:val="bottom"/>
            <w:hideMark/>
          </w:tcPr>
          <w:p w14:paraId="1F705E9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4EA2B8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6950EB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6F619A0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0E5EF6CE"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18.7</w:t>
            </w:r>
          </w:p>
        </w:tc>
      </w:tr>
      <w:tr w:rsidR="006834FA" w:rsidRPr="00F97BFF" w14:paraId="74613BB6" w14:textId="77777777" w:rsidTr="001003EB">
        <w:trPr>
          <w:trHeight w:val="204"/>
        </w:trPr>
        <w:tc>
          <w:tcPr>
            <w:tcW w:w="568" w:type="dxa"/>
            <w:shd w:val="clear" w:color="auto" w:fill="auto"/>
            <w:noWrap/>
            <w:vAlign w:val="bottom"/>
            <w:hideMark/>
          </w:tcPr>
          <w:p w14:paraId="62D99B4C"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5127A1BA"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LCI</w:t>
            </w:r>
          </w:p>
        </w:tc>
        <w:tc>
          <w:tcPr>
            <w:tcW w:w="551" w:type="dxa"/>
            <w:shd w:val="clear" w:color="auto" w:fill="auto"/>
            <w:noWrap/>
            <w:vAlign w:val="bottom"/>
            <w:hideMark/>
          </w:tcPr>
          <w:p w14:paraId="787444B8"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F7D331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1.1</w:t>
            </w:r>
          </w:p>
        </w:tc>
        <w:tc>
          <w:tcPr>
            <w:tcW w:w="551" w:type="dxa"/>
            <w:shd w:val="clear" w:color="auto" w:fill="auto"/>
            <w:noWrap/>
            <w:vAlign w:val="bottom"/>
            <w:hideMark/>
          </w:tcPr>
          <w:p w14:paraId="211ECB8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1.3</w:t>
            </w:r>
          </w:p>
        </w:tc>
        <w:tc>
          <w:tcPr>
            <w:tcW w:w="551" w:type="dxa"/>
            <w:shd w:val="clear" w:color="auto" w:fill="auto"/>
            <w:noWrap/>
            <w:vAlign w:val="bottom"/>
            <w:hideMark/>
          </w:tcPr>
          <w:p w14:paraId="35720A4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2.3</w:t>
            </w:r>
          </w:p>
        </w:tc>
        <w:tc>
          <w:tcPr>
            <w:tcW w:w="552" w:type="dxa"/>
            <w:shd w:val="clear" w:color="auto" w:fill="auto"/>
            <w:noWrap/>
            <w:vAlign w:val="bottom"/>
            <w:hideMark/>
          </w:tcPr>
          <w:p w14:paraId="730012C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6.2</w:t>
            </w:r>
          </w:p>
        </w:tc>
        <w:tc>
          <w:tcPr>
            <w:tcW w:w="551" w:type="dxa"/>
            <w:shd w:val="clear" w:color="auto" w:fill="auto"/>
            <w:noWrap/>
            <w:vAlign w:val="bottom"/>
            <w:hideMark/>
          </w:tcPr>
          <w:p w14:paraId="64DDAB8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3.9</w:t>
            </w:r>
          </w:p>
        </w:tc>
        <w:tc>
          <w:tcPr>
            <w:tcW w:w="551" w:type="dxa"/>
            <w:shd w:val="clear" w:color="auto" w:fill="auto"/>
            <w:noWrap/>
            <w:vAlign w:val="bottom"/>
            <w:hideMark/>
          </w:tcPr>
          <w:p w14:paraId="270ADD8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0.8</w:t>
            </w:r>
          </w:p>
        </w:tc>
        <w:tc>
          <w:tcPr>
            <w:tcW w:w="551" w:type="dxa"/>
            <w:shd w:val="clear" w:color="auto" w:fill="auto"/>
            <w:noWrap/>
            <w:vAlign w:val="bottom"/>
            <w:hideMark/>
          </w:tcPr>
          <w:p w14:paraId="66E111F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0.3</w:t>
            </w:r>
          </w:p>
        </w:tc>
        <w:tc>
          <w:tcPr>
            <w:tcW w:w="552" w:type="dxa"/>
            <w:shd w:val="clear" w:color="auto" w:fill="auto"/>
            <w:noWrap/>
            <w:vAlign w:val="bottom"/>
            <w:hideMark/>
          </w:tcPr>
          <w:p w14:paraId="637B9BC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0.4</w:t>
            </w:r>
          </w:p>
        </w:tc>
        <w:tc>
          <w:tcPr>
            <w:tcW w:w="551" w:type="dxa"/>
            <w:shd w:val="clear" w:color="auto" w:fill="auto"/>
            <w:noWrap/>
            <w:vAlign w:val="bottom"/>
            <w:hideMark/>
          </w:tcPr>
          <w:p w14:paraId="18141A1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639439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DE3A96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51E7170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296A76ED"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16.3</w:t>
            </w:r>
          </w:p>
        </w:tc>
      </w:tr>
      <w:tr w:rsidR="006834FA" w:rsidRPr="00F97BFF" w14:paraId="67DE72D6" w14:textId="77777777" w:rsidTr="001003EB">
        <w:trPr>
          <w:trHeight w:val="204"/>
        </w:trPr>
        <w:tc>
          <w:tcPr>
            <w:tcW w:w="568" w:type="dxa"/>
            <w:shd w:val="clear" w:color="auto" w:fill="auto"/>
            <w:noWrap/>
            <w:vAlign w:val="bottom"/>
            <w:hideMark/>
          </w:tcPr>
          <w:p w14:paraId="513C983F"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1CA98EB7"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CAS</w:t>
            </w:r>
          </w:p>
        </w:tc>
        <w:tc>
          <w:tcPr>
            <w:tcW w:w="551" w:type="dxa"/>
            <w:shd w:val="clear" w:color="auto" w:fill="auto"/>
            <w:noWrap/>
            <w:vAlign w:val="bottom"/>
            <w:hideMark/>
          </w:tcPr>
          <w:p w14:paraId="2FD4D68D"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1.1</w:t>
            </w:r>
          </w:p>
        </w:tc>
        <w:tc>
          <w:tcPr>
            <w:tcW w:w="551" w:type="dxa"/>
            <w:shd w:val="clear" w:color="auto" w:fill="auto"/>
            <w:noWrap/>
            <w:vAlign w:val="bottom"/>
            <w:hideMark/>
          </w:tcPr>
          <w:p w14:paraId="1337B16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0.7</w:t>
            </w:r>
          </w:p>
        </w:tc>
        <w:tc>
          <w:tcPr>
            <w:tcW w:w="551" w:type="dxa"/>
            <w:shd w:val="clear" w:color="auto" w:fill="auto"/>
            <w:noWrap/>
            <w:vAlign w:val="bottom"/>
            <w:hideMark/>
          </w:tcPr>
          <w:p w14:paraId="5A9E39A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0.3</w:t>
            </w:r>
          </w:p>
        </w:tc>
        <w:tc>
          <w:tcPr>
            <w:tcW w:w="551" w:type="dxa"/>
            <w:shd w:val="clear" w:color="auto" w:fill="auto"/>
            <w:noWrap/>
            <w:vAlign w:val="bottom"/>
            <w:hideMark/>
          </w:tcPr>
          <w:p w14:paraId="0317799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1.8</w:t>
            </w:r>
          </w:p>
        </w:tc>
        <w:tc>
          <w:tcPr>
            <w:tcW w:w="552" w:type="dxa"/>
            <w:shd w:val="clear" w:color="auto" w:fill="auto"/>
            <w:noWrap/>
            <w:vAlign w:val="bottom"/>
            <w:hideMark/>
          </w:tcPr>
          <w:p w14:paraId="36A0643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5.8</w:t>
            </w:r>
          </w:p>
        </w:tc>
        <w:tc>
          <w:tcPr>
            <w:tcW w:w="551" w:type="dxa"/>
            <w:shd w:val="clear" w:color="auto" w:fill="auto"/>
            <w:noWrap/>
            <w:vAlign w:val="bottom"/>
            <w:hideMark/>
          </w:tcPr>
          <w:p w14:paraId="4232052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3.0</w:t>
            </w:r>
          </w:p>
        </w:tc>
        <w:tc>
          <w:tcPr>
            <w:tcW w:w="551" w:type="dxa"/>
            <w:shd w:val="clear" w:color="auto" w:fill="auto"/>
            <w:noWrap/>
            <w:vAlign w:val="bottom"/>
            <w:hideMark/>
          </w:tcPr>
          <w:p w14:paraId="13FB775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0.7</w:t>
            </w:r>
          </w:p>
        </w:tc>
        <w:tc>
          <w:tcPr>
            <w:tcW w:w="551" w:type="dxa"/>
            <w:shd w:val="clear" w:color="auto" w:fill="auto"/>
            <w:noWrap/>
            <w:vAlign w:val="bottom"/>
            <w:hideMark/>
          </w:tcPr>
          <w:p w14:paraId="311F035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0.3</w:t>
            </w:r>
          </w:p>
        </w:tc>
        <w:tc>
          <w:tcPr>
            <w:tcW w:w="552" w:type="dxa"/>
            <w:shd w:val="clear" w:color="auto" w:fill="auto"/>
            <w:noWrap/>
            <w:vAlign w:val="bottom"/>
            <w:hideMark/>
          </w:tcPr>
          <w:p w14:paraId="0DD0620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0.4</w:t>
            </w:r>
          </w:p>
        </w:tc>
        <w:tc>
          <w:tcPr>
            <w:tcW w:w="551" w:type="dxa"/>
            <w:shd w:val="clear" w:color="auto" w:fill="auto"/>
            <w:noWrap/>
            <w:vAlign w:val="bottom"/>
            <w:hideMark/>
          </w:tcPr>
          <w:p w14:paraId="0E4C465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F33FF4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8D5280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146E4BB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665BB93E"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14.1</w:t>
            </w:r>
          </w:p>
        </w:tc>
      </w:tr>
      <w:tr w:rsidR="006834FA" w:rsidRPr="00F97BFF" w14:paraId="50FEB7D1" w14:textId="77777777" w:rsidTr="001003EB">
        <w:trPr>
          <w:trHeight w:val="204"/>
        </w:trPr>
        <w:tc>
          <w:tcPr>
            <w:tcW w:w="568" w:type="dxa"/>
            <w:shd w:val="clear" w:color="auto" w:fill="auto"/>
            <w:noWrap/>
            <w:vAlign w:val="bottom"/>
            <w:hideMark/>
          </w:tcPr>
          <w:p w14:paraId="5BE86A7C" w14:textId="4FC65872" w:rsidR="006834FA" w:rsidRPr="002A73C5" w:rsidRDefault="005322D8" w:rsidP="001003EB">
            <w:pPr>
              <w:spacing w:after="0" w:line="240" w:lineRule="auto"/>
              <w:ind w:right="-108"/>
              <w:rPr>
                <w:rFonts w:ascii="Times New Roman" w:hAnsi="Times New Roman"/>
                <w:b/>
                <w:sz w:val="16"/>
              </w:rPr>
            </w:pPr>
            <w:r w:rsidRPr="002A73C5">
              <w:rPr>
                <w:rFonts w:ascii="Times New Roman" w:hAnsi="Times New Roman"/>
                <w:b/>
                <w:sz w:val="16"/>
              </w:rPr>
              <w:t>BC</w:t>
            </w:r>
          </w:p>
        </w:tc>
        <w:tc>
          <w:tcPr>
            <w:tcW w:w="573" w:type="dxa"/>
            <w:shd w:val="clear" w:color="auto" w:fill="auto"/>
            <w:noWrap/>
            <w:vAlign w:val="bottom"/>
            <w:hideMark/>
          </w:tcPr>
          <w:p w14:paraId="7E4A02B7"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BAU</w:t>
            </w:r>
          </w:p>
        </w:tc>
        <w:tc>
          <w:tcPr>
            <w:tcW w:w="551" w:type="dxa"/>
            <w:shd w:val="clear" w:color="auto" w:fill="auto"/>
            <w:noWrap/>
            <w:vAlign w:val="bottom"/>
            <w:hideMark/>
          </w:tcPr>
          <w:p w14:paraId="7857275B"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28DB81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1.3</w:t>
            </w:r>
          </w:p>
        </w:tc>
        <w:tc>
          <w:tcPr>
            <w:tcW w:w="551" w:type="dxa"/>
            <w:shd w:val="clear" w:color="auto" w:fill="auto"/>
            <w:noWrap/>
            <w:vAlign w:val="bottom"/>
            <w:hideMark/>
          </w:tcPr>
          <w:p w14:paraId="51DBD85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A0866B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0.9</w:t>
            </w:r>
          </w:p>
        </w:tc>
        <w:tc>
          <w:tcPr>
            <w:tcW w:w="552" w:type="dxa"/>
            <w:shd w:val="clear" w:color="auto" w:fill="auto"/>
            <w:noWrap/>
            <w:vAlign w:val="bottom"/>
            <w:hideMark/>
          </w:tcPr>
          <w:p w14:paraId="2F5948C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0.9</w:t>
            </w:r>
          </w:p>
        </w:tc>
        <w:tc>
          <w:tcPr>
            <w:tcW w:w="551" w:type="dxa"/>
            <w:shd w:val="clear" w:color="auto" w:fill="auto"/>
            <w:noWrap/>
            <w:vAlign w:val="bottom"/>
            <w:hideMark/>
          </w:tcPr>
          <w:p w14:paraId="0F49F37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0.4</w:t>
            </w:r>
          </w:p>
        </w:tc>
        <w:tc>
          <w:tcPr>
            <w:tcW w:w="551" w:type="dxa"/>
            <w:shd w:val="clear" w:color="auto" w:fill="auto"/>
            <w:noWrap/>
            <w:vAlign w:val="bottom"/>
            <w:hideMark/>
          </w:tcPr>
          <w:p w14:paraId="230D77F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6C01BD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22F9E50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67D3D4B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4938F6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BF0202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760D6C0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7BF71572"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3.6</w:t>
            </w:r>
          </w:p>
        </w:tc>
      </w:tr>
      <w:tr w:rsidR="006834FA" w:rsidRPr="00F97BFF" w14:paraId="49CFA4AE" w14:textId="77777777" w:rsidTr="001003EB">
        <w:trPr>
          <w:trHeight w:val="204"/>
        </w:trPr>
        <w:tc>
          <w:tcPr>
            <w:tcW w:w="568" w:type="dxa"/>
            <w:shd w:val="clear" w:color="auto" w:fill="auto"/>
            <w:noWrap/>
            <w:vAlign w:val="bottom"/>
            <w:hideMark/>
          </w:tcPr>
          <w:p w14:paraId="56DE9B13"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34F0130D"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ACT</w:t>
            </w:r>
          </w:p>
        </w:tc>
        <w:tc>
          <w:tcPr>
            <w:tcW w:w="551" w:type="dxa"/>
            <w:shd w:val="clear" w:color="auto" w:fill="auto"/>
            <w:noWrap/>
            <w:vAlign w:val="bottom"/>
            <w:hideMark/>
          </w:tcPr>
          <w:p w14:paraId="7917A9D1"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BDABDC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1.2</w:t>
            </w:r>
          </w:p>
        </w:tc>
        <w:tc>
          <w:tcPr>
            <w:tcW w:w="551" w:type="dxa"/>
            <w:shd w:val="clear" w:color="auto" w:fill="auto"/>
            <w:noWrap/>
            <w:vAlign w:val="bottom"/>
            <w:hideMark/>
          </w:tcPr>
          <w:p w14:paraId="31B0132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ADB830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0.9</w:t>
            </w:r>
          </w:p>
        </w:tc>
        <w:tc>
          <w:tcPr>
            <w:tcW w:w="552" w:type="dxa"/>
            <w:shd w:val="clear" w:color="auto" w:fill="auto"/>
            <w:noWrap/>
            <w:vAlign w:val="bottom"/>
            <w:hideMark/>
          </w:tcPr>
          <w:p w14:paraId="623F794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0.9</w:t>
            </w:r>
          </w:p>
        </w:tc>
        <w:tc>
          <w:tcPr>
            <w:tcW w:w="551" w:type="dxa"/>
            <w:shd w:val="clear" w:color="auto" w:fill="auto"/>
            <w:noWrap/>
            <w:vAlign w:val="bottom"/>
            <w:hideMark/>
          </w:tcPr>
          <w:p w14:paraId="381CF77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0.3</w:t>
            </w:r>
          </w:p>
        </w:tc>
        <w:tc>
          <w:tcPr>
            <w:tcW w:w="551" w:type="dxa"/>
            <w:shd w:val="clear" w:color="auto" w:fill="auto"/>
            <w:noWrap/>
            <w:vAlign w:val="bottom"/>
            <w:hideMark/>
          </w:tcPr>
          <w:p w14:paraId="4A4EFD3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355883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1357804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1EE0AC3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C3A6E1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89EABE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5A36335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6C5D13DB"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3.6</w:t>
            </w:r>
          </w:p>
        </w:tc>
      </w:tr>
      <w:tr w:rsidR="006834FA" w:rsidRPr="00F97BFF" w14:paraId="1071222A" w14:textId="77777777" w:rsidTr="001003EB">
        <w:trPr>
          <w:trHeight w:val="204"/>
        </w:trPr>
        <w:tc>
          <w:tcPr>
            <w:tcW w:w="568" w:type="dxa"/>
            <w:shd w:val="clear" w:color="auto" w:fill="auto"/>
            <w:noWrap/>
            <w:vAlign w:val="bottom"/>
            <w:hideMark/>
          </w:tcPr>
          <w:p w14:paraId="3DED853F" w14:textId="6462618C" w:rsidR="006834FA" w:rsidRPr="002A73C5" w:rsidRDefault="006834FA" w:rsidP="001003EB">
            <w:pPr>
              <w:spacing w:after="0" w:line="240" w:lineRule="auto"/>
              <w:ind w:right="-108"/>
              <w:jc w:val="both"/>
              <w:rPr>
                <w:rFonts w:ascii="Times New Roman" w:hAnsi="Times New Roman"/>
                <w:b/>
                <w:sz w:val="16"/>
              </w:rPr>
            </w:pPr>
          </w:p>
        </w:tc>
        <w:tc>
          <w:tcPr>
            <w:tcW w:w="573" w:type="dxa"/>
            <w:shd w:val="clear" w:color="auto" w:fill="auto"/>
            <w:noWrap/>
            <w:vAlign w:val="bottom"/>
            <w:hideMark/>
          </w:tcPr>
          <w:p w14:paraId="5C1D9A27"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LCI</w:t>
            </w:r>
          </w:p>
        </w:tc>
        <w:tc>
          <w:tcPr>
            <w:tcW w:w="551" w:type="dxa"/>
            <w:shd w:val="clear" w:color="auto" w:fill="auto"/>
            <w:noWrap/>
            <w:vAlign w:val="bottom"/>
            <w:hideMark/>
          </w:tcPr>
          <w:p w14:paraId="76AFA2F4"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B0B743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117601F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7369CC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0.9</w:t>
            </w:r>
          </w:p>
        </w:tc>
        <w:tc>
          <w:tcPr>
            <w:tcW w:w="552" w:type="dxa"/>
            <w:shd w:val="clear" w:color="auto" w:fill="auto"/>
            <w:noWrap/>
            <w:vAlign w:val="bottom"/>
            <w:hideMark/>
          </w:tcPr>
          <w:p w14:paraId="052A3B2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0.9</w:t>
            </w:r>
          </w:p>
        </w:tc>
        <w:tc>
          <w:tcPr>
            <w:tcW w:w="551" w:type="dxa"/>
            <w:shd w:val="clear" w:color="auto" w:fill="auto"/>
            <w:noWrap/>
            <w:vAlign w:val="bottom"/>
            <w:hideMark/>
          </w:tcPr>
          <w:p w14:paraId="402C9A3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0.4</w:t>
            </w:r>
          </w:p>
        </w:tc>
        <w:tc>
          <w:tcPr>
            <w:tcW w:w="551" w:type="dxa"/>
            <w:shd w:val="clear" w:color="auto" w:fill="auto"/>
            <w:noWrap/>
            <w:vAlign w:val="bottom"/>
            <w:hideMark/>
          </w:tcPr>
          <w:p w14:paraId="0A260A2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060348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35CC58B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7B74428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6289A3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EB12F4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7E6FCE4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224A1E17"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2.5</w:t>
            </w:r>
          </w:p>
        </w:tc>
      </w:tr>
      <w:tr w:rsidR="006834FA" w:rsidRPr="00F97BFF" w14:paraId="1EF2FB4A" w14:textId="77777777" w:rsidTr="001003EB">
        <w:trPr>
          <w:trHeight w:val="204"/>
        </w:trPr>
        <w:tc>
          <w:tcPr>
            <w:tcW w:w="568" w:type="dxa"/>
            <w:shd w:val="clear" w:color="auto" w:fill="auto"/>
            <w:noWrap/>
            <w:vAlign w:val="bottom"/>
            <w:hideMark/>
          </w:tcPr>
          <w:p w14:paraId="5F385583"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0F355B88"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CAS</w:t>
            </w:r>
          </w:p>
        </w:tc>
        <w:tc>
          <w:tcPr>
            <w:tcW w:w="551" w:type="dxa"/>
            <w:shd w:val="clear" w:color="auto" w:fill="auto"/>
            <w:noWrap/>
            <w:vAlign w:val="bottom"/>
            <w:hideMark/>
          </w:tcPr>
          <w:p w14:paraId="0D053B30"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CBC5E8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184375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84AEE1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0.5</w:t>
            </w:r>
          </w:p>
        </w:tc>
        <w:tc>
          <w:tcPr>
            <w:tcW w:w="552" w:type="dxa"/>
            <w:shd w:val="clear" w:color="auto" w:fill="auto"/>
            <w:noWrap/>
            <w:vAlign w:val="bottom"/>
            <w:hideMark/>
          </w:tcPr>
          <w:p w14:paraId="7D9C2BF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0.8</w:t>
            </w:r>
          </w:p>
        </w:tc>
        <w:tc>
          <w:tcPr>
            <w:tcW w:w="551" w:type="dxa"/>
            <w:shd w:val="clear" w:color="auto" w:fill="auto"/>
            <w:noWrap/>
            <w:vAlign w:val="bottom"/>
            <w:hideMark/>
          </w:tcPr>
          <w:p w14:paraId="6B4F789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0.3</w:t>
            </w:r>
          </w:p>
        </w:tc>
        <w:tc>
          <w:tcPr>
            <w:tcW w:w="551" w:type="dxa"/>
            <w:shd w:val="clear" w:color="auto" w:fill="auto"/>
            <w:noWrap/>
            <w:vAlign w:val="bottom"/>
            <w:hideMark/>
          </w:tcPr>
          <w:p w14:paraId="62D265B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C94F91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3A25D35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582A33A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60BA51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7C8677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0E3769A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7EDDD2F5"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1.8</w:t>
            </w:r>
          </w:p>
        </w:tc>
      </w:tr>
      <w:tr w:rsidR="006834FA" w:rsidRPr="00F97BFF" w14:paraId="3075F0CD" w14:textId="77777777" w:rsidTr="001003EB">
        <w:trPr>
          <w:trHeight w:val="204"/>
        </w:trPr>
        <w:tc>
          <w:tcPr>
            <w:tcW w:w="568" w:type="dxa"/>
            <w:shd w:val="clear" w:color="auto" w:fill="auto"/>
            <w:noWrap/>
            <w:vAlign w:val="bottom"/>
            <w:hideMark/>
          </w:tcPr>
          <w:p w14:paraId="6A9F0A24" w14:textId="72266402" w:rsidR="006834FA" w:rsidRPr="002A73C5" w:rsidRDefault="005322D8" w:rsidP="001003EB">
            <w:pPr>
              <w:spacing w:after="0" w:line="240" w:lineRule="auto"/>
              <w:ind w:right="-108"/>
              <w:rPr>
                <w:rFonts w:ascii="Times New Roman" w:hAnsi="Times New Roman"/>
                <w:b/>
                <w:sz w:val="16"/>
              </w:rPr>
            </w:pPr>
            <w:r w:rsidRPr="002A73C5">
              <w:rPr>
                <w:rFonts w:ascii="Times New Roman" w:hAnsi="Times New Roman"/>
                <w:b/>
                <w:sz w:val="16"/>
              </w:rPr>
              <w:t>OC</w:t>
            </w:r>
          </w:p>
        </w:tc>
        <w:tc>
          <w:tcPr>
            <w:tcW w:w="573" w:type="dxa"/>
            <w:shd w:val="clear" w:color="auto" w:fill="auto"/>
            <w:noWrap/>
            <w:vAlign w:val="bottom"/>
            <w:hideMark/>
          </w:tcPr>
          <w:p w14:paraId="7254F31F"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BAU</w:t>
            </w:r>
          </w:p>
        </w:tc>
        <w:tc>
          <w:tcPr>
            <w:tcW w:w="551" w:type="dxa"/>
            <w:shd w:val="clear" w:color="auto" w:fill="auto"/>
            <w:noWrap/>
            <w:vAlign w:val="bottom"/>
            <w:hideMark/>
          </w:tcPr>
          <w:p w14:paraId="3FFFE99E"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7B227E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0.3</w:t>
            </w:r>
          </w:p>
        </w:tc>
        <w:tc>
          <w:tcPr>
            <w:tcW w:w="551" w:type="dxa"/>
            <w:shd w:val="clear" w:color="auto" w:fill="auto"/>
            <w:noWrap/>
            <w:vAlign w:val="bottom"/>
            <w:hideMark/>
          </w:tcPr>
          <w:p w14:paraId="68B1395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1F1541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1.1</w:t>
            </w:r>
          </w:p>
        </w:tc>
        <w:tc>
          <w:tcPr>
            <w:tcW w:w="552" w:type="dxa"/>
            <w:shd w:val="clear" w:color="auto" w:fill="auto"/>
            <w:noWrap/>
            <w:vAlign w:val="bottom"/>
            <w:hideMark/>
          </w:tcPr>
          <w:p w14:paraId="5234950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4.2</w:t>
            </w:r>
          </w:p>
        </w:tc>
        <w:tc>
          <w:tcPr>
            <w:tcW w:w="551" w:type="dxa"/>
            <w:shd w:val="clear" w:color="auto" w:fill="auto"/>
            <w:noWrap/>
            <w:vAlign w:val="bottom"/>
            <w:hideMark/>
          </w:tcPr>
          <w:p w14:paraId="46462C3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1.7</w:t>
            </w:r>
          </w:p>
        </w:tc>
        <w:tc>
          <w:tcPr>
            <w:tcW w:w="551" w:type="dxa"/>
            <w:shd w:val="clear" w:color="auto" w:fill="auto"/>
            <w:noWrap/>
            <w:vAlign w:val="bottom"/>
            <w:hideMark/>
          </w:tcPr>
          <w:p w14:paraId="0D1C4CA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1B5350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6FC0144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36D6AD4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4C158C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8778CA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4D5CC68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7B380DCA"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7.4</w:t>
            </w:r>
          </w:p>
        </w:tc>
      </w:tr>
      <w:tr w:rsidR="006834FA" w:rsidRPr="00F97BFF" w14:paraId="3F455502" w14:textId="77777777" w:rsidTr="001003EB">
        <w:trPr>
          <w:trHeight w:val="204"/>
        </w:trPr>
        <w:tc>
          <w:tcPr>
            <w:tcW w:w="568" w:type="dxa"/>
            <w:shd w:val="clear" w:color="auto" w:fill="auto"/>
            <w:noWrap/>
            <w:vAlign w:val="bottom"/>
            <w:hideMark/>
          </w:tcPr>
          <w:p w14:paraId="37A3AA09"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1CBEF2A3"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ACT</w:t>
            </w:r>
          </w:p>
        </w:tc>
        <w:tc>
          <w:tcPr>
            <w:tcW w:w="551" w:type="dxa"/>
            <w:shd w:val="clear" w:color="auto" w:fill="auto"/>
            <w:noWrap/>
            <w:vAlign w:val="bottom"/>
            <w:hideMark/>
          </w:tcPr>
          <w:p w14:paraId="646F291C"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789057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7EA38E7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39CEB6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1.1</w:t>
            </w:r>
          </w:p>
        </w:tc>
        <w:tc>
          <w:tcPr>
            <w:tcW w:w="552" w:type="dxa"/>
            <w:shd w:val="clear" w:color="auto" w:fill="auto"/>
            <w:noWrap/>
            <w:vAlign w:val="bottom"/>
            <w:hideMark/>
          </w:tcPr>
          <w:p w14:paraId="15FED02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4.2</w:t>
            </w:r>
          </w:p>
        </w:tc>
        <w:tc>
          <w:tcPr>
            <w:tcW w:w="551" w:type="dxa"/>
            <w:shd w:val="clear" w:color="auto" w:fill="auto"/>
            <w:noWrap/>
            <w:vAlign w:val="bottom"/>
            <w:hideMark/>
          </w:tcPr>
          <w:p w14:paraId="6B84B29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1.5</w:t>
            </w:r>
          </w:p>
        </w:tc>
        <w:tc>
          <w:tcPr>
            <w:tcW w:w="551" w:type="dxa"/>
            <w:shd w:val="clear" w:color="auto" w:fill="auto"/>
            <w:noWrap/>
            <w:vAlign w:val="bottom"/>
            <w:hideMark/>
          </w:tcPr>
          <w:p w14:paraId="5CC5760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E4D8C3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2007D64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67B3DDD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A51A97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9DE19F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4896B7F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591CC1D8"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7.1</w:t>
            </w:r>
          </w:p>
        </w:tc>
      </w:tr>
      <w:tr w:rsidR="006834FA" w:rsidRPr="00F97BFF" w14:paraId="38AB3625" w14:textId="77777777" w:rsidTr="001003EB">
        <w:trPr>
          <w:trHeight w:val="204"/>
        </w:trPr>
        <w:tc>
          <w:tcPr>
            <w:tcW w:w="568" w:type="dxa"/>
            <w:shd w:val="clear" w:color="auto" w:fill="auto"/>
            <w:noWrap/>
            <w:vAlign w:val="bottom"/>
            <w:hideMark/>
          </w:tcPr>
          <w:p w14:paraId="61DB09E3"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2B173357"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LCI</w:t>
            </w:r>
          </w:p>
        </w:tc>
        <w:tc>
          <w:tcPr>
            <w:tcW w:w="551" w:type="dxa"/>
            <w:shd w:val="clear" w:color="auto" w:fill="auto"/>
            <w:noWrap/>
            <w:vAlign w:val="bottom"/>
            <w:hideMark/>
          </w:tcPr>
          <w:p w14:paraId="34195D55"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C1E5FB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44AE78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8A08C5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1.1</w:t>
            </w:r>
          </w:p>
        </w:tc>
        <w:tc>
          <w:tcPr>
            <w:tcW w:w="552" w:type="dxa"/>
            <w:shd w:val="clear" w:color="auto" w:fill="auto"/>
            <w:noWrap/>
            <w:vAlign w:val="bottom"/>
            <w:hideMark/>
          </w:tcPr>
          <w:p w14:paraId="1234DA3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4.2</w:t>
            </w:r>
          </w:p>
        </w:tc>
        <w:tc>
          <w:tcPr>
            <w:tcW w:w="551" w:type="dxa"/>
            <w:shd w:val="clear" w:color="auto" w:fill="auto"/>
            <w:noWrap/>
            <w:vAlign w:val="bottom"/>
            <w:hideMark/>
          </w:tcPr>
          <w:p w14:paraId="10A37BE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1.7</w:t>
            </w:r>
          </w:p>
        </w:tc>
        <w:tc>
          <w:tcPr>
            <w:tcW w:w="551" w:type="dxa"/>
            <w:shd w:val="clear" w:color="auto" w:fill="auto"/>
            <w:noWrap/>
            <w:vAlign w:val="bottom"/>
            <w:hideMark/>
          </w:tcPr>
          <w:p w14:paraId="6AD5B25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327E13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4BF7CF9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7CE3170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EF6BB6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A80859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3F91882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4D2251DC"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7.1</w:t>
            </w:r>
          </w:p>
        </w:tc>
      </w:tr>
      <w:tr w:rsidR="006834FA" w:rsidRPr="00F97BFF" w14:paraId="3D185D6A" w14:textId="77777777" w:rsidTr="001003EB">
        <w:trPr>
          <w:trHeight w:val="204"/>
        </w:trPr>
        <w:tc>
          <w:tcPr>
            <w:tcW w:w="568" w:type="dxa"/>
            <w:shd w:val="clear" w:color="auto" w:fill="auto"/>
            <w:noWrap/>
            <w:vAlign w:val="bottom"/>
            <w:hideMark/>
          </w:tcPr>
          <w:p w14:paraId="1B48FF63" w14:textId="222EA2C0"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5A7A398D"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CAS</w:t>
            </w:r>
          </w:p>
        </w:tc>
        <w:tc>
          <w:tcPr>
            <w:tcW w:w="551" w:type="dxa"/>
            <w:shd w:val="clear" w:color="auto" w:fill="auto"/>
            <w:noWrap/>
            <w:vAlign w:val="bottom"/>
            <w:hideMark/>
          </w:tcPr>
          <w:p w14:paraId="1DFEC618"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202417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B96354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C87478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1.0</w:t>
            </w:r>
          </w:p>
        </w:tc>
        <w:tc>
          <w:tcPr>
            <w:tcW w:w="552" w:type="dxa"/>
            <w:shd w:val="clear" w:color="auto" w:fill="auto"/>
            <w:noWrap/>
            <w:vAlign w:val="bottom"/>
            <w:hideMark/>
          </w:tcPr>
          <w:p w14:paraId="3CCFD23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4.0</w:t>
            </w:r>
          </w:p>
        </w:tc>
        <w:tc>
          <w:tcPr>
            <w:tcW w:w="551" w:type="dxa"/>
            <w:shd w:val="clear" w:color="auto" w:fill="auto"/>
            <w:noWrap/>
            <w:vAlign w:val="bottom"/>
            <w:hideMark/>
          </w:tcPr>
          <w:p w14:paraId="0BC18A5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1.2</w:t>
            </w:r>
          </w:p>
        </w:tc>
        <w:tc>
          <w:tcPr>
            <w:tcW w:w="551" w:type="dxa"/>
            <w:shd w:val="clear" w:color="auto" w:fill="auto"/>
            <w:noWrap/>
            <w:vAlign w:val="bottom"/>
            <w:hideMark/>
          </w:tcPr>
          <w:p w14:paraId="1AE3E73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42A261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5004E70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6720A04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9B0E93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2EF58F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7333E25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287F7781"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6.3</w:t>
            </w:r>
          </w:p>
        </w:tc>
      </w:tr>
      <w:tr w:rsidR="006834FA" w:rsidRPr="00F97BFF" w14:paraId="3F8819BD" w14:textId="77777777" w:rsidTr="001003EB">
        <w:trPr>
          <w:trHeight w:val="204"/>
        </w:trPr>
        <w:tc>
          <w:tcPr>
            <w:tcW w:w="568" w:type="dxa"/>
            <w:shd w:val="clear" w:color="auto" w:fill="auto"/>
            <w:noWrap/>
            <w:vAlign w:val="bottom"/>
            <w:hideMark/>
          </w:tcPr>
          <w:p w14:paraId="6AC48545" w14:textId="712F0FCC" w:rsidR="006834FA" w:rsidRPr="002A73C5" w:rsidRDefault="005322D8" w:rsidP="001003EB">
            <w:pPr>
              <w:spacing w:after="0" w:line="240" w:lineRule="auto"/>
              <w:ind w:right="-108"/>
              <w:rPr>
                <w:rFonts w:ascii="Times New Roman" w:hAnsi="Times New Roman"/>
                <w:b/>
                <w:sz w:val="16"/>
              </w:rPr>
            </w:pPr>
            <w:r w:rsidRPr="002A73C5">
              <w:rPr>
                <w:rFonts w:ascii="Times New Roman" w:hAnsi="Times New Roman"/>
                <w:b/>
                <w:sz w:val="16"/>
              </w:rPr>
              <w:t>SO</w:t>
            </w:r>
            <w:r w:rsidRPr="002A73C5">
              <w:rPr>
                <w:rFonts w:ascii="Times New Roman" w:hAnsi="Times New Roman"/>
                <w:b/>
                <w:sz w:val="16"/>
                <w:vertAlign w:val="subscript"/>
              </w:rPr>
              <w:t>2</w:t>
            </w:r>
          </w:p>
        </w:tc>
        <w:tc>
          <w:tcPr>
            <w:tcW w:w="573" w:type="dxa"/>
            <w:shd w:val="clear" w:color="auto" w:fill="auto"/>
            <w:noWrap/>
            <w:vAlign w:val="bottom"/>
            <w:hideMark/>
          </w:tcPr>
          <w:p w14:paraId="10399923"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BAU</w:t>
            </w:r>
          </w:p>
        </w:tc>
        <w:tc>
          <w:tcPr>
            <w:tcW w:w="551" w:type="dxa"/>
            <w:shd w:val="clear" w:color="auto" w:fill="auto"/>
            <w:noWrap/>
            <w:vAlign w:val="bottom"/>
            <w:hideMark/>
          </w:tcPr>
          <w:p w14:paraId="0CB48AF1"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9.6</w:t>
            </w:r>
          </w:p>
        </w:tc>
        <w:tc>
          <w:tcPr>
            <w:tcW w:w="551" w:type="dxa"/>
            <w:shd w:val="clear" w:color="auto" w:fill="auto"/>
            <w:noWrap/>
            <w:vAlign w:val="bottom"/>
            <w:hideMark/>
          </w:tcPr>
          <w:p w14:paraId="0542EE0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0.9</w:t>
            </w:r>
          </w:p>
        </w:tc>
        <w:tc>
          <w:tcPr>
            <w:tcW w:w="551" w:type="dxa"/>
            <w:shd w:val="clear" w:color="auto" w:fill="auto"/>
            <w:noWrap/>
            <w:vAlign w:val="bottom"/>
            <w:hideMark/>
          </w:tcPr>
          <w:p w14:paraId="73B18DE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3.4</w:t>
            </w:r>
          </w:p>
        </w:tc>
        <w:tc>
          <w:tcPr>
            <w:tcW w:w="551" w:type="dxa"/>
            <w:shd w:val="clear" w:color="auto" w:fill="auto"/>
            <w:noWrap/>
            <w:vAlign w:val="bottom"/>
            <w:hideMark/>
          </w:tcPr>
          <w:p w14:paraId="7D9CD1B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2" w:type="dxa"/>
            <w:shd w:val="clear" w:color="auto" w:fill="auto"/>
            <w:noWrap/>
            <w:vAlign w:val="bottom"/>
            <w:hideMark/>
          </w:tcPr>
          <w:p w14:paraId="0425754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C11EA8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65E476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9E633E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7F61031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7BFBC8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1B1668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DB74C2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6BF1E28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398BB413"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13.9</w:t>
            </w:r>
          </w:p>
        </w:tc>
      </w:tr>
      <w:tr w:rsidR="006834FA" w:rsidRPr="00F97BFF" w14:paraId="4A5C8DEF" w14:textId="77777777" w:rsidTr="001003EB">
        <w:trPr>
          <w:trHeight w:val="204"/>
        </w:trPr>
        <w:tc>
          <w:tcPr>
            <w:tcW w:w="568" w:type="dxa"/>
            <w:shd w:val="clear" w:color="auto" w:fill="auto"/>
            <w:noWrap/>
            <w:vAlign w:val="bottom"/>
            <w:hideMark/>
          </w:tcPr>
          <w:p w14:paraId="63504385"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193B39AF"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ACT</w:t>
            </w:r>
          </w:p>
        </w:tc>
        <w:tc>
          <w:tcPr>
            <w:tcW w:w="551" w:type="dxa"/>
            <w:shd w:val="clear" w:color="auto" w:fill="auto"/>
            <w:noWrap/>
            <w:vAlign w:val="bottom"/>
            <w:hideMark/>
          </w:tcPr>
          <w:p w14:paraId="1020A56D"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9.7</w:t>
            </w:r>
          </w:p>
        </w:tc>
        <w:tc>
          <w:tcPr>
            <w:tcW w:w="551" w:type="dxa"/>
            <w:shd w:val="clear" w:color="auto" w:fill="auto"/>
            <w:noWrap/>
            <w:vAlign w:val="bottom"/>
            <w:hideMark/>
          </w:tcPr>
          <w:p w14:paraId="4F76F89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0.9</w:t>
            </w:r>
          </w:p>
        </w:tc>
        <w:tc>
          <w:tcPr>
            <w:tcW w:w="551" w:type="dxa"/>
            <w:shd w:val="clear" w:color="auto" w:fill="auto"/>
            <w:noWrap/>
            <w:vAlign w:val="bottom"/>
            <w:hideMark/>
          </w:tcPr>
          <w:p w14:paraId="222AFF2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0.7</w:t>
            </w:r>
          </w:p>
        </w:tc>
        <w:tc>
          <w:tcPr>
            <w:tcW w:w="551" w:type="dxa"/>
            <w:shd w:val="clear" w:color="auto" w:fill="auto"/>
            <w:noWrap/>
            <w:vAlign w:val="bottom"/>
            <w:hideMark/>
          </w:tcPr>
          <w:p w14:paraId="668BA6F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2" w:type="dxa"/>
            <w:shd w:val="clear" w:color="auto" w:fill="auto"/>
            <w:noWrap/>
            <w:vAlign w:val="bottom"/>
            <w:hideMark/>
          </w:tcPr>
          <w:p w14:paraId="1691B1E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E6349D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214327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BE0E12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4D2ACB5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DC6D21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F75C8B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4A2F08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29F213C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46EE987B"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11.3</w:t>
            </w:r>
          </w:p>
        </w:tc>
      </w:tr>
      <w:tr w:rsidR="006834FA" w:rsidRPr="00F97BFF" w14:paraId="0B6C7DAA" w14:textId="77777777" w:rsidTr="001003EB">
        <w:trPr>
          <w:trHeight w:val="204"/>
        </w:trPr>
        <w:tc>
          <w:tcPr>
            <w:tcW w:w="568" w:type="dxa"/>
            <w:shd w:val="clear" w:color="auto" w:fill="auto"/>
            <w:noWrap/>
            <w:vAlign w:val="bottom"/>
            <w:hideMark/>
          </w:tcPr>
          <w:p w14:paraId="5BBDEF33"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208E6E84"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LCI</w:t>
            </w:r>
          </w:p>
        </w:tc>
        <w:tc>
          <w:tcPr>
            <w:tcW w:w="551" w:type="dxa"/>
            <w:shd w:val="clear" w:color="auto" w:fill="auto"/>
            <w:noWrap/>
            <w:vAlign w:val="bottom"/>
            <w:hideMark/>
          </w:tcPr>
          <w:p w14:paraId="13328284"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13C5BD2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23F6215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1.2</w:t>
            </w:r>
          </w:p>
        </w:tc>
        <w:tc>
          <w:tcPr>
            <w:tcW w:w="551" w:type="dxa"/>
            <w:shd w:val="clear" w:color="auto" w:fill="auto"/>
            <w:noWrap/>
            <w:vAlign w:val="bottom"/>
            <w:hideMark/>
          </w:tcPr>
          <w:p w14:paraId="3468D0F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2" w:type="dxa"/>
            <w:shd w:val="clear" w:color="auto" w:fill="auto"/>
            <w:noWrap/>
            <w:vAlign w:val="bottom"/>
            <w:hideMark/>
          </w:tcPr>
          <w:p w14:paraId="3425FBA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033568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C8A9F3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D0A6FE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0473948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11523C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30A805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4EAEE9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03CFCDE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561C0158"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1.6</w:t>
            </w:r>
          </w:p>
        </w:tc>
      </w:tr>
      <w:tr w:rsidR="006834FA" w:rsidRPr="00F97BFF" w14:paraId="641DC797" w14:textId="77777777" w:rsidTr="001003EB">
        <w:trPr>
          <w:trHeight w:val="204"/>
        </w:trPr>
        <w:tc>
          <w:tcPr>
            <w:tcW w:w="568" w:type="dxa"/>
            <w:shd w:val="clear" w:color="auto" w:fill="auto"/>
            <w:noWrap/>
            <w:vAlign w:val="bottom"/>
            <w:hideMark/>
          </w:tcPr>
          <w:p w14:paraId="5C1D9D6D"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772D410D"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CAS</w:t>
            </w:r>
          </w:p>
        </w:tc>
        <w:tc>
          <w:tcPr>
            <w:tcW w:w="551" w:type="dxa"/>
            <w:shd w:val="clear" w:color="auto" w:fill="auto"/>
            <w:noWrap/>
            <w:vAlign w:val="bottom"/>
            <w:hideMark/>
          </w:tcPr>
          <w:p w14:paraId="1E25837D"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9.7</w:t>
            </w:r>
          </w:p>
        </w:tc>
        <w:tc>
          <w:tcPr>
            <w:tcW w:w="551" w:type="dxa"/>
            <w:shd w:val="clear" w:color="auto" w:fill="auto"/>
            <w:noWrap/>
            <w:vAlign w:val="bottom"/>
            <w:hideMark/>
          </w:tcPr>
          <w:p w14:paraId="20321E5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3DC1BCF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0.3</w:t>
            </w:r>
          </w:p>
        </w:tc>
        <w:tc>
          <w:tcPr>
            <w:tcW w:w="551" w:type="dxa"/>
            <w:shd w:val="clear" w:color="auto" w:fill="auto"/>
            <w:noWrap/>
            <w:vAlign w:val="bottom"/>
            <w:hideMark/>
          </w:tcPr>
          <w:p w14:paraId="4C7B9B7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2" w:type="dxa"/>
            <w:shd w:val="clear" w:color="auto" w:fill="auto"/>
            <w:noWrap/>
            <w:vAlign w:val="bottom"/>
            <w:hideMark/>
          </w:tcPr>
          <w:p w14:paraId="3D07D32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03BB45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D814FA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4D9BDC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5051EAF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1AFA24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9F15F7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BE985F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08C463A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713046EC"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10.1</w:t>
            </w:r>
          </w:p>
        </w:tc>
      </w:tr>
      <w:tr w:rsidR="006834FA" w:rsidRPr="00F97BFF" w14:paraId="7D2F00D4" w14:textId="77777777" w:rsidTr="001003EB">
        <w:trPr>
          <w:trHeight w:val="204"/>
        </w:trPr>
        <w:tc>
          <w:tcPr>
            <w:tcW w:w="568" w:type="dxa"/>
            <w:shd w:val="clear" w:color="auto" w:fill="auto"/>
            <w:noWrap/>
            <w:vAlign w:val="bottom"/>
            <w:hideMark/>
          </w:tcPr>
          <w:p w14:paraId="657ECF6F" w14:textId="780D89CE" w:rsidR="006834FA" w:rsidRPr="002A73C5" w:rsidRDefault="005322D8" w:rsidP="001003EB">
            <w:pPr>
              <w:spacing w:after="0" w:line="240" w:lineRule="auto"/>
              <w:ind w:right="-108"/>
              <w:rPr>
                <w:rFonts w:ascii="Times New Roman" w:hAnsi="Times New Roman"/>
                <w:b/>
                <w:sz w:val="16"/>
              </w:rPr>
            </w:pPr>
            <w:r w:rsidRPr="002A73C5">
              <w:rPr>
                <w:rFonts w:ascii="Times New Roman" w:hAnsi="Times New Roman"/>
                <w:b/>
                <w:sz w:val="16"/>
              </w:rPr>
              <w:t>NO</w:t>
            </w:r>
            <w:r w:rsidRPr="002A73C5">
              <w:rPr>
                <w:rFonts w:ascii="Times New Roman" w:hAnsi="Times New Roman"/>
                <w:b/>
                <w:sz w:val="16"/>
                <w:vertAlign w:val="subscript"/>
              </w:rPr>
              <w:t>x</w:t>
            </w:r>
          </w:p>
        </w:tc>
        <w:tc>
          <w:tcPr>
            <w:tcW w:w="573" w:type="dxa"/>
            <w:shd w:val="clear" w:color="auto" w:fill="auto"/>
            <w:noWrap/>
            <w:vAlign w:val="bottom"/>
            <w:hideMark/>
          </w:tcPr>
          <w:p w14:paraId="4CE8BE86"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BAU</w:t>
            </w:r>
          </w:p>
        </w:tc>
        <w:tc>
          <w:tcPr>
            <w:tcW w:w="551" w:type="dxa"/>
            <w:shd w:val="clear" w:color="auto" w:fill="auto"/>
            <w:noWrap/>
            <w:vAlign w:val="bottom"/>
            <w:hideMark/>
          </w:tcPr>
          <w:p w14:paraId="17E1F56C"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60.7</w:t>
            </w:r>
          </w:p>
        </w:tc>
        <w:tc>
          <w:tcPr>
            <w:tcW w:w="551" w:type="dxa"/>
            <w:shd w:val="clear" w:color="auto" w:fill="auto"/>
            <w:noWrap/>
            <w:vAlign w:val="bottom"/>
            <w:hideMark/>
          </w:tcPr>
          <w:p w14:paraId="5290E26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3.2</w:t>
            </w:r>
          </w:p>
        </w:tc>
        <w:tc>
          <w:tcPr>
            <w:tcW w:w="551" w:type="dxa"/>
            <w:shd w:val="clear" w:color="auto" w:fill="auto"/>
            <w:noWrap/>
            <w:vAlign w:val="bottom"/>
            <w:hideMark/>
          </w:tcPr>
          <w:p w14:paraId="1B4BB0F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0.7</w:t>
            </w:r>
          </w:p>
        </w:tc>
        <w:tc>
          <w:tcPr>
            <w:tcW w:w="551" w:type="dxa"/>
            <w:shd w:val="clear" w:color="auto" w:fill="auto"/>
            <w:noWrap/>
            <w:vAlign w:val="bottom"/>
            <w:hideMark/>
          </w:tcPr>
          <w:p w14:paraId="41D1ACA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37.2</w:t>
            </w:r>
          </w:p>
        </w:tc>
        <w:tc>
          <w:tcPr>
            <w:tcW w:w="552" w:type="dxa"/>
            <w:shd w:val="clear" w:color="auto" w:fill="auto"/>
            <w:noWrap/>
            <w:vAlign w:val="bottom"/>
            <w:hideMark/>
          </w:tcPr>
          <w:p w14:paraId="23D88AB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54E230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1A1FB1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E2A626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5B0D89A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4.4</w:t>
            </w:r>
          </w:p>
        </w:tc>
        <w:tc>
          <w:tcPr>
            <w:tcW w:w="551" w:type="dxa"/>
            <w:shd w:val="clear" w:color="auto" w:fill="auto"/>
            <w:noWrap/>
            <w:vAlign w:val="bottom"/>
            <w:hideMark/>
          </w:tcPr>
          <w:p w14:paraId="3166475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0.4</w:t>
            </w:r>
          </w:p>
        </w:tc>
        <w:tc>
          <w:tcPr>
            <w:tcW w:w="551" w:type="dxa"/>
            <w:shd w:val="clear" w:color="auto" w:fill="auto"/>
            <w:noWrap/>
            <w:vAlign w:val="bottom"/>
            <w:hideMark/>
          </w:tcPr>
          <w:p w14:paraId="3BCB007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5DD896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4EEC384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57373D14"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106.7</w:t>
            </w:r>
          </w:p>
        </w:tc>
      </w:tr>
      <w:tr w:rsidR="006834FA" w:rsidRPr="00F97BFF" w14:paraId="2B52AE8C" w14:textId="77777777" w:rsidTr="001003EB">
        <w:trPr>
          <w:trHeight w:val="204"/>
        </w:trPr>
        <w:tc>
          <w:tcPr>
            <w:tcW w:w="568" w:type="dxa"/>
            <w:shd w:val="clear" w:color="auto" w:fill="auto"/>
            <w:noWrap/>
            <w:vAlign w:val="bottom"/>
            <w:hideMark/>
          </w:tcPr>
          <w:p w14:paraId="0F3FB9AF"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1AC31B02"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ACT</w:t>
            </w:r>
          </w:p>
        </w:tc>
        <w:tc>
          <w:tcPr>
            <w:tcW w:w="551" w:type="dxa"/>
            <w:shd w:val="clear" w:color="auto" w:fill="auto"/>
            <w:noWrap/>
            <w:vAlign w:val="bottom"/>
            <w:hideMark/>
          </w:tcPr>
          <w:p w14:paraId="49EFEA8D"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14.1</w:t>
            </w:r>
          </w:p>
        </w:tc>
        <w:tc>
          <w:tcPr>
            <w:tcW w:w="551" w:type="dxa"/>
            <w:shd w:val="clear" w:color="auto" w:fill="auto"/>
            <w:noWrap/>
            <w:vAlign w:val="bottom"/>
            <w:hideMark/>
          </w:tcPr>
          <w:p w14:paraId="1406005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2.3</w:t>
            </w:r>
          </w:p>
        </w:tc>
        <w:tc>
          <w:tcPr>
            <w:tcW w:w="551" w:type="dxa"/>
            <w:shd w:val="clear" w:color="auto" w:fill="auto"/>
            <w:noWrap/>
            <w:vAlign w:val="bottom"/>
            <w:hideMark/>
          </w:tcPr>
          <w:p w14:paraId="45489AC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0.3</w:t>
            </w:r>
          </w:p>
        </w:tc>
        <w:tc>
          <w:tcPr>
            <w:tcW w:w="551" w:type="dxa"/>
            <w:shd w:val="clear" w:color="auto" w:fill="auto"/>
            <w:noWrap/>
            <w:vAlign w:val="bottom"/>
            <w:hideMark/>
          </w:tcPr>
          <w:p w14:paraId="0D6741A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37.2</w:t>
            </w:r>
          </w:p>
        </w:tc>
        <w:tc>
          <w:tcPr>
            <w:tcW w:w="552" w:type="dxa"/>
            <w:shd w:val="clear" w:color="auto" w:fill="auto"/>
            <w:noWrap/>
            <w:vAlign w:val="bottom"/>
            <w:hideMark/>
          </w:tcPr>
          <w:p w14:paraId="4D4D75D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FAE5CF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F327CB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EE6C59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5637985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4.4</w:t>
            </w:r>
          </w:p>
        </w:tc>
        <w:tc>
          <w:tcPr>
            <w:tcW w:w="551" w:type="dxa"/>
            <w:shd w:val="clear" w:color="auto" w:fill="auto"/>
            <w:noWrap/>
            <w:vAlign w:val="bottom"/>
            <w:hideMark/>
          </w:tcPr>
          <w:p w14:paraId="2DDBEA9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8C38A6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0A192A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418490A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15AD1030"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58.3</w:t>
            </w:r>
          </w:p>
        </w:tc>
      </w:tr>
      <w:tr w:rsidR="006834FA" w:rsidRPr="00F97BFF" w14:paraId="71495944" w14:textId="77777777" w:rsidTr="001003EB">
        <w:trPr>
          <w:trHeight w:val="204"/>
        </w:trPr>
        <w:tc>
          <w:tcPr>
            <w:tcW w:w="568" w:type="dxa"/>
            <w:shd w:val="clear" w:color="auto" w:fill="auto"/>
            <w:noWrap/>
            <w:vAlign w:val="bottom"/>
            <w:hideMark/>
          </w:tcPr>
          <w:p w14:paraId="1DFEF1AD"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588A31E5"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LCI</w:t>
            </w:r>
          </w:p>
        </w:tc>
        <w:tc>
          <w:tcPr>
            <w:tcW w:w="551" w:type="dxa"/>
            <w:shd w:val="clear" w:color="auto" w:fill="auto"/>
            <w:noWrap/>
            <w:vAlign w:val="bottom"/>
            <w:hideMark/>
          </w:tcPr>
          <w:p w14:paraId="48A8F2EF"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4.4</w:t>
            </w:r>
          </w:p>
        </w:tc>
        <w:tc>
          <w:tcPr>
            <w:tcW w:w="551" w:type="dxa"/>
            <w:shd w:val="clear" w:color="auto" w:fill="auto"/>
            <w:noWrap/>
            <w:vAlign w:val="bottom"/>
            <w:hideMark/>
          </w:tcPr>
          <w:p w14:paraId="147CA56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3.2</w:t>
            </w:r>
          </w:p>
        </w:tc>
        <w:tc>
          <w:tcPr>
            <w:tcW w:w="551" w:type="dxa"/>
            <w:shd w:val="clear" w:color="auto" w:fill="auto"/>
            <w:noWrap/>
            <w:vAlign w:val="bottom"/>
            <w:hideMark/>
          </w:tcPr>
          <w:p w14:paraId="0CE1129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0.8</w:t>
            </w:r>
          </w:p>
        </w:tc>
        <w:tc>
          <w:tcPr>
            <w:tcW w:w="551" w:type="dxa"/>
            <w:shd w:val="clear" w:color="auto" w:fill="auto"/>
            <w:noWrap/>
            <w:vAlign w:val="bottom"/>
            <w:hideMark/>
          </w:tcPr>
          <w:p w14:paraId="319305F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37.2</w:t>
            </w:r>
          </w:p>
        </w:tc>
        <w:tc>
          <w:tcPr>
            <w:tcW w:w="552" w:type="dxa"/>
            <w:shd w:val="clear" w:color="auto" w:fill="auto"/>
            <w:noWrap/>
            <w:vAlign w:val="bottom"/>
            <w:hideMark/>
          </w:tcPr>
          <w:p w14:paraId="7058D02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A35AEC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87EB6A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032CF0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483D4AF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4.4</w:t>
            </w:r>
          </w:p>
        </w:tc>
        <w:tc>
          <w:tcPr>
            <w:tcW w:w="551" w:type="dxa"/>
            <w:shd w:val="clear" w:color="auto" w:fill="auto"/>
            <w:noWrap/>
            <w:vAlign w:val="bottom"/>
            <w:hideMark/>
          </w:tcPr>
          <w:p w14:paraId="727280A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0.4</w:t>
            </w:r>
          </w:p>
        </w:tc>
        <w:tc>
          <w:tcPr>
            <w:tcW w:w="551" w:type="dxa"/>
            <w:shd w:val="clear" w:color="auto" w:fill="auto"/>
            <w:noWrap/>
            <w:vAlign w:val="bottom"/>
            <w:hideMark/>
          </w:tcPr>
          <w:p w14:paraId="2DBEA87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650B0D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609C43D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65E3DAAF"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50.4</w:t>
            </w:r>
          </w:p>
        </w:tc>
      </w:tr>
      <w:tr w:rsidR="006834FA" w:rsidRPr="00F97BFF" w14:paraId="06D161DE" w14:textId="77777777" w:rsidTr="001003EB">
        <w:trPr>
          <w:trHeight w:val="204"/>
        </w:trPr>
        <w:tc>
          <w:tcPr>
            <w:tcW w:w="568" w:type="dxa"/>
            <w:shd w:val="clear" w:color="auto" w:fill="auto"/>
            <w:noWrap/>
            <w:vAlign w:val="bottom"/>
            <w:hideMark/>
          </w:tcPr>
          <w:p w14:paraId="25F282E9"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6394EC33"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CAS</w:t>
            </w:r>
          </w:p>
        </w:tc>
        <w:tc>
          <w:tcPr>
            <w:tcW w:w="551" w:type="dxa"/>
            <w:shd w:val="clear" w:color="auto" w:fill="auto"/>
            <w:noWrap/>
            <w:vAlign w:val="bottom"/>
            <w:hideMark/>
          </w:tcPr>
          <w:p w14:paraId="63364C46"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14.1</w:t>
            </w:r>
          </w:p>
        </w:tc>
        <w:tc>
          <w:tcPr>
            <w:tcW w:w="551" w:type="dxa"/>
            <w:shd w:val="clear" w:color="auto" w:fill="auto"/>
            <w:noWrap/>
            <w:vAlign w:val="bottom"/>
            <w:hideMark/>
          </w:tcPr>
          <w:p w14:paraId="3518FAE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2.3</w:t>
            </w:r>
          </w:p>
        </w:tc>
        <w:tc>
          <w:tcPr>
            <w:tcW w:w="551" w:type="dxa"/>
            <w:shd w:val="clear" w:color="auto" w:fill="auto"/>
            <w:noWrap/>
            <w:vAlign w:val="bottom"/>
            <w:hideMark/>
          </w:tcPr>
          <w:p w14:paraId="1A5EA28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0.3</w:t>
            </w:r>
          </w:p>
        </w:tc>
        <w:tc>
          <w:tcPr>
            <w:tcW w:w="551" w:type="dxa"/>
            <w:shd w:val="clear" w:color="auto" w:fill="auto"/>
            <w:noWrap/>
            <w:vAlign w:val="bottom"/>
            <w:hideMark/>
          </w:tcPr>
          <w:p w14:paraId="3B8EAFE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27.9</w:t>
            </w:r>
          </w:p>
        </w:tc>
        <w:tc>
          <w:tcPr>
            <w:tcW w:w="552" w:type="dxa"/>
            <w:shd w:val="clear" w:color="auto" w:fill="auto"/>
            <w:noWrap/>
            <w:vAlign w:val="bottom"/>
            <w:hideMark/>
          </w:tcPr>
          <w:p w14:paraId="6BFED8A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AC97CA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EC0806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A0B499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6E13BD1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4.4</w:t>
            </w:r>
          </w:p>
        </w:tc>
        <w:tc>
          <w:tcPr>
            <w:tcW w:w="551" w:type="dxa"/>
            <w:shd w:val="clear" w:color="auto" w:fill="auto"/>
            <w:noWrap/>
            <w:vAlign w:val="bottom"/>
            <w:hideMark/>
          </w:tcPr>
          <w:p w14:paraId="064ADA6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0A9656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DA30A6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72D3459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2E22C44C"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49.0</w:t>
            </w:r>
          </w:p>
        </w:tc>
      </w:tr>
      <w:tr w:rsidR="006834FA" w:rsidRPr="00F97BFF" w14:paraId="4D66411B" w14:textId="77777777" w:rsidTr="001003EB">
        <w:trPr>
          <w:trHeight w:val="204"/>
        </w:trPr>
        <w:tc>
          <w:tcPr>
            <w:tcW w:w="568" w:type="dxa"/>
            <w:shd w:val="clear" w:color="auto" w:fill="auto"/>
            <w:noWrap/>
            <w:vAlign w:val="bottom"/>
            <w:hideMark/>
          </w:tcPr>
          <w:p w14:paraId="29A4355A" w14:textId="655B1C19" w:rsidR="006834FA" w:rsidRPr="002A73C5" w:rsidRDefault="005322D8" w:rsidP="001003EB">
            <w:pPr>
              <w:spacing w:after="0" w:line="240" w:lineRule="auto"/>
              <w:ind w:right="-108"/>
              <w:rPr>
                <w:rFonts w:ascii="Times New Roman" w:hAnsi="Times New Roman"/>
                <w:b/>
                <w:sz w:val="16"/>
              </w:rPr>
            </w:pPr>
            <w:r w:rsidRPr="002A73C5">
              <w:rPr>
                <w:rFonts w:ascii="Times New Roman" w:hAnsi="Times New Roman"/>
                <w:b/>
                <w:sz w:val="16"/>
              </w:rPr>
              <w:t>CO</w:t>
            </w:r>
          </w:p>
        </w:tc>
        <w:tc>
          <w:tcPr>
            <w:tcW w:w="573" w:type="dxa"/>
            <w:shd w:val="clear" w:color="auto" w:fill="auto"/>
            <w:noWrap/>
            <w:vAlign w:val="bottom"/>
            <w:hideMark/>
          </w:tcPr>
          <w:p w14:paraId="1B9F7DE9"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BAU</w:t>
            </w:r>
          </w:p>
        </w:tc>
        <w:tc>
          <w:tcPr>
            <w:tcW w:w="551" w:type="dxa"/>
            <w:shd w:val="clear" w:color="auto" w:fill="auto"/>
            <w:noWrap/>
            <w:vAlign w:val="bottom"/>
            <w:hideMark/>
          </w:tcPr>
          <w:p w14:paraId="50AE20AC"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3.3</w:t>
            </w:r>
          </w:p>
        </w:tc>
        <w:tc>
          <w:tcPr>
            <w:tcW w:w="551" w:type="dxa"/>
            <w:shd w:val="clear" w:color="auto" w:fill="auto"/>
            <w:noWrap/>
            <w:vAlign w:val="bottom"/>
            <w:hideMark/>
          </w:tcPr>
          <w:p w14:paraId="432835D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5.6</w:t>
            </w:r>
          </w:p>
        </w:tc>
        <w:tc>
          <w:tcPr>
            <w:tcW w:w="551" w:type="dxa"/>
            <w:shd w:val="clear" w:color="auto" w:fill="auto"/>
            <w:noWrap/>
            <w:vAlign w:val="bottom"/>
            <w:hideMark/>
          </w:tcPr>
          <w:p w14:paraId="78A613E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16576C5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43.1</w:t>
            </w:r>
          </w:p>
        </w:tc>
        <w:tc>
          <w:tcPr>
            <w:tcW w:w="552" w:type="dxa"/>
            <w:shd w:val="clear" w:color="auto" w:fill="auto"/>
            <w:noWrap/>
            <w:vAlign w:val="bottom"/>
            <w:hideMark/>
          </w:tcPr>
          <w:p w14:paraId="32E478E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1FF4FA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9.9</w:t>
            </w:r>
          </w:p>
        </w:tc>
        <w:tc>
          <w:tcPr>
            <w:tcW w:w="551" w:type="dxa"/>
            <w:shd w:val="clear" w:color="auto" w:fill="auto"/>
            <w:noWrap/>
            <w:vAlign w:val="bottom"/>
            <w:hideMark/>
          </w:tcPr>
          <w:p w14:paraId="3AA048D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216FAE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36A56E5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1.5</w:t>
            </w:r>
          </w:p>
        </w:tc>
        <w:tc>
          <w:tcPr>
            <w:tcW w:w="551" w:type="dxa"/>
            <w:shd w:val="clear" w:color="auto" w:fill="auto"/>
            <w:noWrap/>
            <w:vAlign w:val="bottom"/>
            <w:hideMark/>
          </w:tcPr>
          <w:p w14:paraId="0387502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7919EF3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2FBA43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3AD6CC1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5D602B34"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63.6</w:t>
            </w:r>
          </w:p>
        </w:tc>
      </w:tr>
      <w:tr w:rsidR="006834FA" w:rsidRPr="00F97BFF" w14:paraId="026DF5DE" w14:textId="77777777" w:rsidTr="001003EB">
        <w:trPr>
          <w:trHeight w:val="204"/>
        </w:trPr>
        <w:tc>
          <w:tcPr>
            <w:tcW w:w="568" w:type="dxa"/>
            <w:shd w:val="clear" w:color="auto" w:fill="auto"/>
            <w:noWrap/>
            <w:vAlign w:val="bottom"/>
            <w:hideMark/>
          </w:tcPr>
          <w:p w14:paraId="66DC9321" w14:textId="35A5B32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37054F87"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ACT</w:t>
            </w:r>
          </w:p>
        </w:tc>
        <w:tc>
          <w:tcPr>
            <w:tcW w:w="551" w:type="dxa"/>
            <w:shd w:val="clear" w:color="auto" w:fill="auto"/>
            <w:noWrap/>
            <w:vAlign w:val="bottom"/>
            <w:hideMark/>
          </w:tcPr>
          <w:p w14:paraId="61C8AF27"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3.0</w:t>
            </w:r>
          </w:p>
        </w:tc>
        <w:tc>
          <w:tcPr>
            <w:tcW w:w="551" w:type="dxa"/>
            <w:shd w:val="clear" w:color="auto" w:fill="auto"/>
            <w:noWrap/>
            <w:vAlign w:val="bottom"/>
            <w:hideMark/>
          </w:tcPr>
          <w:p w14:paraId="6AF4657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5.2</w:t>
            </w:r>
          </w:p>
        </w:tc>
        <w:tc>
          <w:tcPr>
            <w:tcW w:w="551" w:type="dxa"/>
            <w:shd w:val="clear" w:color="auto" w:fill="auto"/>
            <w:noWrap/>
            <w:vAlign w:val="bottom"/>
            <w:hideMark/>
          </w:tcPr>
          <w:p w14:paraId="3CE4D76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3228502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43.1</w:t>
            </w:r>
          </w:p>
        </w:tc>
        <w:tc>
          <w:tcPr>
            <w:tcW w:w="552" w:type="dxa"/>
            <w:shd w:val="clear" w:color="auto" w:fill="auto"/>
            <w:noWrap/>
            <w:vAlign w:val="bottom"/>
            <w:hideMark/>
          </w:tcPr>
          <w:p w14:paraId="4F98AC4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F1723F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8.5</w:t>
            </w:r>
          </w:p>
        </w:tc>
        <w:tc>
          <w:tcPr>
            <w:tcW w:w="551" w:type="dxa"/>
            <w:shd w:val="clear" w:color="auto" w:fill="auto"/>
            <w:noWrap/>
            <w:vAlign w:val="bottom"/>
            <w:hideMark/>
          </w:tcPr>
          <w:p w14:paraId="25CCCA8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C833FB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122F332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1.5</w:t>
            </w:r>
          </w:p>
        </w:tc>
        <w:tc>
          <w:tcPr>
            <w:tcW w:w="551" w:type="dxa"/>
            <w:shd w:val="clear" w:color="auto" w:fill="auto"/>
            <w:noWrap/>
            <w:vAlign w:val="bottom"/>
            <w:hideMark/>
          </w:tcPr>
          <w:p w14:paraId="37CB494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CC7BD6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5BAF01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4F9A697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71CDE242"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61.6</w:t>
            </w:r>
          </w:p>
        </w:tc>
      </w:tr>
      <w:tr w:rsidR="006834FA" w:rsidRPr="00F97BFF" w14:paraId="0047A4EB" w14:textId="77777777" w:rsidTr="001003EB">
        <w:trPr>
          <w:trHeight w:val="204"/>
        </w:trPr>
        <w:tc>
          <w:tcPr>
            <w:tcW w:w="568" w:type="dxa"/>
            <w:shd w:val="clear" w:color="auto" w:fill="auto"/>
            <w:noWrap/>
            <w:vAlign w:val="bottom"/>
            <w:hideMark/>
          </w:tcPr>
          <w:p w14:paraId="4F7DEABD"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2CA32B22"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LCI</w:t>
            </w:r>
          </w:p>
        </w:tc>
        <w:tc>
          <w:tcPr>
            <w:tcW w:w="551" w:type="dxa"/>
            <w:shd w:val="clear" w:color="auto" w:fill="auto"/>
            <w:noWrap/>
            <w:vAlign w:val="bottom"/>
            <w:hideMark/>
          </w:tcPr>
          <w:p w14:paraId="0ABA7300"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2.3</w:t>
            </w:r>
          </w:p>
        </w:tc>
        <w:tc>
          <w:tcPr>
            <w:tcW w:w="551" w:type="dxa"/>
            <w:shd w:val="clear" w:color="auto" w:fill="auto"/>
            <w:noWrap/>
            <w:vAlign w:val="bottom"/>
            <w:hideMark/>
          </w:tcPr>
          <w:p w14:paraId="2DDA6A9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2.2</w:t>
            </w:r>
          </w:p>
        </w:tc>
        <w:tc>
          <w:tcPr>
            <w:tcW w:w="551" w:type="dxa"/>
            <w:shd w:val="clear" w:color="auto" w:fill="auto"/>
            <w:noWrap/>
            <w:vAlign w:val="bottom"/>
            <w:hideMark/>
          </w:tcPr>
          <w:p w14:paraId="2F38076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138117D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43.1</w:t>
            </w:r>
          </w:p>
        </w:tc>
        <w:tc>
          <w:tcPr>
            <w:tcW w:w="552" w:type="dxa"/>
            <w:shd w:val="clear" w:color="auto" w:fill="auto"/>
            <w:noWrap/>
            <w:vAlign w:val="bottom"/>
            <w:hideMark/>
          </w:tcPr>
          <w:p w14:paraId="5A7C84F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607081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9.9</w:t>
            </w:r>
          </w:p>
        </w:tc>
        <w:tc>
          <w:tcPr>
            <w:tcW w:w="551" w:type="dxa"/>
            <w:shd w:val="clear" w:color="auto" w:fill="auto"/>
            <w:noWrap/>
            <w:vAlign w:val="bottom"/>
            <w:hideMark/>
          </w:tcPr>
          <w:p w14:paraId="06CD87C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5DEFD9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26B26B7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1.5</w:t>
            </w:r>
          </w:p>
        </w:tc>
        <w:tc>
          <w:tcPr>
            <w:tcW w:w="551" w:type="dxa"/>
            <w:shd w:val="clear" w:color="auto" w:fill="auto"/>
            <w:noWrap/>
            <w:vAlign w:val="bottom"/>
            <w:hideMark/>
          </w:tcPr>
          <w:p w14:paraId="25D141C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67D5DDD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2AD4E5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1DA2238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703A1BC1"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59.3</w:t>
            </w:r>
          </w:p>
        </w:tc>
      </w:tr>
      <w:tr w:rsidR="006834FA" w:rsidRPr="00F97BFF" w14:paraId="53F559E4" w14:textId="77777777" w:rsidTr="001003EB">
        <w:trPr>
          <w:trHeight w:val="204"/>
        </w:trPr>
        <w:tc>
          <w:tcPr>
            <w:tcW w:w="568" w:type="dxa"/>
            <w:shd w:val="clear" w:color="auto" w:fill="auto"/>
            <w:noWrap/>
            <w:vAlign w:val="bottom"/>
            <w:hideMark/>
          </w:tcPr>
          <w:p w14:paraId="578E6AC4"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0DA2BF2B"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CAS</w:t>
            </w:r>
          </w:p>
        </w:tc>
        <w:tc>
          <w:tcPr>
            <w:tcW w:w="551" w:type="dxa"/>
            <w:shd w:val="clear" w:color="auto" w:fill="auto"/>
            <w:noWrap/>
            <w:vAlign w:val="bottom"/>
            <w:hideMark/>
          </w:tcPr>
          <w:p w14:paraId="378C8DF1"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3.0</w:t>
            </w:r>
          </w:p>
        </w:tc>
        <w:tc>
          <w:tcPr>
            <w:tcW w:w="551" w:type="dxa"/>
            <w:shd w:val="clear" w:color="auto" w:fill="auto"/>
            <w:noWrap/>
            <w:vAlign w:val="bottom"/>
            <w:hideMark/>
          </w:tcPr>
          <w:p w14:paraId="262E2EA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1.9</w:t>
            </w:r>
          </w:p>
        </w:tc>
        <w:tc>
          <w:tcPr>
            <w:tcW w:w="551" w:type="dxa"/>
            <w:shd w:val="clear" w:color="auto" w:fill="auto"/>
            <w:noWrap/>
            <w:vAlign w:val="bottom"/>
            <w:hideMark/>
          </w:tcPr>
          <w:p w14:paraId="54C120F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101ADBE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34.9</w:t>
            </w:r>
          </w:p>
        </w:tc>
        <w:tc>
          <w:tcPr>
            <w:tcW w:w="552" w:type="dxa"/>
            <w:shd w:val="clear" w:color="auto" w:fill="auto"/>
            <w:noWrap/>
            <w:vAlign w:val="bottom"/>
            <w:hideMark/>
          </w:tcPr>
          <w:p w14:paraId="717318E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78EB2D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8.5</w:t>
            </w:r>
          </w:p>
        </w:tc>
        <w:tc>
          <w:tcPr>
            <w:tcW w:w="551" w:type="dxa"/>
            <w:shd w:val="clear" w:color="auto" w:fill="auto"/>
            <w:noWrap/>
            <w:vAlign w:val="bottom"/>
            <w:hideMark/>
          </w:tcPr>
          <w:p w14:paraId="68702EB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2BDBE7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3440786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1.5</w:t>
            </w:r>
          </w:p>
        </w:tc>
        <w:tc>
          <w:tcPr>
            <w:tcW w:w="551" w:type="dxa"/>
            <w:shd w:val="clear" w:color="auto" w:fill="auto"/>
            <w:noWrap/>
            <w:vAlign w:val="bottom"/>
            <w:hideMark/>
          </w:tcPr>
          <w:p w14:paraId="2856EDF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9F3F69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F4710B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3458EF8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52E91C73"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49.9</w:t>
            </w:r>
          </w:p>
        </w:tc>
      </w:tr>
      <w:tr w:rsidR="006834FA" w:rsidRPr="00F97BFF" w14:paraId="521164EF" w14:textId="77777777" w:rsidTr="001003EB">
        <w:trPr>
          <w:trHeight w:val="204"/>
        </w:trPr>
        <w:tc>
          <w:tcPr>
            <w:tcW w:w="568" w:type="dxa"/>
            <w:shd w:val="clear" w:color="auto" w:fill="auto"/>
            <w:noWrap/>
            <w:vAlign w:val="bottom"/>
            <w:hideMark/>
          </w:tcPr>
          <w:p w14:paraId="0686722C" w14:textId="2169A79B" w:rsidR="006834FA" w:rsidRPr="002A73C5" w:rsidRDefault="005322D8" w:rsidP="001003EB">
            <w:pPr>
              <w:spacing w:after="0" w:line="240" w:lineRule="auto"/>
              <w:ind w:right="-108"/>
              <w:rPr>
                <w:rFonts w:ascii="Times New Roman" w:hAnsi="Times New Roman"/>
                <w:b/>
                <w:sz w:val="16"/>
              </w:rPr>
            </w:pPr>
            <w:r w:rsidRPr="002A73C5">
              <w:rPr>
                <w:rFonts w:ascii="Times New Roman" w:hAnsi="Times New Roman"/>
                <w:b/>
                <w:sz w:val="16"/>
              </w:rPr>
              <w:t>VOC</w:t>
            </w:r>
          </w:p>
        </w:tc>
        <w:tc>
          <w:tcPr>
            <w:tcW w:w="573" w:type="dxa"/>
            <w:shd w:val="clear" w:color="auto" w:fill="auto"/>
            <w:noWrap/>
            <w:vAlign w:val="bottom"/>
            <w:hideMark/>
          </w:tcPr>
          <w:p w14:paraId="6ED6BC80"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BAU</w:t>
            </w:r>
          </w:p>
        </w:tc>
        <w:tc>
          <w:tcPr>
            <w:tcW w:w="551" w:type="dxa"/>
            <w:shd w:val="clear" w:color="auto" w:fill="auto"/>
            <w:noWrap/>
            <w:vAlign w:val="bottom"/>
            <w:hideMark/>
          </w:tcPr>
          <w:p w14:paraId="3F0A7562"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2.3</w:t>
            </w:r>
          </w:p>
        </w:tc>
        <w:tc>
          <w:tcPr>
            <w:tcW w:w="551" w:type="dxa"/>
            <w:shd w:val="clear" w:color="auto" w:fill="auto"/>
            <w:noWrap/>
            <w:vAlign w:val="bottom"/>
            <w:hideMark/>
          </w:tcPr>
          <w:p w14:paraId="0F46063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0.6</w:t>
            </w:r>
          </w:p>
        </w:tc>
        <w:tc>
          <w:tcPr>
            <w:tcW w:w="551" w:type="dxa"/>
            <w:shd w:val="clear" w:color="auto" w:fill="auto"/>
            <w:noWrap/>
            <w:vAlign w:val="bottom"/>
            <w:hideMark/>
          </w:tcPr>
          <w:p w14:paraId="0C6A69F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97002B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29.7</w:t>
            </w:r>
          </w:p>
        </w:tc>
        <w:tc>
          <w:tcPr>
            <w:tcW w:w="552" w:type="dxa"/>
            <w:shd w:val="clear" w:color="auto" w:fill="auto"/>
            <w:noWrap/>
            <w:vAlign w:val="bottom"/>
            <w:hideMark/>
          </w:tcPr>
          <w:p w14:paraId="09252C7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2272F4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0.3</w:t>
            </w:r>
          </w:p>
        </w:tc>
        <w:tc>
          <w:tcPr>
            <w:tcW w:w="551" w:type="dxa"/>
            <w:shd w:val="clear" w:color="auto" w:fill="auto"/>
            <w:noWrap/>
            <w:vAlign w:val="bottom"/>
            <w:hideMark/>
          </w:tcPr>
          <w:p w14:paraId="644DF8D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E50D4C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1DFFD3B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0.9</w:t>
            </w:r>
          </w:p>
        </w:tc>
        <w:tc>
          <w:tcPr>
            <w:tcW w:w="551" w:type="dxa"/>
            <w:shd w:val="clear" w:color="auto" w:fill="auto"/>
            <w:noWrap/>
            <w:vAlign w:val="bottom"/>
            <w:hideMark/>
          </w:tcPr>
          <w:p w14:paraId="7A6A3C9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8A36BA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11.3</w:t>
            </w:r>
          </w:p>
        </w:tc>
        <w:tc>
          <w:tcPr>
            <w:tcW w:w="551" w:type="dxa"/>
            <w:shd w:val="clear" w:color="auto" w:fill="auto"/>
            <w:noWrap/>
            <w:vAlign w:val="bottom"/>
            <w:hideMark/>
          </w:tcPr>
          <w:p w14:paraId="10650C9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9.4</w:t>
            </w:r>
          </w:p>
        </w:tc>
        <w:tc>
          <w:tcPr>
            <w:tcW w:w="552" w:type="dxa"/>
            <w:shd w:val="clear" w:color="auto" w:fill="auto"/>
            <w:noWrap/>
            <w:vAlign w:val="bottom"/>
            <w:hideMark/>
          </w:tcPr>
          <w:p w14:paraId="0FA064B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1745210B"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54.7</w:t>
            </w:r>
          </w:p>
        </w:tc>
      </w:tr>
      <w:tr w:rsidR="006834FA" w:rsidRPr="00F97BFF" w14:paraId="261DA536" w14:textId="77777777" w:rsidTr="001003EB">
        <w:trPr>
          <w:trHeight w:val="204"/>
        </w:trPr>
        <w:tc>
          <w:tcPr>
            <w:tcW w:w="568" w:type="dxa"/>
            <w:shd w:val="clear" w:color="auto" w:fill="auto"/>
            <w:noWrap/>
            <w:vAlign w:val="bottom"/>
            <w:hideMark/>
          </w:tcPr>
          <w:p w14:paraId="0059F8AC"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16A59BC7"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ACT</w:t>
            </w:r>
          </w:p>
        </w:tc>
        <w:tc>
          <w:tcPr>
            <w:tcW w:w="551" w:type="dxa"/>
            <w:shd w:val="clear" w:color="auto" w:fill="auto"/>
            <w:noWrap/>
            <w:vAlign w:val="bottom"/>
            <w:hideMark/>
          </w:tcPr>
          <w:p w14:paraId="6A55EB19"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2.3</w:t>
            </w:r>
          </w:p>
        </w:tc>
        <w:tc>
          <w:tcPr>
            <w:tcW w:w="551" w:type="dxa"/>
            <w:shd w:val="clear" w:color="auto" w:fill="auto"/>
            <w:noWrap/>
            <w:vAlign w:val="bottom"/>
            <w:hideMark/>
          </w:tcPr>
          <w:p w14:paraId="7D29031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0.6</w:t>
            </w:r>
          </w:p>
        </w:tc>
        <w:tc>
          <w:tcPr>
            <w:tcW w:w="551" w:type="dxa"/>
            <w:shd w:val="clear" w:color="auto" w:fill="auto"/>
            <w:noWrap/>
            <w:vAlign w:val="bottom"/>
            <w:hideMark/>
          </w:tcPr>
          <w:p w14:paraId="29677F3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287306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29.7</w:t>
            </w:r>
          </w:p>
        </w:tc>
        <w:tc>
          <w:tcPr>
            <w:tcW w:w="552" w:type="dxa"/>
            <w:shd w:val="clear" w:color="auto" w:fill="auto"/>
            <w:noWrap/>
            <w:vAlign w:val="bottom"/>
            <w:hideMark/>
          </w:tcPr>
          <w:p w14:paraId="1757A7D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8CEE29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53D677A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5B9AE4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1F603E8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0.9</w:t>
            </w:r>
          </w:p>
        </w:tc>
        <w:tc>
          <w:tcPr>
            <w:tcW w:w="551" w:type="dxa"/>
            <w:shd w:val="clear" w:color="auto" w:fill="auto"/>
            <w:noWrap/>
            <w:vAlign w:val="bottom"/>
            <w:hideMark/>
          </w:tcPr>
          <w:p w14:paraId="4A4C6FC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168125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11.3</w:t>
            </w:r>
          </w:p>
        </w:tc>
        <w:tc>
          <w:tcPr>
            <w:tcW w:w="551" w:type="dxa"/>
            <w:shd w:val="clear" w:color="auto" w:fill="auto"/>
            <w:noWrap/>
            <w:vAlign w:val="bottom"/>
            <w:hideMark/>
          </w:tcPr>
          <w:p w14:paraId="409525B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7.2</w:t>
            </w:r>
          </w:p>
        </w:tc>
        <w:tc>
          <w:tcPr>
            <w:tcW w:w="552" w:type="dxa"/>
            <w:shd w:val="clear" w:color="auto" w:fill="auto"/>
            <w:noWrap/>
            <w:vAlign w:val="bottom"/>
            <w:hideMark/>
          </w:tcPr>
          <w:p w14:paraId="34D3E23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3F9A8644"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52.1</w:t>
            </w:r>
          </w:p>
        </w:tc>
      </w:tr>
      <w:tr w:rsidR="006834FA" w:rsidRPr="00F97BFF" w14:paraId="497FD423" w14:textId="77777777" w:rsidTr="001003EB">
        <w:trPr>
          <w:trHeight w:val="204"/>
        </w:trPr>
        <w:tc>
          <w:tcPr>
            <w:tcW w:w="568" w:type="dxa"/>
            <w:shd w:val="clear" w:color="auto" w:fill="auto"/>
            <w:noWrap/>
            <w:vAlign w:val="bottom"/>
            <w:hideMark/>
          </w:tcPr>
          <w:p w14:paraId="5A57DF88" w14:textId="04845FC8"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78275937"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LCI</w:t>
            </w:r>
          </w:p>
        </w:tc>
        <w:tc>
          <w:tcPr>
            <w:tcW w:w="551" w:type="dxa"/>
            <w:shd w:val="clear" w:color="auto" w:fill="auto"/>
            <w:noWrap/>
            <w:vAlign w:val="bottom"/>
            <w:hideMark/>
          </w:tcPr>
          <w:p w14:paraId="18969A01"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0.6</w:t>
            </w:r>
          </w:p>
        </w:tc>
        <w:tc>
          <w:tcPr>
            <w:tcW w:w="551" w:type="dxa"/>
            <w:shd w:val="clear" w:color="auto" w:fill="auto"/>
            <w:noWrap/>
            <w:vAlign w:val="bottom"/>
            <w:hideMark/>
          </w:tcPr>
          <w:p w14:paraId="649ED82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3CD6339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08529C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29.7</w:t>
            </w:r>
          </w:p>
        </w:tc>
        <w:tc>
          <w:tcPr>
            <w:tcW w:w="552" w:type="dxa"/>
            <w:shd w:val="clear" w:color="auto" w:fill="auto"/>
            <w:noWrap/>
            <w:vAlign w:val="bottom"/>
            <w:hideMark/>
          </w:tcPr>
          <w:p w14:paraId="0F9F900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76632B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0.3</w:t>
            </w:r>
          </w:p>
        </w:tc>
        <w:tc>
          <w:tcPr>
            <w:tcW w:w="551" w:type="dxa"/>
            <w:shd w:val="clear" w:color="auto" w:fill="auto"/>
            <w:noWrap/>
            <w:vAlign w:val="bottom"/>
            <w:hideMark/>
          </w:tcPr>
          <w:p w14:paraId="26B5773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AAAF5C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2BA2F49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0.9</w:t>
            </w:r>
          </w:p>
        </w:tc>
        <w:tc>
          <w:tcPr>
            <w:tcW w:w="551" w:type="dxa"/>
            <w:shd w:val="clear" w:color="auto" w:fill="auto"/>
            <w:noWrap/>
            <w:vAlign w:val="bottom"/>
            <w:hideMark/>
          </w:tcPr>
          <w:p w14:paraId="258DE18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F12CDD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11.3</w:t>
            </w:r>
          </w:p>
        </w:tc>
        <w:tc>
          <w:tcPr>
            <w:tcW w:w="551" w:type="dxa"/>
            <w:shd w:val="clear" w:color="auto" w:fill="auto"/>
            <w:noWrap/>
            <w:vAlign w:val="bottom"/>
            <w:hideMark/>
          </w:tcPr>
          <w:p w14:paraId="1F7089D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9.3</w:t>
            </w:r>
          </w:p>
        </w:tc>
        <w:tc>
          <w:tcPr>
            <w:tcW w:w="552" w:type="dxa"/>
            <w:shd w:val="clear" w:color="auto" w:fill="auto"/>
            <w:noWrap/>
            <w:vAlign w:val="bottom"/>
            <w:hideMark/>
          </w:tcPr>
          <w:p w14:paraId="3B653F9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36467EEB"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52.4</w:t>
            </w:r>
          </w:p>
        </w:tc>
      </w:tr>
      <w:tr w:rsidR="006834FA" w:rsidRPr="00F97BFF" w14:paraId="179875E0" w14:textId="77777777" w:rsidTr="001003EB">
        <w:trPr>
          <w:trHeight w:val="204"/>
        </w:trPr>
        <w:tc>
          <w:tcPr>
            <w:tcW w:w="568" w:type="dxa"/>
            <w:shd w:val="clear" w:color="auto" w:fill="auto"/>
            <w:noWrap/>
            <w:vAlign w:val="bottom"/>
            <w:hideMark/>
          </w:tcPr>
          <w:p w14:paraId="47FA2997"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631A6EC1"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CAS</w:t>
            </w:r>
          </w:p>
        </w:tc>
        <w:tc>
          <w:tcPr>
            <w:tcW w:w="551" w:type="dxa"/>
            <w:shd w:val="clear" w:color="auto" w:fill="auto"/>
            <w:noWrap/>
            <w:vAlign w:val="bottom"/>
            <w:hideMark/>
          </w:tcPr>
          <w:p w14:paraId="0817C758"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2.3</w:t>
            </w:r>
          </w:p>
        </w:tc>
        <w:tc>
          <w:tcPr>
            <w:tcW w:w="551" w:type="dxa"/>
            <w:shd w:val="clear" w:color="auto" w:fill="auto"/>
            <w:noWrap/>
            <w:vAlign w:val="bottom"/>
            <w:hideMark/>
          </w:tcPr>
          <w:p w14:paraId="13473DA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2F1522D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8E6262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28.8</w:t>
            </w:r>
          </w:p>
        </w:tc>
        <w:tc>
          <w:tcPr>
            <w:tcW w:w="552" w:type="dxa"/>
            <w:shd w:val="clear" w:color="auto" w:fill="auto"/>
            <w:noWrap/>
            <w:vAlign w:val="bottom"/>
            <w:hideMark/>
          </w:tcPr>
          <w:p w14:paraId="1053CCF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9EBDFA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68F0BA8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63190C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668D2A0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0.9</w:t>
            </w:r>
          </w:p>
        </w:tc>
        <w:tc>
          <w:tcPr>
            <w:tcW w:w="551" w:type="dxa"/>
            <w:shd w:val="clear" w:color="auto" w:fill="auto"/>
            <w:noWrap/>
            <w:vAlign w:val="bottom"/>
            <w:hideMark/>
          </w:tcPr>
          <w:p w14:paraId="5091CCF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471270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11.3</w:t>
            </w:r>
          </w:p>
        </w:tc>
        <w:tc>
          <w:tcPr>
            <w:tcW w:w="551" w:type="dxa"/>
            <w:shd w:val="clear" w:color="auto" w:fill="auto"/>
            <w:noWrap/>
            <w:vAlign w:val="bottom"/>
            <w:hideMark/>
          </w:tcPr>
          <w:p w14:paraId="03F3F93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7.0</w:t>
            </w:r>
          </w:p>
        </w:tc>
        <w:tc>
          <w:tcPr>
            <w:tcW w:w="552" w:type="dxa"/>
            <w:shd w:val="clear" w:color="auto" w:fill="auto"/>
            <w:noWrap/>
            <w:vAlign w:val="bottom"/>
            <w:hideMark/>
          </w:tcPr>
          <w:p w14:paraId="41AC5E2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0CA45689"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50.6</w:t>
            </w:r>
          </w:p>
        </w:tc>
      </w:tr>
      <w:tr w:rsidR="006834FA" w:rsidRPr="00F97BFF" w14:paraId="12D97771" w14:textId="77777777" w:rsidTr="001003EB">
        <w:trPr>
          <w:trHeight w:val="204"/>
        </w:trPr>
        <w:tc>
          <w:tcPr>
            <w:tcW w:w="568" w:type="dxa"/>
            <w:shd w:val="clear" w:color="auto" w:fill="auto"/>
            <w:noWrap/>
            <w:vAlign w:val="bottom"/>
            <w:hideMark/>
          </w:tcPr>
          <w:p w14:paraId="4EEEDD61" w14:textId="289667AE" w:rsidR="006834FA" w:rsidRPr="002A73C5" w:rsidRDefault="005322D8" w:rsidP="001003EB">
            <w:pPr>
              <w:spacing w:after="0" w:line="240" w:lineRule="auto"/>
              <w:ind w:right="-108"/>
              <w:rPr>
                <w:rFonts w:ascii="Times New Roman" w:hAnsi="Times New Roman"/>
                <w:b/>
                <w:sz w:val="16"/>
              </w:rPr>
            </w:pPr>
            <w:r w:rsidRPr="002A73C5">
              <w:rPr>
                <w:rFonts w:ascii="Times New Roman" w:hAnsi="Times New Roman"/>
                <w:b/>
                <w:sz w:val="16"/>
              </w:rPr>
              <w:t>NH</w:t>
            </w:r>
            <w:r w:rsidRPr="002A73C5">
              <w:rPr>
                <w:rFonts w:ascii="Times New Roman" w:hAnsi="Times New Roman"/>
                <w:b/>
                <w:sz w:val="16"/>
                <w:vertAlign w:val="subscript"/>
              </w:rPr>
              <w:t>3</w:t>
            </w:r>
          </w:p>
        </w:tc>
        <w:tc>
          <w:tcPr>
            <w:tcW w:w="573" w:type="dxa"/>
            <w:shd w:val="clear" w:color="auto" w:fill="auto"/>
            <w:noWrap/>
            <w:vAlign w:val="bottom"/>
            <w:hideMark/>
          </w:tcPr>
          <w:p w14:paraId="3CAFA542"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BAU</w:t>
            </w:r>
          </w:p>
        </w:tc>
        <w:tc>
          <w:tcPr>
            <w:tcW w:w="551" w:type="dxa"/>
            <w:shd w:val="clear" w:color="auto" w:fill="auto"/>
            <w:noWrap/>
            <w:vAlign w:val="bottom"/>
            <w:hideMark/>
          </w:tcPr>
          <w:p w14:paraId="3963B8B5"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1B1C88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C66B58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B4F487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2" w:type="dxa"/>
            <w:shd w:val="clear" w:color="auto" w:fill="auto"/>
            <w:noWrap/>
            <w:vAlign w:val="bottom"/>
            <w:hideMark/>
          </w:tcPr>
          <w:p w14:paraId="5B9B2B0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ACEC83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9E3DEE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5EB977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36.2</w:t>
            </w:r>
          </w:p>
        </w:tc>
        <w:tc>
          <w:tcPr>
            <w:tcW w:w="552" w:type="dxa"/>
            <w:shd w:val="clear" w:color="auto" w:fill="auto"/>
            <w:noWrap/>
            <w:vAlign w:val="bottom"/>
            <w:hideMark/>
          </w:tcPr>
          <w:p w14:paraId="4A1D9B1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CD4E2A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E0729A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3D6E75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567569A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71638B07"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36.5</w:t>
            </w:r>
          </w:p>
        </w:tc>
      </w:tr>
      <w:tr w:rsidR="006834FA" w:rsidRPr="00F97BFF" w14:paraId="6D33F19D" w14:textId="77777777" w:rsidTr="001003EB">
        <w:trPr>
          <w:trHeight w:val="204"/>
        </w:trPr>
        <w:tc>
          <w:tcPr>
            <w:tcW w:w="568" w:type="dxa"/>
            <w:shd w:val="clear" w:color="auto" w:fill="auto"/>
            <w:noWrap/>
            <w:vAlign w:val="bottom"/>
            <w:hideMark/>
          </w:tcPr>
          <w:p w14:paraId="3BC7F31B"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00C63079"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ACT</w:t>
            </w:r>
          </w:p>
        </w:tc>
        <w:tc>
          <w:tcPr>
            <w:tcW w:w="551" w:type="dxa"/>
            <w:shd w:val="clear" w:color="auto" w:fill="auto"/>
            <w:noWrap/>
            <w:vAlign w:val="bottom"/>
            <w:hideMark/>
          </w:tcPr>
          <w:p w14:paraId="4E3E4761"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1.2</w:t>
            </w:r>
          </w:p>
        </w:tc>
        <w:tc>
          <w:tcPr>
            <w:tcW w:w="551" w:type="dxa"/>
            <w:shd w:val="clear" w:color="auto" w:fill="auto"/>
            <w:noWrap/>
            <w:vAlign w:val="bottom"/>
            <w:hideMark/>
          </w:tcPr>
          <w:p w14:paraId="464541A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69F3D0A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998404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2" w:type="dxa"/>
            <w:shd w:val="clear" w:color="auto" w:fill="auto"/>
            <w:noWrap/>
            <w:vAlign w:val="bottom"/>
            <w:hideMark/>
          </w:tcPr>
          <w:p w14:paraId="70E5D02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B707B5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5393BA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FB18D1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31.8</w:t>
            </w:r>
          </w:p>
        </w:tc>
        <w:tc>
          <w:tcPr>
            <w:tcW w:w="552" w:type="dxa"/>
            <w:shd w:val="clear" w:color="auto" w:fill="auto"/>
            <w:noWrap/>
            <w:vAlign w:val="bottom"/>
            <w:hideMark/>
          </w:tcPr>
          <w:p w14:paraId="397DAF8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5C291A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45B5AF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FBD634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0F96D22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28089B20"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33.3</w:t>
            </w:r>
          </w:p>
        </w:tc>
      </w:tr>
      <w:tr w:rsidR="006834FA" w:rsidRPr="00F97BFF" w14:paraId="56893F37" w14:textId="77777777" w:rsidTr="001003EB">
        <w:trPr>
          <w:trHeight w:val="204"/>
        </w:trPr>
        <w:tc>
          <w:tcPr>
            <w:tcW w:w="568" w:type="dxa"/>
            <w:shd w:val="clear" w:color="auto" w:fill="auto"/>
            <w:noWrap/>
            <w:vAlign w:val="bottom"/>
            <w:hideMark/>
          </w:tcPr>
          <w:p w14:paraId="7CC90FD0"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4870A176"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LCI</w:t>
            </w:r>
          </w:p>
        </w:tc>
        <w:tc>
          <w:tcPr>
            <w:tcW w:w="551" w:type="dxa"/>
            <w:shd w:val="clear" w:color="auto" w:fill="auto"/>
            <w:noWrap/>
            <w:vAlign w:val="bottom"/>
            <w:hideMark/>
          </w:tcPr>
          <w:p w14:paraId="23EF124C"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0.4</w:t>
            </w:r>
          </w:p>
        </w:tc>
        <w:tc>
          <w:tcPr>
            <w:tcW w:w="551" w:type="dxa"/>
            <w:shd w:val="clear" w:color="auto" w:fill="auto"/>
            <w:noWrap/>
            <w:vAlign w:val="bottom"/>
            <w:hideMark/>
          </w:tcPr>
          <w:p w14:paraId="259DACB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CF7269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091623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2" w:type="dxa"/>
            <w:shd w:val="clear" w:color="auto" w:fill="auto"/>
            <w:noWrap/>
            <w:vAlign w:val="bottom"/>
            <w:hideMark/>
          </w:tcPr>
          <w:p w14:paraId="0471207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2F711D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B74C0D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917FB5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36.2</w:t>
            </w:r>
          </w:p>
        </w:tc>
        <w:tc>
          <w:tcPr>
            <w:tcW w:w="552" w:type="dxa"/>
            <w:shd w:val="clear" w:color="auto" w:fill="auto"/>
            <w:noWrap/>
            <w:vAlign w:val="bottom"/>
            <w:hideMark/>
          </w:tcPr>
          <w:p w14:paraId="1811F84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46F3E3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AB2D68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9DD510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3A7B9FF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33B58A59"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36.9</w:t>
            </w:r>
          </w:p>
        </w:tc>
      </w:tr>
      <w:tr w:rsidR="006834FA" w:rsidRPr="00F97BFF" w14:paraId="488DC5B1" w14:textId="77777777" w:rsidTr="001003EB">
        <w:trPr>
          <w:trHeight w:val="204"/>
        </w:trPr>
        <w:tc>
          <w:tcPr>
            <w:tcW w:w="568" w:type="dxa"/>
            <w:shd w:val="clear" w:color="auto" w:fill="auto"/>
            <w:noWrap/>
            <w:vAlign w:val="bottom"/>
            <w:hideMark/>
          </w:tcPr>
          <w:p w14:paraId="6A4AF460" w14:textId="391623D6"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588DE715"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CAS</w:t>
            </w:r>
          </w:p>
        </w:tc>
        <w:tc>
          <w:tcPr>
            <w:tcW w:w="551" w:type="dxa"/>
            <w:shd w:val="clear" w:color="auto" w:fill="auto"/>
            <w:noWrap/>
            <w:vAlign w:val="bottom"/>
            <w:hideMark/>
          </w:tcPr>
          <w:p w14:paraId="56E6F329"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1.2</w:t>
            </w:r>
          </w:p>
        </w:tc>
        <w:tc>
          <w:tcPr>
            <w:tcW w:w="551" w:type="dxa"/>
            <w:shd w:val="clear" w:color="auto" w:fill="auto"/>
            <w:noWrap/>
            <w:vAlign w:val="bottom"/>
            <w:hideMark/>
          </w:tcPr>
          <w:p w14:paraId="750B404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4BAD386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F59E78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2" w:type="dxa"/>
            <w:shd w:val="clear" w:color="auto" w:fill="auto"/>
            <w:noWrap/>
            <w:vAlign w:val="bottom"/>
            <w:hideMark/>
          </w:tcPr>
          <w:p w14:paraId="4714795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77FE12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FECD01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AF7A3D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31.8</w:t>
            </w:r>
          </w:p>
        </w:tc>
        <w:tc>
          <w:tcPr>
            <w:tcW w:w="552" w:type="dxa"/>
            <w:shd w:val="clear" w:color="auto" w:fill="auto"/>
            <w:noWrap/>
            <w:vAlign w:val="bottom"/>
            <w:hideMark/>
          </w:tcPr>
          <w:p w14:paraId="49559D2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47B2C3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45C69F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85ADC4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30C2B4E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38A261C6"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33.3</w:t>
            </w:r>
          </w:p>
        </w:tc>
      </w:tr>
      <w:tr w:rsidR="006834FA" w:rsidRPr="00F97BFF" w14:paraId="31F71CCD" w14:textId="77777777" w:rsidTr="001003EB">
        <w:trPr>
          <w:trHeight w:val="204"/>
        </w:trPr>
        <w:tc>
          <w:tcPr>
            <w:tcW w:w="568" w:type="dxa"/>
            <w:shd w:val="clear" w:color="auto" w:fill="auto"/>
            <w:noWrap/>
            <w:vAlign w:val="bottom"/>
            <w:hideMark/>
          </w:tcPr>
          <w:p w14:paraId="01E5EC33" w14:textId="41668CD8" w:rsidR="006834FA" w:rsidRPr="002A73C5" w:rsidRDefault="005322D8" w:rsidP="001003EB">
            <w:pPr>
              <w:spacing w:after="0" w:line="240" w:lineRule="auto"/>
              <w:ind w:right="-108"/>
              <w:rPr>
                <w:rFonts w:ascii="Times New Roman" w:hAnsi="Times New Roman"/>
                <w:b/>
                <w:sz w:val="16"/>
              </w:rPr>
            </w:pPr>
            <w:r w:rsidRPr="002A73C5">
              <w:rPr>
                <w:rFonts w:ascii="Times New Roman" w:hAnsi="Times New Roman"/>
                <w:b/>
                <w:sz w:val="16"/>
              </w:rPr>
              <w:t>CO</w:t>
            </w:r>
            <w:r w:rsidRPr="002A73C5">
              <w:rPr>
                <w:rFonts w:ascii="Times New Roman" w:hAnsi="Times New Roman"/>
                <w:b/>
                <w:sz w:val="16"/>
                <w:vertAlign w:val="subscript"/>
              </w:rPr>
              <w:t>2</w:t>
            </w:r>
            <w:r w:rsidRPr="002A73C5">
              <w:rPr>
                <w:rFonts w:ascii="Times New Roman" w:hAnsi="Times New Roman"/>
                <w:b/>
                <w:sz w:val="16"/>
                <w:vertAlign w:val="superscript"/>
              </w:rPr>
              <w:t>*</w:t>
            </w:r>
            <w:r w:rsidRPr="002A73C5">
              <w:rPr>
                <w:rFonts w:ascii="Times New Roman" w:hAnsi="Times New Roman"/>
                <w:b/>
                <w:sz w:val="16"/>
                <w:vertAlign w:val="subscript"/>
              </w:rPr>
              <w:t xml:space="preserve"> </w:t>
            </w:r>
          </w:p>
        </w:tc>
        <w:tc>
          <w:tcPr>
            <w:tcW w:w="573" w:type="dxa"/>
            <w:shd w:val="clear" w:color="auto" w:fill="auto"/>
            <w:noWrap/>
            <w:vAlign w:val="bottom"/>
            <w:hideMark/>
          </w:tcPr>
          <w:p w14:paraId="6CA30C48"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BAU</w:t>
            </w:r>
          </w:p>
        </w:tc>
        <w:tc>
          <w:tcPr>
            <w:tcW w:w="551" w:type="dxa"/>
            <w:shd w:val="clear" w:color="auto" w:fill="auto"/>
            <w:noWrap/>
            <w:vAlign w:val="bottom"/>
            <w:hideMark/>
          </w:tcPr>
          <w:p w14:paraId="461B295C"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18.5</w:t>
            </w:r>
          </w:p>
        </w:tc>
        <w:tc>
          <w:tcPr>
            <w:tcW w:w="551" w:type="dxa"/>
            <w:shd w:val="clear" w:color="auto" w:fill="auto"/>
            <w:noWrap/>
            <w:vAlign w:val="bottom"/>
            <w:hideMark/>
          </w:tcPr>
          <w:p w14:paraId="1B0E7AE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3.1</w:t>
            </w:r>
          </w:p>
        </w:tc>
        <w:tc>
          <w:tcPr>
            <w:tcW w:w="551" w:type="dxa"/>
            <w:shd w:val="clear" w:color="auto" w:fill="auto"/>
            <w:noWrap/>
            <w:vAlign w:val="bottom"/>
            <w:hideMark/>
          </w:tcPr>
          <w:p w14:paraId="158E9B0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1ADE5FF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7.6</w:t>
            </w:r>
          </w:p>
        </w:tc>
        <w:tc>
          <w:tcPr>
            <w:tcW w:w="552" w:type="dxa"/>
            <w:shd w:val="clear" w:color="auto" w:fill="auto"/>
            <w:noWrap/>
            <w:vAlign w:val="bottom"/>
            <w:hideMark/>
          </w:tcPr>
          <w:p w14:paraId="601378D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60EC2B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F50C9A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9562B4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39C7CB9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0.9</w:t>
            </w:r>
          </w:p>
        </w:tc>
        <w:tc>
          <w:tcPr>
            <w:tcW w:w="551" w:type="dxa"/>
            <w:shd w:val="clear" w:color="auto" w:fill="auto"/>
            <w:noWrap/>
            <w:vAlign w:val="bottom"/>
            <w:hideMark/>
          </w:tcPr>
          <w:p w14:paraId="40DA368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0.7</w:t>
            </w:r>
          </w:p>
        </w:tc>
        <w:tc>
          <w:tcPr>
            <w:tcW w:w="551" w:type="dxa"/>
            <w:shd w:val="clear" w:color="auto" w:fill="auto"/>
            <w:noWrap/>
            <w:vAlign w:val="bottom"/>
            <w:hideMark/>
          </w:tcPr>
          <w:p w14:paraId="0E6B78C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C04E43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72B4438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0.3</w:t>
            </w:r>
          </w:p>
        </w:tc>
        <w:tc>
          <w:tcPr>
            <w:tcW w:w="759" w:type="dxa"/>
            <w:shd w:val="clear" w:color="auto" w:fill="auto"/>
            <w:noWrap/>
            <w:vAlign w:val="bottom"/>
            <w:hideMark/>
          </w:tcPr>
          <w:p w14:paraId="0890B186"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31.2</w:t>
            </w:r>
          </w:p>
        </w:tc>
      </w:tr>
      <w:tr w:rsidR="006834FA" w:rsidRPr="00F97BFF" w14:paraId="256E571E" w14:textId="77777777" w:rsidTr="001003EB">
        <w:trPr>
          <w:trHeight w:val="204"/>
        </w:trPr>
        <w:tc>
          <w:tcPr>
            <w:tcW w:w="568" w:type="dxa"/>
            <w:shd w:val="clear" w:color="auto" w:fill="auto"/>
            <w:noWrap/>
            <w:vAlign w:val="bottom"/>
            <w:hideMark/>
          </w:tcPr>
          <w:p w14:paraId="7018A402"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7C58E220"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ACT</w:t>
            </w:r>
          </w:p>
        </w:tc>
        <w:tc>
          <w:tcPr>
            <w:tcW w:w="551" w:type="dxa"/>
            <w:shd w:val="clear" w:color="auto" w:fill="auto"/>
            <w:noWrap/>
            <w:vAlign w:val="bottom"/>
            <w:hideMark/>
          </w:tcPr>
          <w:p w14:paraId="78E7DA23"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18.5</w:t>
            </w:r>
          </w:p>
        </w:tc>
        <w:tc>
          <w:tcPr>
            <w:tcW w:w="551" w:type="dxa"/>
            <w:shd w:val="clear" w:color="auto" w:fill="auto"/>
            <w:noWrap/>
            <w:vAlign w:val="bottom"/>
            <w:hideMark/>
          </w:tcPr>
          <w:p w14:paraId="71A85BE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3.1</w:t>
            </w:r>
          </w:p>
        </w:tc>
        <w:tc>
          <w:tcPr>
            <w:tcW w:w="551" w:type="dxa"/>
            <w:shd w:val="clear" w:color="auto" w:fill="auto"/>
            <w:noWrap/>
            <w:vAlign w:val="bottom"/>
            <w:hideMark/>
          </w:tcPr>
          <w:p w14:paraId="62DBDD5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27C6C2F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7.6</w:t>
            </w:r>
          </w:p>
        </w:tc>
        <w:tc>
          <w:tcPr>
            <w:tcW w:w="552" w:type="dxa"/>
            <w:shd w:val="clear" w:color="auto" w:fill="auto"/>
            <w:noWrap/>
            <w:vAlign w:val="bottom"/>
            <w:hideMark/>
          </w:tcPr>
          <w:p w14:paraId="0F31992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CCE365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E070C5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F70EE3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6A6FD64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0.9</w:t>
            </w:r>
          </w:p>
        </w:tc>
        <w:tc>
          <w:tcPr>
            <w:tcW w:w="551" w:type="dxa"/>
            <w:shd w:val="clear" w:color="auto" w:fill="auto"/>
            <w:noWrap/>
            <w:vAlign w:val="bottom"/>
            <w:hideMark/>
          </w:tcPr>
          <w:p w14:paraId="5F7C25E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8C6ED0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28004C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44441AF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03CB32F3"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30.2</w:t>
            </w:r>
          </w:p>
        </w:tc>
      </w:tr>
      <w:tr w:rsidR="006834FA" w:rsidRPr="00F97BFF" w14:paraId="342B84FD" w14:textId="77777777" w:rsidTr="001003EB">
        <w:trPr>
          <w:trHeight w:val="204"/>
        </w:trPr>
        <w:tc>
          <w:tcPr>
            <w:tcW w:w="568" w:type="dxa"/>
            <w:shd w:val="clear" w:color="auto" w:fill="auto"/>
            <w:noWrap/>
            <w:vAlign w:val="bottom"/>
            <w:hideMark/>
          </w:tcPr>
          <w:p w14:paraId="1510CE47"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40C62BFF"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LCI</w:t>
            </w:r>
          </w:p>
        </w:tc>
        <w:tc>
          <w:tcPr>
            <w:tcW w:w="551" w:type="dxa"/>
            <w:shd w:val="clear" w:color="auto" w:fill="auto"/>
            <w:noWrap/>
            <w:vAlign w:val="bottom"/>
            <w:hideMark/>
          </w:tcPr>
          <w:p w14:paraId="0D92A3F1"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11.0</w:t>
            </w:r>
          </w:p>
        </w:tc>
        <w:tc>
          <w:tcPr>
            <w:tcW w:w="551" w:type="dxa"/>
            <w:shd w:val="clear" w:color="auto" w:fill="auto"/>
            <w:noWrap/>
            <w:vAlign w:val="bottom"/>
            <w:hideMark/>
          </w:tcPr>
          <w:p w14:paraId="4DA800E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3.0</w:t>
            </w:r>
          </w:p>
        </w:tc>
        <w:tc>
          <w:tcPr>
            <w:tcW w:w="551" w:type="dxa"/>
            <w:shd w:val="clear" w:color="auto" w:fill="auto"/>
            <w:noWrap/>
            <w:vAlign w:val="bottom"/>
            <w:hideMark/>
          </w:tcPr>
          <w:p w14:paraId="4137B28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10C7B9C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7.6</w:t>
            </w:r>
          </w:p>
        </w:tc>
        <w:tc>
          <w:tcPr>
            <w:tcW w:w="552" w:type="dxa"/>
            <w:shd w:val="clear" w:color="auto" w:fill="auto"/>
            <w:noWrap/>
            <w:vAlign w:val="bottom"/>
            <w:hideMark/>
          </w:tcPr>
          <w:p w14:paraId="592E187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86DC15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59FB36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AB1324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5AE1D34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0.9</w:t>
            </w:r>
          </w:p>
        </w:tc>
        <w:tc>
          <w:tcPr>
            <w:tcW w:w="551" w:type="dxa"/>
            <w:shd w:val="clear" w:color="auto" w:fill="auto"/>
            <w:noWrap/>
            <w:vAlign w:val="bottom"/>
            <w:hideMark/>
          </w:tcPr>
          <w:p w14:paraId="2473720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0.7</w:t>
            </w:r>
          </w:p>
        </w:tc>
        <w:tc>
          <w:tcPr>
            <w:tcW w:w="551" w:type="dxa"/>
            <w:shd w:val="clear" w:color="auto" w:fill="auto"/>
            <w:noWrap/>
            <w:vAlign w:val="bottom"/>
            <w:hideMark/>
          </w:tcPr>
          <w:p w14:paraId="7BEA86E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F47331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1981246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0.3</w:t>
            </w:r>
          </w:p>
        </w:tc>
        <w:tc>
          <w:tcPr>
            <w:tcW w:w="759" w:type="dxa"/>
            <w:shd w:val="clear" w:color="auto" w:fill="auto"/>
            <w:noWrap/>
            <w:vAlign w:val="bottom"/>
            <w:hideMark/>
          </w:tcPr>
          <w:p w14:paraId="0A5D30F3"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23.7</w:t>
            </w:r>
          </w:p>
        </w:tc>
      </w:tr>
      <w:tr w:rsidR="006834FA" w:rsidRPr="00F97BFF" w14:paraId="318F72FD" w14:textId="77777777" w:rsidTr="001003EB">
        <w:trPr>
          <w:trHeight w:val="204"/>
        </w:trPr>
        <w:tc>
          <w:tcPr>
            <w:tcW w:w="568" w:type="dxa"/>
            <w:shd w:val="clear" w:color="auto" w:fill="auto"/>
            <w:noWrap/>
            <w:vAlign w:val="bottom"/>
            <w:hideMark/>
          </w:tcPr>
          <w:p w14:paraId="0499A5EC"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157EF134"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CAS</w:t>
            </w:r>
          </w:p>
        </w:tc>
        <w:tc>
          <w:tcPr>
            <w:tcW w:w="551" w:type="dxa"/>
            <w:shd w:val="clear" w:color="auto" w:fill="auto"/>
            <w:noWrap/>
            <w:vAlign w:val="bottom"/>
            <w:hideMark/>
          </w:tcPr>
          <w:p w14:paraId="41F820A5"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18.5</w:t>
            </w:r>
          </w:p>
        </w:tc>
        <w:tc>
          <w:tcPr>
            <w:tcW w:w="551" w:type="dxa"/>
            <w:shd w:val="clear" w:color="auto" w:fill="auto"/>
            <w:noWrap/>
            <w:vAlign w:val="bottom"/>
            <w:hideMark/>
          </w:tcPr>
          <w:p w14:paraId="6709421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3.0</w:t>
            </w:r>
          </w:p>
        </w:tc>
        <w:tc>
          <w:tcPr>
            <w:tcW w:w="551" w:type="dxa"/>
            <w:shd w:val="clear" w:color="auto" w:fill="auto"/>
            <w:noWrap/>
            <w:vAlign w:val="bottom"/>
            <w:hideMark/>
          </w:tcPr>
          <w:p w14:paraId="693958A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5809DE0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6.3</w:t>
            </w:r>
          </w:p>
        </w:tc>
        <w:tc>
          <w:tcPr>
            <w:tcW w:w="552" w:type="dxa"/>
            <w:shd w:val="clear" w:color="auto" w:fill="auto"/>
            <w:noWrap/>
            <w:vAlign w:val="bottom"/>
            <w:hideMark/>
          </w:tcPr>
          <w:p w14:paraId="0D97553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1ADBC7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123B04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12EF44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115E402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0.9</w:t>
            </w:r>
          </w:p>
        </w:tc>
        <w:tc>
          <w:tcPr>
            <w:tcW w:w="551" w:type="dxa"/>
            <w:shd w:val="clear" w:color="auto" w:fill="auto"/>
            <w:noWrap/>
            <w:vAlign w:val="bottom"/>
            <w:hideMark/>
          </w:tcPr>
          <w:p w14:paraId="67CEC76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2C52BC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12CB42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0B080D9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4EFF41E3"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28.9</w:t>
            </w:r>
          </w:p>
        </w:tc>
      </w:tr>
      <w:tr w:rsidR="006834FA" w:rsidRPr="00F97BFF" w14:paraId="7D217A7C" w14:textId="77777777" w:rsidTr="001003EB">
        <w:trPr>
          <w:trHeight w:val="204"/>
        </w:trPr>
        <w:tc>
          <w:tcPr>
            <w:tcW w:w="568" w:type="dxa"/>
            <w:shd w:val="clear" w:color="auto" w:fill="auto"/>
            <w:noWrap/>
            <w:vAlign w:val="bottom"/>
            <w:hideMark/>
          </w:tcPr>
          <w:p w14:paraId="673B1F5C" w14:textId="346B0439" w:rsidR="006834FA" w:rsidRPr="002A73C5" w:rsidRDefault="005322D8" w:rsidP="001003EB">
            <w:pPr>
              <w:spacing w:after="0" w:line="240" w:lineRule="auto"/>
              <w:ind w:right="-108"/>
              <w:rPr>
                <w:rFonts w:ascii="Times New Roman" w:hAnsi="Times New Roman"/>
                <w:b/>
                <w:sz w:val="16"/>
              </w:rPr>
            </w:pPr>
            <w:r w:rsidRPr="002A73C5">
              <w:rPr>
                <w:rFonts w:ascii="Times New Roman" w:hAnsi="Times New Roman"/>
                <w:b/>
                <w:sz w:val="16"/>
              </w:rPr>
              <w:t>CH</w:t>
            </w:r>
            <w:r w:rsidRPr="002A73C5">
              <w:rPr>
                <w:rFonts w:ascii="Times New Roman" w:hAnsi="Times New Roman"/>
                <w:b/>
                <w:sz w:val="16"/>
                <w:vertAlign w:val="subscript"/>
              </w:rPr>
              <w:t>4</w:t>
            </w:r>
          </w:p>
        </w:tc>
        <w:tc>
          <w:tcPr>
            <w:tcW w:w="573" w:type="dxa"/>
            <w:shd w:val="clear" w:color="auto" w:fill="auto"/>
            <w:noWrap/>
            <w:vAlign w:val="bottom"/>
            <w:hideMark/>
          </w:tcPr>
          <w:p w14:paraId="622F0940"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BAU</w:t>
            </w:r>
          </w:p>
        </w:tc>
        <w:tc>
          <w:tcPr>
            <w:tcW w:w="551" w:type="dxa"/>
            <w:shd w:val="clear" w:color="auto" w:fill="auto"/>
            <w:noWrap/>
            <w:vAlign w:val="bottom"/>
            <w:hideMark/>
          </w:tcPr>
          <w:p w14:paraId="4182CD9E"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216F96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566B619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08C21B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2" w:type="dxa"/>
            <w:shd w:val="clear" w:color="auto" w:fill="auto"/>
            <w:noWrap/>
            <w:vAlign w:val="bottom"/>
            <w:hideMark/>
          </w:tcPr>
          <w:p w14:paraId="4AF6625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9277CF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2AF310D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9DABA0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39.0</w:t>
            </w:r>
          </w:p>
        </w:tc>
        <w:tc>
          <w:tcPr>
            <w:tcW w:w="552" w:type="dxa"/>
            <w:shd w:val="clear" w:color="auto" w:fill="auto"/>
            <w:noWrap/>
            <w:vAlign w:val="bottom"/>
            <w:hideMark/>
          </w:tcPr>
          <w:p w14:paraId="671FDD9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2.7</w:t>
            </w:r>
          </w:p>
        </w:tc>
        <w:tc>
          <w:tcPr>
            <w:tcW w:w="551" w:type="dxa"/>
            <w:shd w:val="clear" w:color="auto" w:fill="auto"/>
            <w:noWrap/>
            <w:vAlign w:val="bottom"/>
            <w:hideMark/>
          </w:tcPr>
          <w:p w14:paraId="4C858A8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A213E1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858677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6285983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3A2D7655"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42.1</w:t>
            </w:r>
          </w:p>
        </w:tc>
      </w:tr>
      <w:tr w:rsidR="006834FA" w:rsidRPr="00F97BFF" w14:paraId="7730B8AE" w14:textId="77777777" w:rsidTr="001003EB">
        <w:trPr>
          <w:trHeight w:val="204"/>
        </w:trPr>
        <w:tc>
          <w:tcPr>
            <w:tcW w:w="568" w:type="dxa"/>
            <w:shd w:val="clear" w:color="auto" w:fill="auto"/>
            <w:noWrap/>
            <w:vAlign w:val="bottom"/>
            <w:hideMark/>
          </w:tcPr>
          <w:p w14:paraId="0864DE90"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20BAE300"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ACT</w:t>
            </w:r>
          </w:p>
        </w:tc>
        <w:tc>
          <w:tcPr>
            <w:tcW w:w="551" w:type="dxa"/>
            <w:shd w:val="clear" w:color="auto" w:fill="auto"/>
            <w:noWrap/>
            <w:vAlign w:val="bottom"/>
            <w:hideMark/>
          </w:tcPr>
          <w:p w14:paraId="3CA342AE"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E41D23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1E2A935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263917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2" w:type="dxa"/>
            <w:shd w:val="clear" w:color="auto" w:fill="auto"/>
            <w:noWrap/>
            <w:vAlign w:val="bottom"/>
            <w:hideMark/>
          </w:tcPr>
          <w:p w14:paraId="20D0CE7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58E4AB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3ED5C00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9357D9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39.0</w:t>
            </w:r>
          </w:p>
        </w:tc>
        <w:tc>
          <w:tcPr>
            <w:tcW w:w="552" w:type="dxa"/>
            <w:shd w:val="clear" w:color="auto" w:fill="auto"/>
            <w:noWrap/>
            <w:vAlign w:val="bottom"/>
            <w:hideMark/>
          </w:tcPr>
          <w:p w14:paraId="041F5BD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2.7</w:t>
            </w:r>
          </w:p>
        </w:tc>
        <w:tc>
          <w:tcPr>
            <w:tcW w:w="551" w:type="dxa"/>
            <w:shd w:val="clear" w:color="auto" w:fill="auto"/>
            <w:noWrap/>
            <w:vAlign w:val="bottom"/>
            <w:hideMark/>
          </w:tcPr>
          <w:p w14:paraId="42137FC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11AD1D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CF1BE7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6124910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52DCAEF4"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42.1</w:t>
            </w:r>
          </w:p>
        </w:tc>
      </w:tr>
      <w:tr w:rsidR="006834FA" w:rsidRPr="00F97BFF" w14:paraId="3667367B" w14:textId="77777777" w:rsidTr="001003EB">
        <w:trPr>
          <w:trHeight w:val="204"/>
        </w:trPr>
        <w:tc>
          <w:tcPr>
            <w:tcW w:w="568" w:type="dxa"/>
            <w:shd w:val="clear" w:color="auto" w:fill="auto"/>
            <w:noWrap/>
            <w:vAlign w:val="bottom"/>
            <w:hideMark/>
          </w:tcPr>
          <w:p w14:paraId="2329D696"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1719F736"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LCI</w:t>
            </w:r>
          </w:p>
        </w:tc>
        <w:tc>
          <w:tcPr>
            <w:tcW w:w="551" w:type="dxa"/>
            <w:shd w:val="clear" w:color="auto" w:fill="auto"/>
            <w:noWrap/>
            <w:vAlign w:val="bottom"/>
            <w:hideMark/>
          </w:tcPr>
          <w:p w14:paraId="5A2D875E"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FAEF63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162795D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7ACED8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2" w:type="dxa"/>
            <w:shd w:val="clear" w:color="auto" w:fill="auto"/>
            <w:noWrap/>
            <w:vAlign w:val="bottom"/>
            <w:hideMark/>
          </w:tcPr>
          <w:p w14:paraId="1020BD9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3152AA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6E11633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C18111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39.0</w:t>
            </w:r>
          </w:p>
        </w:tc>
        <w:tc>
          <w:tcPr>
            <w:tcW w:w="552" w:type="dxa"/>
            <w:shd w:val="clear" w:color="auto" w:fill="auto"/>
            <w:noWrap/>
            <w:vAlign w:val="bottom"/>
            <w:hideMark/>
          </w:tcPr>
          <w:p w14:paraId="32539C2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2.7</w:t>
            </w:r>
          </w:p>
        </w:tc>
        <w:tc>
          <w:tcPr>
            <w:tcW w:w="551" w:type="dxa"/>
            <w:shd w:val="clear" w:color="auto" w:fill="auto"/>
            <w:noWrap/>
            <w:vAlign w:val="bottom"/>
            <w:hideMark/>
          </w:tcPr>
          <w:p w14:paraId="4C9A825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E8765A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B54736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41DC93F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4625E24B"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42.0</w:t>
            </w:r>
          </w:p>
        </w:tc>
      </w:tr>
      <w:tr w:rsidR="006834FA" w:rsidRPr="00F97BFF" w14:paraId="3D252C0A" w14:textId="77777777" w:rsidTr="001003EB">
        <w:trPr>
          <w:trHeight w:val="204"/>
        </w:trPr>
        <w:tc>
          <w:tcPr>
            <w:tcW w:w="568" w:type="dxa"/>
            <w:shd w:val="clear" w:color="auto" w:fill="auto"/>
            <w:noWrap/>
            <w:vAlign w:val="bottom"/>
            <w:hideMark/>
          </w:tcPr>
          <w:p w14:paraId="30A1E15B"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4D4F1D46"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CAS</w:t>
            </w:r>
          </w:p>
        </w:tc>
        <w:tc>
          <w:tcPr>
            <w:tcW w:w="551" w:type="dxa"/>
            <w:shd w:val="clear" w:color="auto" w:fill="auto"/>
            <w:noWrap/>
            <w:vAlign w:val="bottom"/>
            <w:hideMark/>
          </w:tcPr>
          <w:p w14:paraId="6F22EFA0"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A4FCE3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2A75FB6"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A0F9E6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2" w:type="dxa"/>
            <w:shd w:val="clear" w:color="auto" w:fill="auto"/>
            <w:noWrap/>
            <w:vAlign w:val="bottom"/>
            <w:hideMark/>
          </w:tcPr>
          <w:p w14:paraId="443C0A9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E6E24F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0.2</w:t>
            </w:r>
          </w:p>
        </w:tc>
        <w:tc>
          <w:tcPr>
            <w:tcW w:w="551" w:type="dxa"/>
            <w:shd w:val="clear" w:color="auto" w:fill="auto"/>
            <w:noWrap/>
            <w:vAlign w:val="bottom"/>
            <w:hideMark/>
          </w:tcPr>
          <w:p w14:paraId="728D95E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CBC041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39.0</w:t>
            </w:r>
          </w:p>
        </w:tc>
        <w:tc>
          <w:tcPr>
            <w:tcW w:w="552" w:type="dxa"/>
            <w:shd w:val="clear" w:color="auto" w:fill="auto"/>
            <w:noWrap/>
            <w:vAlign w:val="bottom"/>
            <w:hideMark/>
          </w:tcPr>
          <w:p w14:paraId="13F61CC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2.7</w:t>
            </w:r>
          </w:p>
        </w:tc>
        <w:tc>
          <w:tcPr>
            <w:tcW w:w="551" w:type="dxa"/>
            <w:shd w:val="clear" w:color="auto" w:fill="auto"/>
            <w:noWrap/>
            <w:vAlign w:val="bottom"/>
            <w:hideMark/>
          </w:tcPr>
          <w:p w14:paraId="63BBEFF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BF29EF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5CA473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1C1A299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32BAA3A8"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42.0</w:t>
            </w:r>
          </w:p>
        </w:tc>
      </w:tr>
      <w:tr w:rsidR="006834FA" w:rsidRPr="00F97BFF" w14:paraId="70455FAF" w14:textId="77777777" w:rsidTr="001003EB">
        <w:trPr>
          <w:trHeight w:val="204"/>
        </w:trPr>
        <w:tc>
          <w:tcPr>
            <w:tcW w:w="568" w:type="dxa"/>
            <w:shd w:val="clear" w:color="auto" w:fill="auto"/>
            <w:noWrap/>
            <w:vAlign w:val="bottom"/>
            <w:hideMark/>
          </w:tcPr>
          <w:p w14:paraId="56174476" w14:textId="3F9BAC71" w:rsidR="006834FA" w:rsidRPr="002A73C5" w:rsidRDefault="005322D8" w:rsidP="001003EB">
            <w:pPr>
              <w:spacing w:after="0" w:line="240" w:lineRule="auto"/>
              <w:ind w:right="-108"/>
              <w:rPr>
                <w:rFonts w:ascii="Times New Roman" w:hAnsi="Times New Roman"/>
                <w:b/>
                <w:sz w:val="16"/>
              </w:rPr>
            </w:pPr>
            <w:r w:rsidRPr="002A73C5">
              <w:rPr>
                <w:rFonts w:ascii="Times New Roman" w:hAnsi="Times New Roman"/>
                <w:b/>
                <w:sz w:val="16"/>
              </w:rPr>
              <w:t>N</w:t>
            </w:r>
            <w:r w:rsidRPr="002A73C5">
              <w:rPr>
                <w:rFonts w:ascii="Times New Roman" w:hAnsi="Times New Roman"/>
                <w:b/>
                <w:sz w:val="16"/>
                <w:vertAlign w:val="subscript"/>
              </w:rPr>
              <w:t>2</w:t>
            </w:r>
            <w:r w:rsidRPr="002A73C5">
              <w:rPr>
                <w:rFonts w:ascii="Times New Roman" w:hAnsi="Times New Roman"/>
                <w:b/>
                <w:sz w:val="16"/>
              </w:rPr>
              <w:t>O</w:t>
            </w:r>
          </w:p>
        </w:tc>
        <w:tc>
          <w:tcPr>
            <w:tcW w:w="573" w:type="dxa"/>
            <w:shd w:val="clear" w:color="auto" w:fill="auto"/>
            <w:noWrap/>
            <w:vAlign w:val="bottom"/>
            <w:hideMark/>
          </w:tcPr>
          <w:p w14:paraId="55AA51FC"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BAU</w:t>
            </w:r>
          </w:p>
        </w:tc>
        <w:tc>
          <w:tcPr>
            <w:tcW w:w="551" w:type="dxa"/>
            <w:shd w:val="clear" w:color="auto" w:fill="auto"/>
            <w:noWrap/>
            <w:vAlign w:val="bottom"/>
            <w:hideMark/>
          </w:tcPr>
          <w:p w14:paraId="021818B4"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0.3</w:t>
            </w:r>
          </w:p>
        </w:tc>
        <w:tc>
          <w:tcPr>
            <w:tcW w:w="551" w:type="dxa"/>
            <w:shd w:val="clear" w:color="auto" w:fill="auto"/>
            <w:noWrap/>
            <w:vAlign w:val="bottom"/>
            <w:hideMark/>
          </w:tcPr>
          <w:p w14:paraId="717850E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FC5CCB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24BB55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0.4</w:t>
            </w:r>
          </w:p>
        </w:tc>
        <w:tc>
          <w:tcPr>
            <w:tcW w:w="552" w:type="dxa"/>
            <w:shd w:val="clear" w:color="auto" w:fill="auto"/>
            <w:noWrap/>
            <w:vAlign w:val="bottom"/>
            <w:hideMark/>
          </w:tcPr>
          <w:p w14:paraId="3D78A62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88B981C"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2.0</w:t>
            </w:r>
          </w:p>
        </w:tc>
        <w:tc>
          <w:tcPr>
            <w:tcW w:w="551" w:type="dxa"/>
            <w:shd w:val="clear" w:color="auto" w:fill="auto"/>
            <w:noWrap/>
            <w:vAlign w:val="bottom"/>
            <w:hideMark/>
          </w:tcPr>
          <w:p w14:paraId="7E5757D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7D2B67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93.5</w:t>
            </w:r>
          </w:p>
        </w:tc>
        <w:tc>
          <w:tcPr>
            <w:tcW w:w="552" w:type="dxa"/>
            <w:shd w:val="clear" w:color="auto" w:fill="auto"/>
            <w:noWrap/>
            <w:vAlign w:val="bottom"/>
            <w:hideMark/>
          </w:tcPr>
          <w:p w14:paraId="69AFC75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77ECD5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69844B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4A901C1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15922D1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23D9A96C"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96.3</w:t>
            </w:r>
          </w:p>
        </w:tc>
      </w:tr>
      <w:tr w:rsidR="006834FA" w:rsidRPr="00F97BFF" w14:paraId="7BCE74B0" w14:textId="77777777" w:rsidTr="001003EB">
        <w:trPr>
          <w:trHeight w:val="204"/>
        </w:trPr>
        <w:tc>
          <w:tcPr>
            <w:tcW w:w="568" w:type="dxa"/>
            <w:shd w:val="clear" w:color="auto" w:fill="auto"/>
            <w:noWrap/>
            <w:vAlign w:val="bottom"/>
            <w:hideMark/>
          </w:tcPr>
          <w:p w14:paraId="3074B968"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08F995F0"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ACT</w:t>
            </w:r>
          </w:p>
        </w:tc>
        <w:tc>
          <w:tcPr>
            <w:tcW w:w="551" w:type="dxa"/>
            <w:shd w:val="clear" w:color="auto" w:fill="auto"/>
            <w:noWrap/>
            <w:vAlign w:val="bottom"/>
            <w:hideMark/>
          </w:tcPr>
          <w:p w14:paraId="69F9D2C7"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3.3</w:t>
            </w:r>
          </w:p>
        </w:tc>
        <w:tc>
          <w:tcPr>
            <w:tcW w:w="551" w:type="dxa"/>
            <w:shd w:val="clear" w:color="auto" w:fill="auto"/>
            <w:noWrap/>
            <w:vAlign w:val="bottom"/>
            <w:hideMark/>
          </w:tcPr>
          <w:p w14:paraId="30181E2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84942F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D9AC93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0.4</w:t>
            </w:r>
          </w:p>
        </w:tc>
        <w:tc>
          <w:tcPr>
            <w:tcW w:w="552" w:type="dxa"/>
            <w:shd w:val="clear" w:color="auto" w:fill="auto"/>
            <w:noWrap/>
            <w:vAlign w:val="bottom"/>
            <w:hideMark/>
          </w:tcPr>
          <w:p w14:paraId="5624E68A"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0AD2D7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2.0</w:t>
            </w:r>
          </w:p>
        </w:tc>
        <w:tc>
          <w:tcPr>
            <w:tcW w:w="551" w:type="dxa"/>
            <w:shd w:val="clear" w:color="auto" w:fill="auto"/>
            <w:noWrap/>
            <w:vAlign w:val="bottom"/>
            <w:hideMark/>
          </w:tcPr>
          <w:p w14:paraId="6EB75A8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0B18840D"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93.5</w:t>
            </w:r>
          </w:p>
        </w:tc>
        <w:tc>
          <w:tcPr>
            <w:tcW w:w="552" w:type="dxa"/>
            <w:shd w:val="clear" w:color="auto" w:fill="auto"/>
            <w:noWrap/>
            <w:vAlign w:val="bottom"/>
            <w:hideMark/>
          </w:tcPr>
          <w:p w14:paraId="468E913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66577B7"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DAEA30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0FB17E4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2745C30F"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3A58CD72"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99.3</w:t>
            </w:r>
          </w:p>
        </w:tc>
      </w:tr>
      <w:tr w:rsidR="006834FA" w:rsidRPr="00F97BFF" w14:paraId="4413276B" w14:textId="77777777" w:rsidTr="001003EB">
        <w:trPr>
          <w:trHeight w:val="204"/>
        </w:trPr>
        <w:tc>
          <w:tcPr>
            <w:tcW w:w="568" w:type="dxa"/>
            <w:shd w:val="clear" w:color="auto" w:fill="auto"/>
            <w:noWrap/>
            <w:vAlign w:val="bottom"/>
            <w:hideMark/>
          </w:tcPr>
          <w:p w14:paraId="3A5F81D1" w14:textId="77777777" w:rsidR="006834FA" w:rsidRPr="002A73C5" w:rsidRDefault="006834FA" w:rsidP="001003EB">
            <w:pPr>
              <w:spacing w:after="0" w:line="240" w:lineRule="auto"/>
              <w:ind w:right="-108"/>
              <w:rPr>
                <w:rFonts w:ascii="Times New Roman" w:hAnsi="Times New Roman"/>
                <w:b/>
                <w:sz w:val="16"/>
              </w:rPr>
            </w:pPr>
          </w:p>
        </w:tc>
        <w:tc>
          <w:tcPr>
            <w:tcW w:w="573" w:type="dxa"/>
            <w:shd w:val="clear" w:color="auto" w:fill="auto"/>
            <w:noWrap/>
            <w:vAlign w:val="bottom"/>
            <w:hideMark/>
          </w:tcPr>
          <w:p w14:paraId="7D040EC1"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LCI</w:t>
            </w:r>
          </w:p>
        </w:tc>
        <w:tc>
          <w:tcPr>
            <w:tcW w:w="551" w:type="dxa"/>
            <w:shd w:val="clear" w:color="auto" w:fill="auto"/>
            <w:noWrap/>
            <w:vAlign w:val="bottom"/>
            <w:hideMark/>
          </w:tcPr>
          <w:p w14:paraId="1FB70E88"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CB53A2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F85576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976740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0.4</w:t>
            </w:r>
          </w:p>
        </w:tc>
        <w:tc>
          <w:tcPr>
            <w:tcW w:w="552" w:type="dxa"/>
            <w:shd w:val="clear" w:color="auto" w:fill="auto"/>
            <w:noWrap/>
            <w:vAlign w:val="bottom"/>
            <w:hideMark/>
          </w:tcPr>
          <w:p w14:paraId="704D8B6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69E8DE7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2.0</w:t>
            </w:r>
          </w:p>
        </w:tc>
        <w:tc>
          <w:tcPr>
            <w:tcW w:w="551" w:type="dxa"/>
            <w:shd w:val="clear" w:color="auto" w:fill="auto"/>
            <w:noWrap/>
            <w:vAlign w:val="bottom"/>
            <w:hideMark/>
          </w:tcPr>
          <w:p w14:paraId="25ABF139"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051D7B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93.5</w:t>
            </w:r>
          </w:p>
        </w:tc>
        <w:tc>
          <w:tcPr>
            <w:tcW w:w="552" w:type="dxa"/>
            <w:shd w:val="clear" w:color="auto" w:fill="auto"/>
            <w:noWrap/>
            <w:vAlign w:val="bottom"/>
            <w:hideMark/>
          </w:tcPr>
          <w:p w14:paraId="6ECCA62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C0EDB8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21083D62"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542797B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0DF338E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46DA69A1"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96.0</w:t>
            </w:r>
          </w:p>
        </w:tc>
      </w:tr>
      <w:tr w:rsidR="006834FA" w:rsidRPr="00F97BFF" w14:paraId="727AB6DB" w14:textId="77777777" w:rsidTr="001003EB">
        <w:trPr>
          <w:trHeight w:val="204"/>
        </w:trPr>
        <w:tc>
          <w:tcPr>
            <w:tcW w:w="568" w:type="dxa"/>
            <w:shd w:val="clear" w:color="auto" w:fill="auto"/>
            <w:noWrap/>
            <w:vAlign w:val="bottom"/>
            <w:hideMark/>
          </w:tcPr>
          <w:p w14:paraId="2DDC1D39" w14:textId="77777777" w:rsidR="006834FA" w:rsidRPr="002A73C5" w:rsidRDefault="006834FA" w:rsidP="001003EB">
            <w:pPr>
              <w:spacing w:after="0" w:line="240" w:lineRule="auto"/>
              <w:ind w:right="-108"/>
              <w:jc w:val="right"/>
              <w:rPr>
                <w:rFonts w:ascii="Times New Roman" w:hAnsi="Times New Roman"/>
                <w:b/>
                <w:sz w:val="16"/>
              </w:rPr>
            </w:pPr>
          </w:p>
        </w:tc>
        <w:tc>
          <w:tcPr>
            <w:tcW w:w="573" w:type="dxa"/>
            <w:shd w:val="clear" w:color="auto" w:fill="auto"/>
            <w:noWrap/>
            <w:vAlign w:val="bottom"/>
            <w:hideMark/>
          </w:tcPr>
          <w:p w14:paraId="7059D604" w14:textId="77777777" w:rsidR="006834FA" w:rsidRPr="002A73C5" w:rsidRDefault="006834FA" w:rsidP="000C659B">
            <w:pPr>
              <w:spacing w:after="0" w:line="240" w:lineRule="auto"/>
              <w:rPr>
                <w:rFonts w:ascii="Times New Roman" w:hAnsi="Times New Roman"/>
                <w:b/>
                <w:sz w:val="16"/>
              </w:rPr>
            </w:pPr>
            <w:r w:rsidRPr="002A73C5">
              <w:rPr>
                <w:rFonts w:ascii="Times New Roman" w:hAnsi="Times New Roman"/>
                <w:b/>
                <w:sz w:val="16"/>
              </w:rPr>
              <w:t>CAS</w:t>
            </w:r>
          </w:p>
        </w:tc>
        <w:tc>
          <w:tcPr>
            <w:tcW w:w="551" w:type="dxa"/>
            <w:shd w:val="clear" w:color="auto" w:fill="auto"/>
            <w:noWrap/>
            <w:vAlign w:val="bottom"/>
            <w:hideMark/>
          </w:tcPr>
          <w:p w14:paraId="41744E24" w14:textId="77777777" w:rsidR="006834FA" w:rsidRPr="002A73C5" w:rsidRDefault="006834FA" w:rsidP="00FF64CD">
            <w:pPr>
              <w:spacing w:after="0" w:line="240" w:lineRule="auto"/>
              <w:jc w:val="right"/>
              <w:rPr>
                <w:rFonts w:ascii="Times New Roman" w:hAnsi="Times New Roman"/>
                <w:sz w:val="16"/>
              </w:rPr>
            </w:pPr>
            <w:r w:rsidRPr="002A73C5">
              <w:rPr>
                <w:rFonts w:ascii="Times New Roman" w:hAnsi="Times New Roman"/>
                <w:sz w:val="16"/>
              </w:rPr>
              <w:t>3.3</w:t>
            </w:r>
          </w:p>
        </w:tc>
        <w:tc>
          <w:tcPr>
            <w:tcW w:w="551" w:type="dxa"/>
            <w:shd w:val="clear" w:color="auto" w:fill="auto"/>
            <w:noWrap/>
            <w:vAlign w:val="bottom"/>
            <w:hideMark/>
          </w:tcPr>
          <w:p w14:paraId="25E68A21"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84DDFA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7E8A682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0.3</w:t>
            </w:r>
          </w:p>
        </w:tc>
        <w:tc>
          <w:tcPr>
            <w:tcW w:w="552" w:type="dxa"/>
            <w:shd w:val="clear" w:color="auto" w:fill="auto"/>
            <w:noWrap/>
            <w:vAlign w:val="bottom"/>
            <w:hideMark/>
          </w:tcPr>
          <w:p w14:paraId="1EC99EFE"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37E54A6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2.0</w:t>
            </w:r>
          </w:p>
        </w:tc>
        <w:tc>
          <w:tcPr>
            <w:tcW w:w="551" w:type="dxa"/>
            <w:shd w:val="clear" w:color="auto" w:fill="auto"/>
            <w:noWrap/>
            <w:vAlign w:val="bottom"/>
            <w:hideMark/>
          </w:tcPr>
          <w:p w14:paraId="7264C408"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1EC16CF5"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93.5</w:t>
            </w:r>
          </w:p>
        </w:tc>
        <w:tc>
          <w:tcPr>
            <w:tcW w:w="552" w:type="dxa"/>
            <w:shd w:val="clear" w:color="auto" w:fill="auto"/>
            <w:noWrap/>
            <w:vAlign w:val="bottom"/>
            <w:hideMark/>
          </w:tcPr>
          <w:p w14:paraId="7D7DA4D4"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58295133"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1" w:type="dxa"/>
            <w:shd w:val="clear" w:color="auto" w:fill="auto"/>
            <w:noWrap/>
            <w:vAlign w:val="bottom"/>
            <w:hideMark/>
          </w:tcPr>
          <w:p w14:paraId="441CF8D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0.1</w:t>
            </w:r>
          </w:p>
        </w:tc>
        <w:tc>
          <w:tcPr>
            <w:tcW w:w="551" w:type="dxa"/>
            <w:shd w:val="clear" w:color="auto" w:fill="auto"/>
            <w:noWrap/>
            <w:vAlign w:val="bottom"/>
            <w:hideMark/>
          </w:tcPr>
          <w:p w14:paraId="2683AF8B"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552" w:type="dxa"/>
            <w:shd w:val="clear" w:color="auto" w:fill="auto"/>
            <w:noWrap/>
            <w:vAlign w:val="bottom"/>
            <w:hideMark/>
          </w:tcPr>
          <w:p w14:paraId="24F23400" w14:textId="77777777" w:rsidR="006834FA" w:rsidRPr="002A73C5" w:rsidRDefault="006834FA">
            <w:pPr>
              <w:spacing w:after="0" w:line="240" w:lineRule="auto"/>
              <w:jc w:val="right"/>
              <w:rPr>
                <w:rFonts w:ascii="Times New Roman" w:hAnsi="Times New Roman"/>
                <w:sz w:val="16"/>
              </w:rPr>
            </w:pPr>
            <w:r w:rsidRPr="002A73C5">
              <w:rPr>
                <w:rFonts w:ascii="Times New Roman" w:hAnsi="Times New Roman"/>
                <w:sz w:val="16"/>
              </w:rPr>
              <w:t>0.0</w:t>
            </w:r>
          </w:p>
        </w:tc>
        <w:tc>
          <w:tcPr>
            <w:tcW w:w="759" w:type="dxa"/>
            <w:shd w:val="clear" w:color="auto" w:fill="auto"/>
            <w:noWrap/>
            <w:vAlign w:val="bottom"/>
            <w:hideMark/>
          </w:tcPr>
          <w:p w14:paraId="7AC1A8EE" w14:textId="77777777" w:rsidR="006834FA" w:rsidRPr="002A73C5" w:rsidRDefault="006834FA">
            <w:pPr>
              <w:spacing w:after="0" w:line="240" w:lineRule="auto"/>
              <w:jc w:val="right"/>
              <w:rPr>
                <w:rFonts w:ascii="Times New Roman" w:hAnsi="Times New Roman"/>
                <w:b/>
                <w:sz w:val="16"/>
              </w:rPr>
            </w:pPr>
            <w:r w:rsidRPr="002A73C5">
              <w:rPr>
                <w:rFonts w:ascii="Times New Roman" w:hAnsi="Times New Roman"/>
                <w:b/>
                <w:sz w:val="16"/>
              </w:rPr>
              <w:t>99.3</w:t>
            </w:r>
          </w:p>
        </w:tc>
      </w:tr>
    </w:tbl>
    <w:p w14:paraId="57BEAA54" w14:textId="3992873E" w:rsidR="00D710FC" w:rsidRPr="002A73C5" w:rsidRDefault="000C659B" w:rsidP="00AC18ED">
      <w:pPr>
        <w:spacing w:after="120" w:line="276" w:lineRule="auto"/>
        <w:jc w:val="both"/>
        <w:rPr>
          <w:rFonts w:ascii="Times New Roman" w:hAnsi="Times New Roman"/>
          <w:b/>
          <w:sz w:val="28"/>
          <w:vertAlign w:val="superscript"/>
        </w:rPr>
        <w:sectPr w:rsidR="00D710FC" w:rsidRPr="002A73C5" w:rsidSect="00E17CD8">
          <w:pgSz w:w="11906" w:h="16838" w:code="9"/>
          <w:pgMar w:top="1440" w:right="1440" w:bottom="1440" w:left="1440" w:header="706" w:footer="706" w:gutter="0"/>
          <w:cols w:space="708"/>
          <w:docGrid w:linePitch="360"/>
        </w:sectPr>
      </w:pPr>
      <w:r w:rsidRPr="00F97BFF">
        <w:rPr>
          <w:rFonts w:ascii="Times New Roman" w:hAnsi="Times New Roman" w:cs="Times New Roman"/>
          <w:szCs w:val="22"/>
          <w:vertAlign w:val="superscript"/>
        </w:rPr>
        <w:t>* in Mt</w:t>
      </w:r>
    </w:p>
    <w:p w14:paraId="1B19A9C7" w14:textId="10C77223" w:rsidR="00CE1AC6" w:rsidRPr="00AC18ED" w:rsidRDefault="00BA2CA9" w:rsidP="00AA2F10">
      <w:pPr>
        <w:pStyle w:val="Heading1"/>
        <w:numPr>
          <w:ilvl w:val="0"/>
          <w:numId w:val="11"/>
        </w:numPr>
        <w:spacing w:before="0" w:after="120" w:line="276" w:lineRule="auto"/>
        <w:jc w:val="both"/>
        <w:rPr>
          <w:rFonts w:ascii="Times New Roman" w:hAnsi="Times New Roman" w:cs="Times New Roman"/>
          <w:b/>
          <w:sz w:val="24"/>
          <w:szCs w:val="22"/>
        </w:rPr>
      </w:pPr>
      <w:bookmarkStart w:id="38" w:name="_Toc22630755"/>
      <w:r w:rsidRPr="00AC18ED">
        <w:rPr>
          <w:rFonts w:ascii="Times New Roman" w:hAnsi="Times New Roman" w:cs="Times New Roman"/>
          <w:b/>
          <w:sz w:val="24"/>
          <w:szCs w:val="22"/>
        </w:rPr>
        <w:lastRenderedPageBreak/>
        <w:t>Cost</w:t>
      </w:r>
      <w:bookmarkEnd w:id="38"/>
    </w:p>
    <w:p w14:paraId="1DE2F816" w14:textId="1A05E989" w:rsidR="003D16CE" w:rsidRPr="002A73C5" w:rsidRDefault="00D37B59" w:rsidP="002A73C5">
      <w:pPr>
        <w:spacing w:after="120" w:line="276" w:lineRule="auto"/>
        <w:jc w:val="both"/>
        <w:rPr>
          <w:rFonts w:ascii="Times New Roman" w:hAnsi="Times New Roman" w:cs="Times New Roman"/>
          <w:lang w:val="en-GB"/>
        </w:rPr>
      </w:pPr>
      <w:r w:rsidRPr="00AC18ED">
        <w:rPr>
          <w:rFonts w:ascii="Times New Roman" w:hAnsi="Times New Roman" w:cs="Times New Roman"/>
          <w:lang w:val="en-GB"/>
        </w:rPr>
        <w:t xml:space="preserve">The primary goal of the cost evaluation in the GAINS model </w:t>
      </w:r>
      <w:r w:rsidR="008B541D">
        <w:rPr>
          <w:rFonts w:ascii="Times New Roman" w:hAnsi="Times New Roman" w:cs="Times New Roman"/>
          <w:lang w:val="en-GB"/>
        </w:rPr>
        <w:t>was</w:t>
      </w:r>
      <w:r w:rsidR="008B541D" w:rsidRPr="00AC18ED">
        <w:rPr>
          <w:rFonts w:ascii="Times New Roman" w:hAnsi="Times New Roman" w:cs="Times New Roman"/>
          <w:lang w:val="en-GB"/>
        </w:rPr>
        <w:t xml:space="preserve"> </w:t>
      </w:r>
      <w:r w:rsidRPr="00AC18ED">
        <w:rPr>
          <w:rFonts w:ascii="Times New Roman" w:hAnsi="Times New Roman" w:cs="Times New Roman"/>
          <w:lang w:val="en-GB"/>
        </w:rPr>
        <w:t xml:space="preserve">to quantify the values to society of diverting resources to reduce emissions. </w:t>
      </w:r>
      <w:r w:rsidRPr="00140959">
        <w:rPr>
          <w:rFonts w:ascii="Times New Roman" w:hAnsi="Times New Roman" w:cs="Times New Roman"/>
          <w:lang w:val="en-GB"/>
        </w:rPr>
        <w:t>There are</w:t>
      </w:r>
      <w:r w:rsidR="008A0EAA" w:rsidRPr="00140959">
        <w:rPr>
          <w:rFonts w:ascii="Times New Roman" w:hAnsi="Times New Roman" w:cs="Times New Roman"/>
          <w:lang w:val="en-GB"/>
        </w:rPr>
        <w:t xml:space="preserve"> </w:t>
      </w:r>
      <w:r w:rsidRPr="00140959">
        <w:rPr>
          <w:rFonts w:ascii="Times New Roman" w:hAnsi="Times New Roman" w:cs="Times New Roman"/>
          <w:lang w:val="en-GB"/>
        </w:rPr>
        <w:t xml:space="preserve">three major points </w:t>
      </w:r>
      <w:r w:rsidR="00FE4F3C" w:rsidRPr="00140959">
        <w:rPr>
          <w:rFonts w:ascii="Times New Roman" w:hAnsi="Times New Roman" w:cs="Times New Roman"/>
          <w:lang w:val="en-GB"/>
        </w:rPr>
        <w:t>with respect to</w:t>
      </w:r>
      <w:r w:rsidRPr="00140959">
        <w:rPr>
          <w:rFonts w:ascii="Times New Roman" w:hAnsi="Times New Roman" w:cs="Times New Roman"/>
          <w:lang w:val="en-GB"/>
        </w:rPr>
        <w:t xml:space="preserve"> </w:t>
      </w:r>
      <w:r w:rsidR="00FE4F3C" w:rsidRPr="00140959">
        <w:rPr>
          <w:rFonts w:ascii="Times New Roman" w:hAnsi="Times New Roman" w:cs="Times New Roman"/>
          <w:lang w:val="en-GB"/>
        </w:rPr>
        <w:t>abatement-</w:t>
      </w:r>
      <w:r w:rsidRPr="00140959">
        <w:rPr>
          <w:rFonts w:ascii="Times New Roman" w:hAnsi="Times New Roman" w:cs="Times New Roman"/>
          <w:lang w:val="en-GB"/>
        </w:rPr>
        <w:t xml:space="preserve">cost calculation in </w:t>
      </w:r>
      <w:r w:rsidR="00AA2F10" w:rsidRPr="00140959">
        <w:rPr>
          <w:rFonts w:ascii="Times New Roman" w:hAnsi="Times New Roman" w:cs="Times New Roman"/>
          <w:lang w:val="en-GB"/>
        </w:rPr>
        <w:t xml:space="preserve">the </w:t>
      </w:r>
      <w:r w:rsidRPr="00140959">
        <w:rPr>
          <w:rFonts w:ascii="Times New Roman" w:hAnsi="Times New Roman" w:cs="Times New Roman"/>
          <w:lang w:val="en-GB"/>
        </w:rPr>
        <w:t>GAINS</w:t>
      </w:r>
      <w:r w:rsidR="00AA2F10" w:rsidRPr="00140959">
        <w:rPr>
          <w:rFonts w:ascii="Times New Roman" w:hAnsi="Times New Roman" w:cs="Times New Roman"/>
          <w:lang w:val="en-GB"/>
        </w:rPr>
        <w:t xml:space="preserve"> model (Amann et al., 2011</w:t>
      </w:r>
      <w:r w:rsidR="00F97BFF" w:rsidRPr="00140959">
        <w:rPr>
          <w:rFonts w:ascii="Times New Roman" w:hAnsi="Times New Roman" w:cs="Times New Roman"/>
          <w:lang w:val="en-GB"/>
        </w:rPr>
        <w:t xml:space="preserve">; </w:t>
      </w:r>
      <w:r w:rsidR="00F97BFF" w:rsidRPr="00140959">
        <w:rPr>
          <w:rFonts w:ascii="Times New Roman" w:hAnsi="Times New Roman" w:cs="Times New Roman"/>
          <w:lang w:val="en-US"/>
        </w:rPr>
        <w:t>Höglund-Isaksson et al., 2012</w:t>
      </w:r>
      <w:r w:rsidR="00AA2F10" w:rsidRPr="00140959">
        <w:rPr>
          <w:rFonts w:ascii="Times New Roman" w:hAnsi="Times New Roman" w:cs="Times New Roman"/>
          <w:lang w:val="en-GB"/>
        </w:rPr>
        <w:t>)</w:t>
      </w:r>
      <w:r w:rsidRPr="00140959">
        <w:rPr>
          <w:rFonts w:ascii="Times New Roman" w:hAnsi="Times New Roman" w:cs="Times New Roman"/>
          <w:lang w:val="en-GB"/>
        </w:rPr>
        <w:t xml:space="preserve">. </w:t>
      </w:r>
      <w:r w:rsidR="008B541D" w:rsidRPr="00140959">
        <w:rPr>
          <w:rFonts w:ascii="Times New Roman" w:hAnsi="Times New Roman" w:cs="Times New Roman"/>
          <w:lang w:val="en-GB"/>
        </w:rPr>
        <w:t>First</w:t>
      </w:r>
      <w:r w:rsidRPr="00140959">
        <w:rPr>
          <w:rFonts w:ascii="Times New Roman" w:hAnsi="Times New Roman" w:cs="Times New Roman"/>
          <w:lang w:val="en-GB"/>
        </w:rPr>
        <w:t>, the process of</w:t>
      </w:r>
      <w:r w:rsidR="008A0EAA" w:rsidRPr="00140959">
        <w:rPr>
          <w:rFonts w:ascii="Times New Roman" w:hAnsi="Times New Roman" w:cs="Times New Roman"/>
          <w:lang w:val="en-GB"/>
        </w:rPr>
        <w:t xml:space="preserve"> </w:t>
      </w:r>
      <w:r w:rsidRPr="00140959">
        <w:rPr>
          <w:rFonts w:ascii="Times New Roman" w:hAnsi="Times New Roman" w:cs="Times New Roman"/>
          <w:lang w:val="en-GB"/>
        </w:rPr>
        <w:t>approximating these values is achieved by estimating abatement costs at production level rather</w:t>
      </w:r>
      <w:r w:rsidR="008A0EAA" w:rsidRPr="00140959">
        <w:rPr>
          <w:rFonts w:ascii="Times New Roman" w:hAnsi="Times New Roman" w:cs="Times New Roman"/>
          <w:lang w:val="en-GB"/>
        </w:rPr>
        <w:t xml:space="preserve"> </w:t>
      </w:r>
      <w:r w:rsidRPr="00140959">
        <w:rPr>
          <w:rFonts w:ascii="Times New Roman" w:hAnsi="Times New Roman" w:cs="Times New Roman"/>
          <w:lang w:val="en-GB"/>
        </w:rPr>
        <w:t>than at the consumer price level. Thus, as highlighted by Klimont et al (2002), the cost</w:t>
      </w:r>
      <w:r w:rsidR="008A0EAA" w:rsidRPr="00140959">
        <w:rPr>
          <w:rFonts w:ascii="Times New Roman" w:hAnsi="Times New Roman" w:cs="Times New Roman"/>
          <w:lang w:val="en-GB"/>
        </w:rPr>
        <w:t xml:space="preserve"> </w:t>
      </w:r>
      <w:r w:rsidRPr="00140959">
        <w:rPr>
          <w:rFonts w:ascii="Times New Roman" w:hAnsi="Times New Roman" w:cs="Times New Roman"/>
          <w:lang w:val="en-GB"/>
        </w:rPr>
        <w:t xml:space="preserve">estimation processes </w:t>
      </w:r>
      <w:r w:rsidR="00AC18ED" w:rsidRPr="00140959">
        <w:rPr>
          <w:rFonts w:ascii="Times New Roman" w:hAnsi="Times New Roman" w:cs="Times New Roman"/>
          <w:lang w:val="en-GB"/>
        </w:rPr>
        <w:t>ignore</w:t>
      </w:r>
      <w:r w:rsidR="00774A64" w:rsidRPr="00140959">
        <w:rPr>
          <w:rFonts w:ascii="Times New Roman" w:hAnsi="Times New Roman" w:cs="Times New Roman"/>
          <w:lang w:val="en-GB"/>
        </w:rPr>
        <w:t xml:space="preserve"> </w:t>
      </w:r>
      <w:r w:rsidRPr="00140959">
        <w:rPr>
          <w:rFonts w:ascii="Times New Roman" w:hAnsi="Times New Roman" w:cs="Times New Roman"/>
          <w:lang w:val="en-GB"/>
        </w:rPr>
        <w:t xml:space="preserve">mark-ups charged </w:t>
      </w:r>
      <w:r w:rsidR="00FE4F3C" w:rsidRPr="00140959">
        <w:rPr>
          <w:rFonts w:ascii="Times New Roman" w:hAnsi="Times New Roman" w:cs="Times New Roman"/>
          <w:lang w:val="en-GB"/>
        </w:rPr>
        <w:t xml:space="preserve">on </w:t>
      </w:r>
      <w:r w:rsidRPr="00140959">
        <w:rPr>
          <w:rFonts w:ascii="Times New Roman" w:hAnsi="Times New Roman" w:cs="Times New Roman"/>
          <w:lang w:val="en-GB"/>
        </w:rPr>
        <w:t>production costs by manufacturers or</w:t>
      </w:r>
      <w:r w:rsidR="008A0EAA" w:rsidRPr="00140959">
        <w:rPr>
          <w:rFonts w:ascii="Times New Roman" w:hAnsi="Times New Roman" w:cs="Times New Roman"/>
          <w:lang w:val="en-GB"/>
        </w:rPr>
        <w:t xml:space="preserve"> </w:t>
      </w:r>
      <w:r w:rsidRPr="00140959">
        <w:rPr>
          <w:rFonts w:ascii="Times New Roman" w:hAnsi="Times New Roman" w:cs="Times New Roman"/>
          <w:lang w:val="en-GB"/>
        </w:rPr>
        <w:t xml:space="preserve">dealers, </w:t>
      </w:r>
      <w:r w:rsidR="00FE4F3C" w:rsidRPr="00140959">
        <w:rPr>
          <w:rFonts w:ascii="Times New Roman" w:hAnsi="Times New Roman" w:cs="Times New Roman"/>
          <w:lang w:val="en-GB"/>
        </w:rPr>
        <w:t>and</w:t>
      </w:r>
      <w:r w:rsidRPr="00140959">
        <w:rPr>
          <w:rFonts w:ascii="Times New Roman" w:hAnsi="Times New Roman" w:cs="Times New Roman"/>
          <w:lang w:val="en-GB"/>
        </w:rPr>
        <w:t xml:space="preserve"> any taxes added to production costs. These decisions are based on the</w:t>
      </w:r>
      <w:r w:rsidR="008A0EAA" w:rsidRPr="00140959">
        <w:rPr>
          <w:rFonts w:ascii="Times New Roman" w:hAnsi="Times New Roman" w:cs="Times New Roman"/>
          <w:lang w:val="en-GB"/>
        </w:rPr>
        <w:t xml:space="preserve"> </w:t>
      </w:r>
      <w:r w:rsidRPr="00140959">
        <w:rPr>
          <w:rFonts w:ascii="Times New Roman" w:hAnsi="Times New Roman" w:cs="Times New Roman"/>
          <w:lang w:val="en-GB"/>
        </w:rPr>
        <w:t xml:space="preserve">rationale that mark-ups </w:t>
      </w:r>
      <w:r w:rsidR="00AC18ED" w:rsidRPr="00140959">
        <w:rPr>
          <w:rFonts w:ascii="Times New Roman" w:hAnsi="Times New Roman" w:cs="Times New Roman"/>
          <w:lang w:val="en-GB"/>
        </w:rPr>
        <w:t>charged</w:t>
      </w:r>
      <w:r w:rsidR="00FE4F3C" w:rsidRPr="00140959">
        <w:rPr>
          <w:rFonts w:ascii="Times New Roman" w:hAnsi="Times New Roman" w:cs="Times New Roman"/>
          <w:lang w:val="en-GB"/>
        </w:rPr>
        <w:t xml:space="preserve"> </w:t>
      </w:r>
      <w:r w:rsidRPr="00AC18ED">
        <w:rPr>
          <w:rFonts w:ascii="Times New Roman" w:hAnsi="Times New Roman" w:cs="Times New Roman"/>
          <w:lang w:val="en-GB"/>
        </w:rPr>
        <w:t>and taxes added are not representative of actual resource use</w:t>
      </w:r>
      <w:r w:rsidR="008A0EAA" w:rsidRPr="00AC18ED">
        <w:rPr>
          <w:rFonts w:ascii="Times New Roman" w:hAnsi="Times New Roman" w:cs="Times New Roman"/>
          <w:lang w:val="en-GB"/>
        </w:rPr>
        <w:t xml:space="preserve"> </w:t>
      </w:r>
      <w:r w:rsidRPr="00AC18ED">
        <w:rPr>
          <w:rFonts w:ascii="Times New Roman" w:hAnsi="Times New Roman" w:cs="Times New Roman"/>
          <w:lang w:val="en-GB"/>
        </w:rPr>
        <w:t xml:space="preserve">costs. </w:t>
      </w:r>
      <w:r w:rsidR="008B541D" w:rsidRPr="00AC18ED">
        <w:rPr>
          <w:rFonts w:ascii="Times New Roman" w:hAnsi="Times New Roman" w:cs="Times New Roman"/>
          <w:lang w:val="en-GB"/>
        </w:rPr>
        <w:t>Second</w:t>
      </w:r>
      <w:r w:rsidR="008B541D">
        <w:rPr>
          <w:rFonts w:ascii="Times New Roman" w:hAnsi="Times New Roman" w:cs="Times New Roman"/>
          <w:lang w:val="en-GB"/>
        </w:rPr>
        <w:t xml:space="preserve"> </w:t>
      </w:r>
      <w:r w:rsidRPr="00AC18ED">
        <w:rPr>
          <w:rFonts w:ascii="Times New Roman" w:hAnsi="Times New Roman" w:cs="Times New Roman"/>
          <w:lang w:val="en-GB"/>
        </w:rPr>
        <w:t>, the process does not consider issues of competitiveness or redistribution of</w:t>
      </w:r>
      <w:r w:rsidR="008A0EAA" w:rsidRPr="00AC18ED">
        <w:rPr>
          <w:rFonts w:ascii="Times New Roman" w:hAnsi="Times New Roman" w:cs="Times New Roman"/>
          <w:lang w:val="en-GB"/>
        </w:rPr>
        <w:t xml:space="preserve"> </w:t>
      </w:r>
      <w:r w:rsidRPr="00AC18ED">
        <w:rPr>
          <w:rFonts w:ascii="Times New Roman" w:hAnsi="Times New Roman" w:cs="Times New Roman"/>
          <w:lang w:val="en-GB"/>
        </w:rPr>
        <w:t xml:space="preserve">income associated with abatement actions. </w:t>
      </w:r>
      <w:r w:rsidR="008B541D" w:rsidRPr="00AC18ED">
        <w:rPr>
          <w:rFonts w:ascii="Times New Roman" w:hAnsi="Times New Roman" w:cs="Times New Roman"/>
          <w:lang w:val="en-GB"/>
        </w:rPr>
        <w:t>Third</w:t>
      </w:r>
      <w:r w:rsidRPr="00AC18ED">
        <w:rPr>
          <w:rFonts w:ascii="Times New Roman" w:hAnsi="Times New Roman" w:cs="Times New Roman"/>
          <w:lang w:val="en-GB"/>
        </w:rPr>
        <w:t>, GAINS cost calculation works on the</w:t>
      </w:r>
      <w:r w:rsidR="008A0EAA" w:rsidRPr="00AC18ED">
        <w:rPr>
          <w:rFonts w:ascii="Times New Roman" w:hAnsi="Times New Roman" w:cs="Times New Roman"/>
          <w:lang w:val="en-GB"/>
        </w:rPr>
        <w:t xml:space="preserve"> </w:t>
      </w:r>
      <w:r w:rsidRPr="00AC18ED">
        <w:rPr>
          <w:rFonts w:ascii="Times New Roman" w:hAnsi="Times New Roman" w:cs="Times New Roman"/>
          <w:lang w:val="en-GB"/>
        </w:rPr>
        <w:t>assumption of a free international market for abatement equipment that is accessible to all</w:t>
      </w:r>
      <w:r w:rsidR="008A0EAA" w:rsidRPr="00AC18ED">
        <w:rPr>
          <w:rFonts w:ascii="Times New Roman" w:hAnsi="Times New Roman" w:cs="Times New Roman"/>
          <w:lang w:val="en-GB"/>
        </w:rPr>
        <w:t xml:space="preserve"> </w:t>
      </w:r>
      <w:r w:rsidRPr="00AC18ED">
        <w:rPr>
          <w:rFonts w:ascii="Times New Roman" w:hAnsi="Times New Roman" w:cs="Times New Roman"/>
          <w:lang w:val="en-GB"/>
        </w:rPr>
        <w:t xml:space="preserve">countries under the same conditions. </w:t>
      </w:r>
      <w:r w:rsidR="00F97BFF" w:rsidRPr="00F97BFF">
        <w:rPr>
          <w:rFonts w:ascii="Times New Roman" w:hAnsi="Times New Roman" w:cs="Times New Roman"/>
          <w:lang w:val="en-GB"/>
        </w:rPr>
        <w:t>For each of the emission control options, GAINS estimates their costs of local application considering annualized investments, fixed and variable operating costs, and how they depend on technology</w:t>
      </w:r>
      <w:r w:rsidR="00F97BFF">
        <w:rPr>
          <w:rFonts w:ascii="Times New Roman" w:hAnsi="Times New Roman" w:cs="Times New Roman"/>
          <w:lang w:val="en-GB"/>
        </w:rPr>
        <w:t>,</w:t>
      </w:r>
      <w:r w:rsidR="00F97BFF" w:rsidRPr="00F97BFF">
        <w:rPr>
          <w:rFonts w:ascii="Times New Roman" w:hAnsi="Times New Roman" w:cs="Times New Roman"/>
          <w:lang w:val="en-GB"/>
        </w:rPr>
        <w:t xml:space="preserve"> country and activity type</w:t>
      </w:r>
      <w:r w:rsidR="00F97BFF">
        <w:rPr>
          <w:rFonts w:ascii="Times New Roman" w:hAnsi="Times New Roman" w:cs="Times New Roman"/>
          <w:lang w:val="en-GB"/>
        </w:rPr>
        <w:t xml:space="preserve">. </w:t>
      </w:r>
      <w:r w:rsidRPr="00AC18ED">
        <w:rPr>
          <w:rFonts w:ascii="Times New Roman" w:hAnsi="Times New Roman" w:cs="Times New Roman"/>
          <w:lang w:val="en-GB"/>
        </w:rPr>
        <w:t xml:space="preserve">Thus the abatement controls </w:t>
      </w:r>
      <w:r w:rsidR="00FE4F3C" w:rsidRPr="00AC18ED">
        <w:rPr>
          <w:rFonts w:ascii="Times New Roman" w:hAnsi="Times New Roman" w:cs="Times New Roman"/>
          <w:lang w:val="en-GB"/>
        </w:rPr>
        <w:t xml:space="preserve">defined </w:t>
      </w:r>
      <w:r w:rsidRPr="00AC18ED">
        <w:rPr>
          <w:rFonts w:ascii="Times New Roman" w:hAnsi="Times New Roman" w:cs="Times New Roman"/>
          <w:lang w:val="en-GB"/>
        </w:rPr>
        <w:t>in the model are</w:t>
      </w:r>
      <w:r w:rsidR="008A0EAA" w:rsidRPr="00AC18ED">
        <w:rPr>
          <w:rFonts w:ascii="Times New Roman" w:hAnsi="Times New Roman" w:cs="Times New Roman"/>
          <w:lang w:val="en-GB"/>
        </w:rPr>
        <w:t xml:space="preserve"> </w:t>
      </w:r>
      <w:r w:rsidRPr="00AC18ED">
        <w:rPr>
          <w:rFonts w:ascii="Times New Roman" w:hAnsi="Times New Roman" w:cs="Times New Roman"/>
          <w:lang w:val="en-GB"/>
        </w:rPr>
        <w:t>available (if not necessarily applicable) to all countries in the system. A final point</w:t>
      </w:r>
      <w:r w:rsidR="00FE4F3C">
        <w:rPr>
          <w:rFonts w:ascii="Times New Roman" w:hAnsi="Times New Roman" w:cs="Times New Roman"/>
          <w:lang w:val="en-GB"/>
        </w:rPr>
        <w:t xml:space="preserve"> to</w:t>
      </w:r>
      <w:r w:rsidR="00774A64">
        <w:rPr>
          <w:rFonts w:ascii="Times New Roman" w:hAnsi="Times New Roman" w:cs="Times New Roman"/>
          <w:lang w:val="en-GB"/>
        </w:rPr>
        <w:t xml:space="preserve"> </w:t>
      </w:r>
      <w:r w:rsidRPr="00AC18ED">
        <w:rPr>
          <w:rFonts w:ascii="Times New Roman" w:hAnsi="Times New Roman" w:cs="Times New Roman"/>
          <w:lang w:val="en-GB"/>
        </w:rPr>
        <w:t>note is that</w:t>
      </w:r>
      <w:r w:rsidR="008A0EAA" w:rsidRPr="00AC18ED">
        <w:rPr>
          <w:rFonts w:ascii="Times New Roman" w:hAnsi="Times New Roman" w:cs="Times New Roman"/>
          <w:lang w:val="en-GB"/>
        </w:rPr>
        <w:t xml:space="preserve"> </w:t>
      </w:r>
      <w:r w:rsidRPr="00AC18ED">
        <w:rPr>
          <w:rFonts w:ascii="Times New Roman" w:hAnsi="Times New Roman" w:cs="Times New Roman"/>
          <w:lang w:val="en-GB"/>
        </w:rPr>
        <w:t>all costs are generally expressed in constant € values of a given year (e.g.</w:t>
      </w:r>
      <w:r w:rsidR="00FE4F3C">
        <w:rPr>
          <w:rFonts w:ascii="Times New Roman" w:hAnsi="Times New Roman" w:cs="Times New Roman"/>
          <w:lang w:val="en-GB"/>
        </w:rPr>
        <w:t>,</w:t>
      </w:r>
      <w:r w:rsidRPr="00AC18ED">
        <w:rPr>
          <w:rFonts w:ascii="Times New Roman" w:hAnsi="Times New Roman" w:cs="Times New Roman"/>
          <w:lang w:val="en-GB"/>
        </w:rPr>
        <w:t xml:space="preserve"> 2000, 2005).</w:t>
      </w:r>
      <w:r w:rsidR="008A0EAA" w:rsidRPr="00AC18ED">
        <w:rPr>
          <w:rFonts w:ascii="Times New Roman" w:hAnsi="Times New Roman" w:cs="Times New Roman"/>
          <w:lang w:val="en-GB"/>
        </w:rPr>
        <w:t xml:space="preserve"> </w:t>
      </w:r>
      <w:r w:rsidRPr="00AC18ED">
        <w:rPr>
          <w:rFonts w:ascii="Times New Roman" w:hAnsi="Times New Roman" w:cs="Times New Roman"/>
          <w:lang w:val="en-GB"/>
        </w:rPr>
        <w:t>On a more specific level</w:t>
      </w:r>
      <w:r w:rsidR="00FE4F3C">
        <w:rPr>
          <w:rFonts w:ascii="Times New Roman" w:hAnsi="Times New Roman" w:cs="Times New Roman"/>
          <w:lang w:val="en-GB"/>
        </w:rPr>
        <w:t>,</w:t>
      </w:r>
      <w:r w:rsidRPr="00AC18ED">
        <w:rPr>
          <w:rFonts w:ascii="Times New Roman" w:hAnsi="Times New Roman" w:cs="Times New Roman"/>
          <w:lang w:val="en-GB"/>
        </w:rPr>
        <w:t xml:space="preserve"> the handling of cost combines</w:t>
      </w:r>
      <w:r w:rsidR="008A0EAA" w:rsidRPr="00AC18ED">
        <w:rPr>
          <w:rFonts w:ascii="Times New Roman" w:hAnsi="Times New Roman" w:cs="Times New Roman"/>
          <w:lang w:val="en-GB"/>
        </w:rPr>
        <w:t xml:space="preserve"> </w:t>
      </w:r>
      <w:r w:rsidRPr="00AC18ED">
        <w:rPr>
          <w:rFonts w:ascii="Times New Roman" w:hAnsi="Times New Roman" w:cs="Times New Roman"/>
          <w:lang w:val="en-GB"/>
        </w:rPr>
        <w:t xml:space="preserve">information that is both </w:t>
      </w:r>
      <w:r w:rsidR="00FE4F3C">
        <w:rPr>
          <w:rFonts w:ascii="Times New Roman" w:hAnsi="Times New Roman" w:cs="Times New Roman"/>
          <w:lang w:val="en-GB"/>
        </w:rPr>
        <w:t>“country-</w:t>
      </w:r>
      <w:r w:rsidRPr="00AC18ED">
        <w:rPr>
          <w:rFonts w:ascii="Times New Roman" w:hAnsi="Times New Roman" w:cs="Times New Roman"/>
          <w:lang w:val="en-GB"/>
        </w:rPr>
        <w:t>specific</w:t>
      </w:r>
      <w:r w:rsidR="00FE4F3C">
        <w:rPr>
          <w:rFonts w:ascii="Times New Roman" w:hAnsi="Times New Roman" w:cs="Times New Roman"/>
          <w:lang w:val="en-GB"/>
        </w:rPr>
        <w:t>”</w:t>
      </w:r>
      <w:r w:rsidRPr="00AC18ED">
        <w:rPr>
          <w:rFonts w:ascii="Times New Roman" w:hAnsi="Times New Roman" w:cs="Times New Roman"/>
          <w:lang w:val="en-GB"/>
        </w:rPr>
        <w:t xml:space="preserve"> and </w:t>
      </w:r>
      <w:r w:rsidR="00FE4F3C">
        <w:rPr>
          <w:rFonts w:ascii="Times New Roman" w:hAnsi="Times New Roman" w:cs="Times New Roman"/>
          <w:lang w:val="en-GB"/>
        </w:rPr>
        <w:t>“c</w:t>
      </w:r>
      <w:r w:rsidRPr="00AC18ED">
        <w:rPr>
          <w:rFonts w:ascii="Times New Roman" w:hAnsi="Times New Roman" w:cs="Times New Roman"/>
          <w:lang w:val="en-GB"/>
        </w:rPr>
        <w:t>ommon</w:t>
      </w:r>
      <w:r w:rsidR="00FE4F3C">
        <w:rPr>
          <w:rFonts w:ascii="Times New Roman" w:hAnsi="Times New Roman" w:cs="Times New Roman"/>
          <w:lang w:val="en-GB"/>
        </w:rPr>
        <w:t>.”</w:t>
      </w:r>
      <w:r w:rsidR="00774A64">
        <w:rPr>
          <w:rFonts w:ascii="Times New Roman" w:hAnsi="Times New Roman" w:cs="Times New Roman"/>
          <w:lang w:val="en-GB"/>
        </w:rPr>
        <w:t xml:space="preserve"> </w:t>
      </w:r>
      <w:r w:rsidR="00FE4F3C">
        <w:rPr>
          <w:rFonts w:ascii="Times New Roman" w:hAnsi="Times New Roman" w:cs="Times New Roman"/>
          <w:lang w:val="en-GB"/>
        </w:rPr>
        <w:t>The</w:t>
      </w:r>
      <w:r w:rsidRPr="00AC18ED">
        <w:rPr>
          <w:rFonts w:ascii="Times New Roman" w:hAnsi="Times New Roman" w:cs="Times New Roman"/>
          <w:lang w:val="en-GB"/>
        </w:rPr>
        <w:t xml:space="preserve"> exact manner in which cost is estimated</w:t>
      </w:r>
      <w:r w:rsidR="00FE4F3C">
        <w:rPr>
          <w:rFonts w:ascii="Times New Roman" w:hAnsi="Times New Roman" w:cs="Times New Roman"/>
          <w:lang w:val="en-GB"/>
        </w:rPr>
        <w:t>, however,</w:t>
      </w:r>
      <w:r w:rsidRPr="00AC18ED">
        <w:rPr>
          <w:rFonts w:ascii="Times New Roman" w:hAnsi="Times New Roman" w:cs="Times New Roman"/>
          <w:lang w:val="en-GB"/>
        </w:rPr>
        <w:t xml:space="preserve"> is determined </w:t>
      </w:r>
      <w:r w:rsidR="00C25C85">
        <w:rPr>
          <w:rFonts w:ascii="Times New Roman" w:hAnsi="Times New Roman" w:cs="Times New Roman"/>
          <w:lang w:val="en-GB"/>
        </w:rPr>
        <w:t xml:space="preserve">to some extent </w:t>
      </w:r>
      <w:r w:rsidRPr="00AC18ED">
        <w:rPr>
          <w:rFonts w:ascii="Times New Roman" w:hAnsi="Times New Roman" w:cs="Times New Roman"/>
          <w:lang w:val="en-GB"/>
        </w:rPr>
        <w:t>by the sector and</w:t>
      </w:r>
      <w:r w:rsidR="00FE4F3C">
        <w:rPr>
          <w:rFonts w:ascii="Times New Roman" w:hAnsi="Times New Roman" w:cs="Times New Roman"/>
          <w:lang w:val="en-GB"/>
        </w:rPr>
        <w:t xml:space="preserve"> the</w:t>
      </w:r>
      <w:r w:rsidRPr="00AC18ED">
        <w:rPr>
          <w:rFonts w:ascii="Times New Roman" w:hAnsi="Times New Roman" w:cs="Times New Roman"/>
          <w:lang w:val="en-GB"/>
        </w:rPr>
        <w:t xml:space="preserve"> combination </w:t>
      </w:r>
      <w:r w:rsidR="00FE4F3C">
        <w:rPr>
          <w:rFonts w:ascii="Times New Roman" w:hAnsi="Times New Roman" w:cs="Times New Roman"/>
          <w:lang w:val="en-GB"/>
        </w:rPr>
        <w:t>of pollutants being studied</w:t>
      </w:r>
      <w:r w:rsidR="00C16750" w:rsidRPr="00AC18ED">
        <w:rPr>
          <w:rFonts w:ascii="Times New Roman" w:hAnsi="Times New Roman" w:cs="Times New Roman"/>
          <w:lang w:val="en-GB"/>
        </w:rPr>
        <w:t>.</w:t>
      </w:r>
      <w:bookmarkEnd w:id="2"/>
      <w:bookmarkEnd w:id="3"/>
      <w:bookmarkEnd w:id="4"/>
      <w:r w:rsidR="003D16CE">
        <w:rPr>
          <w:rFonts w:ascii="Times New Roman" w:hAnsi="Times New Roman" w:cs="Times New Roman"/>
          <w:lang w:val="en-GB"/>
        </w:rPr>
        <w:t xml:space="preserve"> </w:t>
      </w:r>
      <w:r w:rsidR="00572912">
        <w:rPr>
          <w:rFonts w:ascii="Times New Roman" w:hAnsi="Times New Roman" w:cs="Times New Roman"/>
          <w:lang w:val="en-GB"/>
        </w:rPr>
        <w:t>F</w:t>
      </w:r>
      <w:r w:rsidR="003D16CE" w:rsidRPr="00F97739">
        <w:rPr>
          <w:rFonts w:ascii="Times New Roman" w:eastAsia="Times New Roman" w:hAnsi="Times New Roman" w:cs="Times New Roman"/>
          <w:lang w:eastAsia="en-IN"/>
        </w:rPr>
        <w:t>urther information</w:t>
      </w:r>
      <w:r w:rsidR="00572912">
        <w:rPr>
          <w:rFonts w:ascii="Times New Roman" w:eastAsia="Times New Roman" w:hAnsi="Times New Roman" w:cs="Times New Roman"/>
          <w:lang w:eastAsia="en-IN"/>
        </w:rPr>
        <w:t xml:space="preserve"> is available at</w:t>
      </w:r>
      <w:r w:rsidR="003D16CE" w:rsidRPr="00F97739">
        <w:rPr>
          <w:rFonts w:ascii="Times New Roman" w:eastAsia="Times New Roman" w:hAnsi="Times New Roman" w:cs="Times New Roman"/>
          <w:lang w:eastAsia="en-IN"/>
        </w:rPr>
        <w:t xml:space="preserve">    </w:t>
      </w:r>
      <w:hyperlink r:id="rId17" w:history="1">
        <w:r w:rsidR="003D16CE" w:rsidRPr="00F97739">
          <w:rPr>
            <w:rStyle w:val="Hyperlink"/>
            <w:rFonts w:ascii="Times New Roman" w:eastAsia="Times New Roman" w:hAnsi="Times New Roman" w:cs="Times New Roman"/>
            <w:lang w:eastAsia="en-IN"/>
          </w:rPr>
          <w:t>https://www.iiasa.ac.at/web/home/research/researchPrograms/air/IR-98-035.pdf</w:t>
        </w:r>
      </w:hyperlink>
    </w:p>
    <w:p w14:paraId="4293066B" w14:textId="4B412987" w:rsidR="00A602EC" w:rsidRPr="00AC18ED" w:rsidRDefault="00A602EC" w:rsidP="002A73C5">
      <w:pPr>
        <w:spacing w:after="120" w:line="276" w:lineRule="auto"/>
        <w:jc w:val="both"/>
        <w:rPr>
          <w:rFonts w:ascii="Times New Roman" w:hAnsi="Times New Roman" w:cs="Times New Roman"/>
          <w:b/>
        </w:rPr>
      </w:pPr>
    </w:p>
    <w:p w14:paraId="6C8E6F5E" w14:textId="77777777" w:rsidR="00F97BFF" w:rsidRPr="00F97BFF" w:rsidRDefault="00F97BFF" w:rsidP="00F97BFF">
      <w:pPr>
        <w:spacing w:after="120" w:line="276" w:lineRule="auto"/>
        <w:rPr>
          <w:rFonts w:ascii="Times New Roman" w:hAnsi="Times New Roman" w:cs="Times New Roman"/>
          <w:lang w:val="en-GB"/>
        </w:rPr>
      </w:pPr>
      <w:bookmarkStart w:id="39" w:name="_Hlk22046302"/>
    </w:p>
    <w:p w14:paraId="1D6A2086" w14:textId="3B2BACF0" w:rsidR="005075A2" w:rsidRPr="002A73C5" w:rsidRDefault="005075A2" w:rsidP="00F97BFF">
      <w:pPr>
        <w:spacing w:after="120" w:line="276" w:lineRule="auto"/>
        <w:rPr>
          <w:rFonts w:ascii="Times New Roman" w:hAnsi="Times New Roman"/>
          <w:lang w:val="en-US"/>
        </w:rPr>
      </w:pPr>
      <w:r w:rsidRPr="002A73C5">
        <w:rPr>
          <w:rFonts w:ascii="Times New Roman" w:hAnsi="Times New Roman"/>
          <w:lang w:val="en-US"/>
        </w:rPr>
        <w:br w:type="page"/>
      </w:r>
    </w:p>
    <w:p w14:paraId="0B6E6C81" w14:textId="6EB2158E" w:rsidR="0036451F" w:rsidRPr="00AC18ED" w:rsidRDefault="0036451F" w:rsidP="002A73C5">
      <w:pPr>
        <w:pStyle w:val="Heading1"/>
        <w:spacing w:before="0" w:after="120" w:line="276" w:lineRule="auto"/>
        <w:rPr>
          <w:rFonts w:ascii="Times New Roman" w:hAnsi="Times New Roman" w:cs="Times New Roman"/>
          <w:b/>
          <w:sz w:val="24"/>
          <w:szCs w:val="22"/>
        </w:rPr>
      </w:pPr>
      <w:bookmarkStart w:id="40" w:name="_Toc22630756"/>
      <w:r w:rsidRPr="00AC18ED">
        <w:rPr>
          <w:rFonts w:ascii="Times New Roman" w:hAnsi="Times New Roman" w:cs="Times New Roman"/>
          <w:b/>
          <w:sz w:val="24"/>
          <w:szCs w:val="22"/>
        </w:rPr>
        <w:lastRenderedPageBreak/>
        <w:t>References</w:t>
      </w:r>
      <w:bookmarkEnd w:id="40"/>
    </w:p>
    <w:bookmarkEnd w:id="39"/>
    <w:p w14:paraId="3E0F66AB"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ADB. 2005. </w:t>
      </w:r>
      <w:r w:rsidRPr="000D0D01">
        <w:rPr>
          <w:rFonts w:ascii="Times New Roman" w:hAnsi="Times New Roman" w:cs="Times New Roman"/>
          <w:iCs/>
          <w:szCs w:val="22"/>
        </w:rPr>
        <w:t>Strengthening Environmental Management at the state level (cluster) Component E- Strengthening Environmental management at West Bengal Pollution Control Board</w:t>
      </w:r>
      <w:r w:rsidRPr="000D0D01">
        <w:rPr>
          <w:rFonts w:ascii="Times New Roman" w:hAnsi="Times New Roman" w:cs="Times New Roman"/>
          <w:szCs w:val="22"/>
        </w:rPr>
        <w:t>. Final Report; Volume V: Air Quality Management, Asian Development Bank (ADB), Manila.</w:t>
      </w:r>
    </w:p>
    <w:p w14:paraId="6FE27680"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ADB. 2008. </w:t>
      </w:r>
      <w:r w:rsidRPr="000D0D01">
        <w:rPr>
          <w:rFonts w:ascii="Times New Roman" w:hAnsi="Times New Roman" w:cs="Times New Roman"/>
          <w:i/>
          <w:iCs/>
          <w:szCs w:val="22"/>
        </w:rPr>
        <w:t>Comprehensive Mobility Plan: Back to Basics - Kolkata Metropolitan Area</w:t>
      </w:r>
      <w:r w:rsidRPr="000D0D01">
        <w:rPr>
          <w:rFonts w:ascii="Times New Roman" w:hAnsi="Times New Roman" w:cs="Times New Roman"/>
          <w:szCs w:val="22"/>
        </w:rPr>
        <w:t>. Asian Development Bank (ADB), Manila.</w:t>
      </w:r>
    </w:p>
    <w:p w14:paraId="5DE8F82C"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AERAI. 2012. Multi Year Tariff Proposal and Annual Tariff Proposals in respect of Netaji Subhash Chandra Bose International Airport, Kolkata for the First Control Period (2011-2016) Consultation Paper No. 17/2012-13. Airports Economic Regulatory Authority of India (AERAI), New Delhi.</w:t>
      </w:r>
    </w:p>
    <w:p w14:paraId="4D858A92" w14:textId="77777777" w:rsidR="004A72A7" w:rsidRDefault="004A72A7" w:rsidP="004A72A7">
      <w:pPr>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Amann, M., Bertok, I., Borken-Kleefeld, J., Cofala, J., Heyes, C., Höglund-Isaksson, L., Klimont, Z., Nguyen, B., Posch, M., Rafaj, P., Sandler, R., Schöpp, W., Wagner, F., Winiwarter, W., 2011. Cost-effective control of air quality and greenhouse gases in Europe: Modeling and policy applications. </w:t>
      </w:r>
      <w:r w:rsidRPr="000D0D01">
        <w:rPr>
          <w:rFonts w:ascii="Times New Roman" w:hAnsi="Times New Roman" w:cs="Times New Roman"/>
          <w:i/>
          <w:szCs w:val="22"/>
        </w:rPr>
        <w:t>Environmental Modelling &amp; Software</w:t>
      </w:r>
      <w:r w:rsidRPr="000D0D01">
        <w:rPr>
          <w:rFonts w:ascii="Times New Roman" w:hAnsi="Times New Roman" w:cs="Times New Roman"/>
          <w:szCs w:val="22"/>
        </w:rPr>
        <w:t xml:space="preserve">, 26, pp. 1489–1501. </w:t>
      </w:r>
    </w:p>
    <w:p w14:paraId="383D7E61" w14:textId="3B058CC5" w:rsidR="00F76DB4" w:rsidRPr="00F76DB4" w:rsidRDefault="00F76DB4" w:rsidP="004A72A7">
      <w:pPr>
        <w:spacing w:after="120" w:line="276" w:lineRule="auto"/>
        <w:ind w:left="284" w:hanging="284"/>
        <w:jc w:val="both"/>
        <w:rPr>
          <w:rFonts w:ascii="Times New Roman" w:hAnsi="Times New Roman" w:cs="Times New Roman"/>
          <w:szCs w:val="22"/>
        </w:rPr>
      </w:pPr>
      <w:r w:rsidRPr="002A73C5">
        <w:rPr>
          <w:rFonts w:ascii="Times New Roman" w:hAnsi="Times New Roman" w:cs="Times New Roman"/>
          <w:szCs w:val="22"/>
        </w:rPr>
        <w:t xml:space="preserve">Amann, M., Bertok, </w:t>
      </w:r>
      <w:r w:rsidR="00B31660" w:rsidRPr="000863A3">
        <w:rPr>
          <w:rFonts w:ascii="Times New Roman" w:hAnsi="Times New Roman" w:cs="Times New Roman"/>
          <w:szCs w:val="22"/>
        </w:rPr>
        <w:t>I.</w:t>
      </w:r>
      <w:r w:rsidR="00B31660">
        <w:rPr>
          <w:rFonts w:ascii="Times New Roman" w:hAnsi="Times New Roman" w:cs="Times New Roman"/>
          <w:szCs w:val="22"/>
        </w:rPr>
        <w:t>,</w:t>
      </w:r>
      <w:r w:rsidRPr="002A73C5">
        <w:rPr>
          <w:rFonts w:ascii="Times New Roman" w:hAnsi="Times New Roman" w:cs="Times New Roman"/>
          <w:szCs w:val="22"/>
        </w:rPr>
        <w:t xml:space="preserve"> Borken, </w:t>
      </w:r>
      <w:r w:rsidR="00B31660" w:rsidRPr="003A6D72">
        <w:rPr>
          <w:rFonts w:ascii="Times New Roman" w:hAnsi="Times New Roman" w:cs="Times New Roman"/>
          <w:szCs w:val="22"/>
        </w:rPr>
        <w:t>J.</w:t>
      </w:r>
      <w:r w:rsidR="00B31660">
        <w:rPr>
          <w:rFonts w:ascii="Times New Roman" w:hAnsi="Times New Roman" w:cs="Times New Roman"/>
          <w:szCs w:val="22"/>
        </w:rPr>
        <w:t>,</w:t>
      </w:r>
      <w:r w:rsidRPr="002A73C5">
        <w:rPr>
          <w:rFonts w:ascii="Times New Roman" w:hAnsi="Times New Roman" w:cs="Times New Roman"/>
          <w:szCs w:val="22"/>
        </w:rPr>
        <w:t xml:space="preserve"> Chambers, </w:t>
      </w:r>
      <w:r w:rsidR="00B31660" w:rsidRPr="00C762DB">
        <w:rPr>
          <w:rFonts w:ascii="Times New Roman" w:hAnsi="Times New Roman" w:cs="Times New Roman"/>
          <w:szCs w:val="22"/>
        </w:rPr>
        <w:t>A.</w:t>
      </w:r>
      <w:r w:rsidR="00B31660">
        <w:rPr>
          <w:rFonts w:ascii="Times New Roman" w:hAnsi="Times New Roman" w:cs="Times New Roman"/>
          <w:szCs w:val="22"/>
        </w:rPr>
        <w:t>,</w:t>
      </w:r>
      <w:r w:rsidRPr="002A73C5">
        <w:rPr>
          <w:rFonts w:ascii="Times New Roman" w:hAnsi="Times New Roman" w:cs="Times New Roman"/>
          <w:szCs w:val="22"/>
        </w:rPr>
        <w:t xml:space="preserve"> Cofala, </w:t>
      </w:r>
      <w:r w:rsidR="00B31660" w:rsidRPr="00845D7C">
        <w:rPr>
          <w:rFonts w:ascii="Times New Roman" w:hAnsi="Times New Roman" w:cs="Times New Roman"/>
          <w:szCs w:val="22"/>
        </w:rPr>
        <w:t>J.</w:t>
      </w:r>
      <w:r w:rsidR="00B31660">
        <w:rPr>
          <w:rFonts w:ascii="Times New Roman" w:hAnsi="Times New Roman" w:cs="Times New Roman"/>
          <w:szCs w:val="22"/>
        </w:rPr>
        <w:t>,</w:t>
      </w:r>
      <w:r w:rsidRPr="002A73C5">
        <w:rPr>
          <w:rFonts w:ascii="Times New Roman" w:hAnsi="Times New Roman" w:cs="Times New Roman"/>
          <w:szCs w:val="22"/>
        </w:rPr>
        <w:t xml:space="preserve"> Dentener, </w:t>
      </w:r>
      <w:r w:rsidR="00B31660" w:rsidRPr="002A3B40">
        <w:rPr>
          <w:rFonts w:ascii="Times New Roman" w:hAnsi="Times New Roman" w:cs="Times New Roman"/>
          <w:szCs w:val="22"/>
        </w:rPr>
        <w:t>F.</w:t>
      </w:r>
      <w:r w:rsidR="00B31660">
        <w:rPr>
          <w:rFonts w:ascii="Times New Roman" w:hAnsi="Times New Roman" w:cs="Times New Roman"/>
          <w:szCs w:val="22"/>
        </w:rPr>
        <w:t>,</w:t>
      </w:r>
      <w:r w:rsidRPr="002A73C5">
        <w:rPr>
          <w:rFonts w:ascii="Times New Roman" w:hAnsi="Times New Roman" w:cs="Times New Roman"/>
          <w:szCs w:val="22"/>
        </w:rPr>
        <w:t xml:space="preserve"> Heyes, </w:t>
      </w:r>
      <w:r w:rsidR="00B31660" w:rsidRPr="001966E3">
        <w:rPr>
          <w:rFonts w:ascii="Times New Roman" w:hAnsi="Times New Roman" w:cs="Times New Roman"/>
          <w:szCs w:val="22"/>
        </w:rPr>
        <w:t>C.</w:t>
      </w:r>
      <w:r w:rsidR="00B31660">
        <w:rPr>
          <w:rFonts w:ascii="Times New Roman" w:hAnsi="Times New Roman" w:cs="Times New Roman"/>
          <w:szCs w:val="22"/>
        </w:rPr>
        <w:t>,</w:t>
      </w:r>
      <w:r w:rsidRPr="002A73C5">
        <w:rPr>
          <w:rFonts w:ascii="Times New Roman" w:hAnsi="Times New Roman" w:cs="Times New Roman"/>
          <w:szCs w:val="22"/>
        </w:rPr>
        <w:t xml:space="preserve"> Kejun, </w:t>
      </w:r>
      <w:r w:rsidR="00B31660" w:rsidRPr="007E5C8E">
        <w:rPr>
          <w:rFonts w:ascii="Times New Roman" w:hAnsi="Times New Roman" w:cs="Times New Roman"/>
          <w:szCs w:val="22"/>
        </w:rPr>
        <w:t>J.</w:t>
      </w:r>
      <w:r w:rsidR="00B31660">
        <w:rPr>
          <w:rFonts w:ascii="Times New Roman" w:hAnsi="Times New Roman" w:cs="Times New Roman"/>
          <w:szCs w:val="22"/>
        </w:rPr>
        <w:t>,</w:t>
      </w:r>
      <w:r w:rsidRPr="002A73C5">
        <w:rPr>
          <w:rFonts w:ascii="Times New Roman" w:hAnsi="Times New Roman" w:cs="Times New Roman"/>
          <w:szCs w:val="22"/>
        </w:rPr>
        <w:t xml:space="preserve"> Klimont, </w:t>
      </w:r>
      <w:r w:rsidR="00B31660" w:rsidRPr="0071043B">
        <w:rPr>
          <w:rFonts w:ascii="Times New Roman" w:hAnsi="Times New Roman" w:cs="Times New Roman"/>
          <w:szCs w:val="22"/>
        </w:rPr>
        <w:t>Z.</w:t>
      </w:r>
      <w:r w:rsidR="00B31660">
        <w:rPr>
          <w:rFonts w:ascii="Times New Roman" w:hAnsi="Times New Roman" w:cs="Times New Roman"/>
          <w:szCs w:val="22"/>
        </w:rPr>
        <w:t>,</w:t>
      </w:r>
      <w:r w:rsidRPr="002A73C5">
        <w:rPr>
          <w:rFonts w:ascii="Times New Roman" w:hAnsi="Times New Roman" w:cs="Times New Roman"/>
          <w:szCs w:val="22"/>
        </w:rPr>
        <w:t xml:space="preserve"> Makowski, </w:t>
      </w:r>
      <w:r w:rsidR="00B31660" w:rsidRPr="000F50B9">
        <w:rPr>
          <w:rFonts w:ascii="Times New Roman" w:hAnsi="Times New Roman" w:cs="Times New Roman"/>
          <w:szCs w:val="22"/>
        </w:rPr>
        <w:t>M.</w:t>
      </w:r>
      <w:r w:rsidR="00B31660">
        <w:rPr>
          <w:rFonts w:ascii="Times New Roman" w:hAnsi="Times New Roman" w:cs="Times New Roman"/>
          <w:szCs w:val="22"/>
        </w:rPr>
        <w:t>,</w:t>
      </w:r>
      <w:r w:rsidRPr="002A73C5">
        <w:rPr>
          <w:rFonts w:ascii="Times New Roman" w:hAnsi="Times New Roman" w:cs="Times New Roman"/>
          <w:szCs w:val="22"/>
        </w:rPr>
        <w:t xml:space="preserve"> Mathur, </w:t>
      </w:r>
      <w:r w:rsidR="00B31660" w:rsidRPr="00DD6748">
        <w:rPr>
          <w:rFonts w:ascii="Times New Roman" w:hAnsi="Times New Roman" w:cs="Times New Roman"/>
          <w:szCs w:val="22"/>
        </w:rPr>
        <w:t>R.</w:t>
      </w:r>
      <w:r w:rsidR="00B31660">
        <w:rPr>
          <w:rFonts w:ascii="Times New Roman" w:hAnsi="Times New Roman" w:cs="Times New Roman"/>
          <w:szCs w:val="22"/>
        </w:rPr>
        <w:t>,</w:t>
      </w:r>
      <w:r w:rsidRPr="002A73C5">
        <w:rPr>
          <w:rFonts w:ascii="Times New Roman" w:hAnsi="Times New Roman" w:cs="Times New Roman"/>
          <w:szCs w:val="22"/>
        </w:rPr>
        <w:t xml:space="preserve"> Purohit, </w:t>
      </w:r>
      <w:r w:rsidR="00B31660" w:rsidRPr="00011F5D">
        <w:rPr>
          <w:rFonts w:ascii="Times New Roman" w:hAnsi="Times New Roman" w:cs="Times New Roman"/>
          <w:szCs w:val="22"/>
        </w:rPr>
        <w:t>P.</w:t>
      </w:r>
      <w:r w:rsidR="00B31660">
        <w:rPr>
          <w:rFonts w:ascii="Times New Roman" w:hAnsi="Times New Roman" w:cs="Times New Roman"/>
          <w:szCs w:val="22"/>
        </w:rPr>
        <w:t>,</w:t>
      </w:r>
      <w:r w:rsidRPr="002A73C5">
        <w:rPr>
          <w:rFonts w:ascii="Times New Roman" w:hAnsi="Times New Roman" w:cs="Times New Roman"/>
          <w:szCs w:val="22"/>
        </w:rPr>
        <w:t xml:space="preserve"> Rafaj, </w:t>
      </w:r>
      <w:r w:rsidR="00B31660" w:rsidRPr="002772E3">
        <w:rPr>
          <w:rFonts w:ascii="Times New Roman" w:hAnsi="Times New Roman" w:cs="Times New Roman"/>
          <w:szCs w:val="22"/>
        </w:rPr>
        <w:t>P.</w:t>
      </w:r>
      <w:r w:rsidR="00B31660">
        <w:rPr>
          <w:rFonts w:ascii="Times New Roman" w:hAnsi="Times New Roman" w:cs="Times New Roman"/>
          <w:szCs w:val="22"/>
        </w:rPr>
        <w:t>,</w:t>
      </w:r>
      <w:r w:rsidR="00B31660" w:rsidRPr="002772E3">
        <w:rPr>
          <w:rFonts w:ascii="Times New Roman" w:hAnsi="Times New Roman" w:cs="Times New Roman"/>
          <w:szCs w:val="22"/>
        </w:rPr>
        <w:t xml:space="preserve"> </w:t>
      </w:r>
      <w:r w:rsidRPr="002A73C5">
        <w:rPr>
          <w:rFonts w:ascii="Times New Roman" w:hAnsi="Times New Roman" w:cs="Times New Roman"/>
          <w:szCs w:val="22"/>
        </w:rPr>
        <w:t xml:space="preserve">Sandler, </w:t>
      </w:r>
      <w:r w:rsidR="00B31660" w:rsidRPr="004723A8">
        <w:rPr>
          <w:rFonts w:ascii="Times New Roman" w:hAnsi="Times New Roman" w:cs="Times New Roman"/>
          <w:szCs w:val="22"/>
        </w:rPr>
        <w:t>R.</w:t>
      </w:r>
      <w:r w:rsidR="00B31660">
        <w:rPr>
          <w:rFonts w:ascii="Times New Roman" w:hAnsi="Times New Roman" w:cs="Times New Roman"/>
          <w:szCs w:val="22"/>
        </w:rPr>
        <w:t>,</w:t>
      </w:r>
      <w:r w:rsidRPr="002A73C5">
        <w:rPr>
          <w:rFonts w:ascii="Times New Roman" w:hAnsi="Times New Roman" w:cs="Times New Roman"/>
          <w:szCs w:val="22"/>
        </w:rPr>
        <w:t xml:space="preserve"> Schöpp, </w:t>
      </w:r>
      <w:r w:rsidR="00B31660" w:rsidRPr="004C194E">
        <w:rPr>
          <w:rFonts w:ascii="Times New Roman" w:hAnsi="Times New Roman" w:cs="Times New Roman"/>
          <w:szCs w:val="22"/>
        </w:rPr>
        <w:t>W.</w:t>
      </w:r>
      <w:r w:rsidR="00B31660">
        <w:rPr>
          <w:rFonts w:ascii="Times New Roman" w:hAnsi="Times New Roman" w:cs="Times New Roman"/>
          <w:szCs w:val="22"/>
        </w:rPr>
        <w:t>,</w:t>
      </w:r>
      <w:r w:rsidR="00B31660" w:rsidRPr="004C194E">
        <w:rPr>
          <w:rFonts w:ascii="Times New Roman" w:hAnsi="Times New Roman" w:cs="Times New Roman"/>
          <w:szCs w:val="22"/>
        </w:rPr>
        <w:t xml:space="preserve"> </w:t>
      </w:r>
      <w:r w:rsidRPr="002A73C5">
        <w:rPr>
          <w:rFonts w:ascii="Times New Roman" w:hAnsi="Times New Roman" w:cs="Times New Roman"/>
          <w:szCs w:val="22"/>
        </w:rPr>
        <w:t xml:space="preserve">Wagner </w:t>
      </w:r>
      <w:r w:rsidR="00B31660" w:rsidRPr="00C75B27">
        <w:rPr>
          <w:rFonts w:ascii="Times New Roman" w:hAnsi="Times New Roman" w:cs="Times New Roman"/>
          <w:szCs w:val="22"/>
        </w:rPr>
        <w:t>F.</w:t>
      </w:r>
      <w:r w:rsidR="00B31660">
        <w:rPr>
          <w:rFonts w:ascii="Times New Roman" w:hAnsi="Times New Roman" w:cs="Times New Roman"/>
          <w:szCs w:val="22"/>
        </w:rPr>
        <w:t xml:space="preserve">, </w:t>
      </w:r>
      <w:r w:rsidRPr="002A73C5">
        <w:rPr>
          <w:rFonts w:ascii="Times New Roman" w:hAnsi="Times New Roman" w:cs="Times New Roman"/>
          <w:szCs w:val="22"/>
        </w:rPr>
        <w:t xml:space="preserve">Winiwarter </w:t>
      </w:r>
      <w:r w:rsidR="00B31660" w:rsidRPr="00606EA2">
        <w:rPr>
          <w:rFonts w:ascii="Times New Roman" w:hAnsi="Times New Roman" w:cs="Times New Roman"/>
          <w:szCs w:val="22"/>
        </w:rPr>
        <w:t xml:space="preserve">W. </w:t>
      </w:r>
      <w:r w:rsidRPr="002A73C5">
        <w:rPr>
          <w:rFonts w:ascii="Times New Roman" w:hAnsi="Times New Roman" w:cs="Times New Roman"/>
          <w:szCs w:val="22"/>
        </w:rPr>
        <w:t xml:space="preserve">2008. </w:t>
      </w:r>
      <w:r w:rsidRPr="002A73C5">
        <w:rPr>
          <w:rFonts w:ascii="Times New Roman" w:hAnsi="Times New Roman" w:cs="Times New Roman"/>
          <w:i/>
          <w:iCs/>
          <w:szCs w:val="22"/>
        </w:rPr>
        <w:t>GAINS-Asia. A tool to combat air pollution and climate change simultaneously</w:t>
      </w:r>
      <w:r w:rsidRPr="002A73C5">
        <w:rPr>
          <w:rFonts w:ascii="Times New Roman" w:hAnsi="Times New Roman" w:cs="Times New Roman"/>
          <w:szCs w:val="22"/>
        </w:rPr>
        <w:t>. International Institute for Applied Systems Analysis (IIASA), Laxenburg, Austria.</w:t>
      </w:r>
    </w:p>
    <w:p w14:paraId="1721F409"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APR. 2015. Automobile Pollution Regulation (APR), West Bengal Pollution Control Board (WBPCB), Kolkata. Available at: https://www.wbpcb.gov.in/pages/display/73-automobile-pollution-regulation last accessed on 18/04/2019.</w:t>
      </w:r>
    </w:p>
    <w:p w14:paraId="0C9BAD74"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AQIS. 2019. Air Quality Information System (AQIS), West Bengal Pollution Control Board. Available at: </w:t>
      </w:r>
      <w:hyperlink r:id="rId18" w:history="1">
        <w:r w:rsidRPr="000D0D01">
          <w:rPr>
            <w:rStyle w:val="Hyperlink"/>
            <w:rFonts w:ascii="Times New Roman" w:hAnsi="Times New Roman" w:cs="Times New Roman"/>
            <w:szCs w:val="22"/>
          </w:rPr>
          <w:t>http://emis.wbpcb.gov.in/airquality/JSP/aq/districtwiseReport.jsp last accessed on 21/05/2019</w:t>
        </w:r>
      </w:hyperlink>
      <w:r w:rsidRPr="000D0D01">
        <w:rPr>
          <w:rFonts w:ascii="Times New Roman" w:hAnsi="Times New Roman" w:cs="Times New Roman"/>
          <w:szCs w:val="22"/>
        </w:rPr>
        <w:t>.</w:t>
      </w:r>
    </w:p>
    <w:p w14:paraId="4B59E6C0"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ARAI. 2007. Emission Factor Development for Indian Vehicles: Air Quality Monitoring Project (Indian Clean Air Programme). Pune, India: The Automotive Research Association of India (ARAI).</w:t>
      </w:r>
    </w:p>
    <w:p w14:paraId="52F622A6"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Banerjee S. 2018. Urban Expansion of the City Kolkata since last 25 years using Remote Sensing. </w:t>
      </w:r>
      <w:r w:rsidRPr="000D0D01">
        <w:rPr>
          <w:rFonts w:ascii="Times New Roman" w:hAnsi="Times New Roman" w:cs="Times New Roman"/>
          <w:i/>
          <w:iCs/>
          <w:szCs w:val="22"/>
        </w:rPr>
        <w:t>International Journal of Research and Analytical Reviews</w:t>
      </w:r>
      <w:r w:rsidRPr="000D0D01">
        <w:rPr>
          <w:rFonts w:ascii="Times New Roman" w:hAnsi="Times New Roman" w:cs="Times New Roman"/>
          <w:szCs w:val="22"/>
        </w:rPr>
        <w:t>, 5 (2), pp. 422-429.</w:t>
      </w:r>
    </w:p>
    <w:p w14:paraId="479C1E69" w14:textId="77777777" w:rsidR="004A72A7" w:rsidRPr="000D0D01" w:rsidRDefault="004A72A7" w:rsidP="004A72A7">
      <w:pPr>
        <w:pStyle w:val="Bibliography"/>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CEA. 2014. Report on Fly Ash Generation at Coal/Lignite Based Thermal Power Staions and Its Utilization in the Country for the Year 2013-14. New Delhi, India: Central Electricity Authority (CEA), Ministry of Power, Government of India.</w:t>
      </w:r>
    </w:p>
    <w:p w14:paraId="4B476F65"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color w:val="5B9BD5" w:themeColor="accent1"/>
          <w:szCs w:val="22"/>
        </w:rPr>
      </w:pPr>
      <w:r w:rsidRPr="000D0D01">
        <w:rPr>
          <w:rFonts w:ascii="Times New Roman" w:hAnsi="Times New Roman" w:cs="Times New Roman"/>
          <w:szCs w:val="22"/>
        </w:rPr>
        <w:t xml:space="preserve">CESC. 2016. </w:t>
      </w:r>
      <w:r w:rsidRPr="000D0D01">
        <w:rPr>
          <w:rFonts w:ascii="Times New Roman" w:hAnsi="Times New Roman" w:cs="Times New Roman"/>
          <w:i/>
          <w:iCs/>
          <w:szCs w:val="22"/>
        </w:rPr>
        <w:t>Annual Report, 2015-16</w:t>
      </w:r>
      <w:r w:rsidRPr="000D0D01">
        <w:rPr>
          <w:rFonts w:ascii="Times New Roman" w:hAnsi="Times New Roman" w:cs="Times New Roman"/>
          <w:szCs w:val="22"/>
        </w:rPr>
        <w:t>. Calcutta Electric Supply Corporation (CESC), Kolkata.</w:t>
      </w:r>
    </w:p>
    <w:p w14:paraId="0E8959F3" w14:textId="77777777" w:rsidR="004A72A7" w:rsidRPr="000D0D01" w:rsidRDefault="004A72A7" w:rsidP="004A72A7">
      <w:pPr>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Chatterjee, A; Sarkar, C; Adak, A; Mukherjee, U; Ghosh, SK; Raha, S. 2013. </w:t>
      </w:r>
      <w:r w:rsidRPr="000D0D01">
        <w:rPr>
          <w:rFonts w:ascii="Times New Roman" w:hAnsi="Times New Roman" w:cs="Times New Roman"/>
          <w:iCs/>
          <w:szCs w:val="22"/>
        </w:rPr>
        <w:t>Ambient Air Quality during Diwali Festival over Kolkata</w:t>
      </w:r>
      <w:r w:rsidRPr="000D0D01">
        <w:rPr>
          <w:rFonts w:ascii="Times New Roman" w:hAnsi="Times New Roman" w:cs="Times New Roman"/>
          <w:szCs w:val="22"/>
        </w:rPr>
        <w:t xml:space="preserve"> - A </w:t>
      </w:r>
      <w:r w:rsidRPr="000D0D01">
        <w:rPr>
          <w:rFonts w:ascii="Times New Roman" w:hAnsi="Times New Roman" w:cs="Times New Roman"/>
          <w:iCs/>
          <w:szCs w:val="22"/>
        </w:rPr>
        <w:t>Mega</w:t>
      </w:r>
      <w:r w:rsidRPr="000D0D01">
        <w:rPr>
          <w:rFonts w:ascii="Times New Roman" w:hAnsi="Times New Roman" w:cs="Times New Roman"/>
          <w:szCs w:val="22"/>
        </w:rPr>
        <w:t>-</w:t>
      </w:r>
      <w:r w:rsidRPr="000D0D01">
        <w:rPr>
          <w:rFonts w:ascii="Times New Roman" w:hAnsi="Times New Roman" w:cs="Times New Roman"/>
          <w:iCs/>
          <w:szCs w:val="22"/>
        </w:rPr>
        <w:t>City</w:t>
      </w:r>
      <w:r w:rsidRPr="000D0D01">
        <w:rPr>
          <w:rFonts w:ascii="Times New Roman" w:hAnsi="Times New Roman" w:cs="Times New Roman"/>
          <w:szCs w:val="22"/>
        </w:rPr>
        <w:t xml:space="preserve"> in </w:t>
      </w:r>
      <w:r w:rsidRPr="000D0D01">
        <w:rPr>
          <w:rFonts w:ascii="Times New Roman" w:hAnsi="Times New Roman" w:cs="Times New Roman"/>
          <w:iCs/>
          <w:szCs w:val="22"/>
        </w:rPr>
        <w:t>India</w:t>
      </w:r>
      <w:r w:rsidRPr="000D0D01">
        <w:rPr>
          <w:rFonts w:ascii="Times New Roman" w:hAnsi="Times New Roman" w:cs="Times New Roman"/>
          <w:szCs w:val="22"/>
        </w:rPr>
        <w:t xml:space="preserve">. </w:t>
      </w:r>
      <w:r w:rsidRPr="000D0D01">
        <w:rPr>
          <w:rFonts w:ascii="Times New Roman" w:hAnsi="Times New Roman" w:cs="Times New Roman"/>
          <w:i/>
          <w:szCs w:val="22"/>
        </w:rPr>
        <w:t>Aerosol and Air Quality Research</w:t>
      </w:r>
      <w:r w:rsidRPr="000D0D01">
        <w:rPr>
          <w:rFonts w:ascii="Times New Roman" w:hAnsi="Times New Roman" w:cs="Times New Roman"/>
          <w:szCs w:val="22"/>
        </w:rPr>
        <w:t>, 13 (13), pp. 1133–1144.</w:t>
      </w:r>
    </w:p>
    <w:p w14:paraId="464C741A"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CPCB. 2010. </w:t>
      </w:r>
      <w:r w:rsidRPr="000D0D01">
        <w:rPr>
          <w:rFonts w:ascii="Times New Roman" w:hAnsi="Times New Roman" w:cs="Times New Roman"/>
          <w:i/>
          <w:iCs/>
          <w:szCs w:val="22"/>
        </w:rPr>
        <w:t>Study of Urban Air Quality in Kolkata for Source Identification and Estimation of Ozone, Carbonyls, NOx and VOC Emissions</w:t>
      </w:r>
      <w:r w:rsidRPr="000D0D01">
        <w:rPr>
          <w:rFonts w:ascii="Times New Roman" w:hAnsi="Times New Roman" w:cs="Times New Roman"/>
          <w:szCs w:val="22"/>
        </w:rPr>
        <w:t>. Central Pollution Control Board (CPCB), Ministry of Environment, Forest and Climate Change (MoEF&amp;CC), New Delhi.</w:t>
      </w:r>
    </w:p>
    <w:p w14:paraId="7E0EE574"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CPCB. 2011. </w:t>
      </w:r>
      <w:r w:rsidRPr="000D0D01">
        <w:rPr>
          <w:rFonts w:ascii="Times New Roman" w:hAnsi="Times New Roman" w:cs="Times New Roman"/>
          <w:i/>
          <w:iCs/>
          <w:szCs w:val="22"/>
        </w:rPr>
        <w:t>Air Quality Monitoring, Emission Inventory and Source Apportionment Study for Indian Cities: National Summary Report</w:t>
      </w:r>
      <w:r w:rsidRPr="000D0D01">
        <w:rPr>
          <w:rFonts w:ascii="Times New Roman" w:hAnsi="Times New Roman" w:cs="Times New Roman"/>
          <w:szCs w:val="22"/>
        </w:rPr>
        <w:t xml:space="preserve">. Central Pollution Control Board (CPCB), New Delhi (Available at: </w:t>
      </w:r>
      <w:hyperlink r:id="rId19" w:history="1">
        <w:r w:rsidRPr="000D0D01">
          <w:rPr>
            <w:rStyle w:val="Hyperlink"/>
            <w:rFonts w:ascii="Times New Roman" w:hAnsi="Times New Roman" w:cs="Times New Roman"/>
            <w:color w:val="auto"/>
            <w:szCs w:val="22"/>
          </w:rPr>
          <w:t>http://www.cpcb.nic.in/FinalNationalSummary.pdf</w:t>
        </w:r>
      </w:hyperlink>
      <w:r w:rsidRPr="000D0D01">
        <w:rPr>
          <w:rFonts w:ascii="Times New Roman" w:hAnsi="Times New Roman" w:cs="Times New Roman"/>
          <w:szCs w:val="22"/>
        </w:rPr>
        <w:t xml:space="preserve">). </w:t>
      </w:r>
    </w:p>
    <w:p w14:paraId="1C859572"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lastRenderedPageBreak/>
        <w:t xml:space="preserve">CPCB. 2012. </w:t>
      </w:r>
      <w:r w:rsidRPr="000D0D01">
        <w:rPr>
          <w:rFonts w:ascii="Times New Roman" w:hAnsi="Times New Roman" w:cs="Times New Roman"/>
          <w:i/>
          <w:iCs/>
          <w:szCs w:val="22"/>
        </w:rPr>
        <w:t>National Ambient Air Quality: Status &amp; Trends in India-2010</w:t>
      </w:r>
      <w:r w:rsidRPr="000D0D01">
        <w:rPr>
          <w:rFonts w:ascii="Times New Roman" w:hAnsi="Times New Roman" w:cs="Times New Roman"/>
          <w:szCs w:val="22"/>
        </w:rPr>
        <w:t>. Central Pollution Control Board (CPCB), Ministry of Environment &amp; Forests, New Delhi (Available at: http://cpcb.nic.in/ accessed on 30/04/2019).</w:t>
      </w:r>
    </w:p>
    <w:p w14:paraId="4BC2E518"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color w:val="5B9BD5" w:themeColor="accent1"/>
          <w:szCs w:val="22"/>
        </w:rPr>
      </w:pPr>
      <w:r w:rsidRPr="000D0D01">
        <w:rPr>
          <w:rFonts w:ascii="Times New Roman" w:hAnsi="Times New Roman" w:cs="Times New Roman"/>
          <w:szCs w:val="22"/>
        </w:rPr>
        <w:t xml:space="preserve">CPCB. 2014. </w:t>
      </w:r>
      <w:r w:rsidRPr="000D0D01">
        <w:rPr>
          <w:rFonts w:ascii="Times New Roman" w:hAnsi="Times New Roman" w:cs="Times New Roman"/>
          <w:i/>
          <w:iCs/>
          <w:szCs w:val="22"/>
        </w:rPr>
        <w:t>Annual Report 2014-15</w:t>
      </w:r>
      <w:r w:rsidRPr="000D0D01">
        <w:rPr>
          <w:rFonts w:ascii="Times New Roman" w:hAnsi="Times New Roman" w:cs="Times New Roman"/>
          <w:szCs w:val="22"/>
        </w:rPr>
        <w:t>. Central Pollution Control Board (CPCB), Ministry of Environment, Forest &amp; Climate Change (MoEF&amp;CC), New Delhi.</w:t>
      </w:r>
    </w:p>
    <w:p w14:paraId="0EDBA9C8"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CPCB. 2015a. </w:t>
      </w:r>
      <w:r w:rsidRPr="000D0D01">
        <w:rPr>
          <w:rFonts w:ascii="Times New Roman" w:hAnsi="Times New Roman" w:cs="Times New Roman"/>
          <w:i/>
          <w:iCs/>
          <w:szCs w:val="22"/>
        </w:rPr>
        <w:t>Annual Report 2014-15</w:t>
      </w:r>
      <w:r w:rsidRPr="000D0D01">
        <w:rPr>
          <w:rFonts w:ascii="Times New Roman" w:hAnsi="Times New Roman" w:cs="Times New Roman"/>
          <w:szCs w:val="22"/>
        </w:rPr>
        <w:t>. Central Pollution Control Board (CPCB), Ministry of Environment, Forest &amp; Climate Change (MoEF&amp;CC), New Delhi.</w:t>
      </w:r>
    </w:p>
    <w:p w14:paraId="1C0D0BE4"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CPCB. 2015b. </w:t>
      </w:r>
      <w:r w:rsidRPr="000D0D01">
        <w:rPr>
          <w:rFonts w:ascii="Times New Roman" w:hAnsi="Times New Roman" w:cs="Times New Roman"/>
          <w:i/>
          <w:szCs w:val="22"/>
        </w:rPr>
        <w:t>Status of Pollution Generated from Road Transport in Six Mega Cities</w:t>
      </w:r>
      <w:r w:rsidRPr="000D0D01">
        <w:rPr>
          <w:rFonts w:ascii="Times New Roman" w:hAnsi="Times New Roman" w:cs="Times New Roman"/>
          <w:szCs w:val="22"/>
        </w:rPr>
        <w:t>. Central Pollution Control Board (CPCB), Ministry of Environment, Forest and Climate Change (MoEF&amp;CC), New Delhi.</w:t>
      </w:r>
    </w:p>
    <w:p w14:paraId="3B8DE014"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CPCB. 2016. </w:t>
      </w:r>
      <w:r w:rsidRPr="000D0D01">
        <w:rPr>
          <w:rFonts w:ascii="Times New Roman" w:hAnsi="Times New Roman" w:cs="Times New Roman"/>
          <w:i/>
          <w:iCs/>
          <w:szCs w:val="22"/>
        </w:rPr>
        <w:t>Annual Report 2015-16</w:t>
      </w:r>
      <w:r w:rsidRPr="000D0D01">
        <w:rPr>
          <w:rFonts w:ascii="Times New Roman" w:hAnsi="Times New Roman" w:cs="Times New Roman"/>
          <w:szCs w:val="22"/>
        </w:rPr>
        <w:t>. Central Pollution Control Board (CPCB), Ministry of Environment, Forest &amp; Climate Change (MoEF&amp;CC), New Delhi.</w:t>
      </w:r>
    </w:p>
    <w:p w14:paraId="4CDA2639"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Das A., Sanyal M., Roy P. K., Majumder A., Biswas A. K., Mazumdar A. 2011. Municipal solid waste management in Kolkata metropolitan areas-A case study. </w:t>
      </w:r>
      <w:r w:rsidRPr="000D0D01">
        <w:rPr>
          <w:rFonts w:ascii="Times New Roman" w:hAnsi="Times New Roman" w:cs="Times New Roman"/>
          <w:i/>
          <w:iCs/>
          <w:szCs w:val="22"/>
        </w:rPr>
        <w:t>Environmental Science</w:t>
      </w:r>
      <w:r w:rsidRPr="000D0D01">
        <w:rPr>
          <w:rFonts w:ascii="Times New Roman" w:hAnsi="Times New Roman" w:cs="Times New Roman"/>
          <w:szCs w:val="22"/>
        </w:rPr>
        <w:t>, 6 (5), pp. 247-256.</w:t>
      </w:r>
    </w:p>
    <w:p w14:paraId="67F93312"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lang w:val="en-US"/>
        </w:rPr>
        <w:t xml:space="preserve">Das, M., Maiti, S.K., Mukhopadhyay, U. 2006. </w:t>
      </w:r>
      <w:r w:rsidRPr="000D0D01">
        <w:rPr>
          <w:rFonts w:ascii="Times New Roman" w:hAnsi="Times New Roman" w:cs="Times New Roman"/>
          <w:szCs w:val="22"/>
        </w:rPr>
        <w:t>Distribution of PM</w:t>
      </w:r>
      <w:r w:rsidRPr="000D0D01">
        <w:rPr>
          <w:rFonts w:ascii="Times New Roman" w:hAnsi="Times New Roman" w:cs="Times New Roman"/>
          <w:szCs w:val="22"/>
          <w:vertAlign w:val="subscript"/>
        </w:rPr>
        <w:t>2.5</w:t>
      </w:r>
      <w:r w:rsidRPr="000D0D01">
        <w:rPr>
          <w:rFonts w:ascii="Times New Roman" w:hAnsi="Times New Roman" w:cs="Times New Roman"/>
          <w:szCs w:val="22"/>
        </w:rPr>
        <w:t xml:space="preserve"> and PM</w:t>
      </w:r>
      <w:r w:rsidRPr="000D0D01">
        <w:rPr>
          <w:rFonts w:ascii="Times New Roman" w:hAnsi="Times New Roman" w:cs="Times New Roman"/>
          <w:szCs w:val="22"/>
          <w:vertAlign w:val="subscript"/>
        </w:rPr>
        <w:t>10-2.5</w:t>
      </w:r>
      <w:r w:rsidRPr="000D0D01">
        <w:rPr>
          <w:rFonts w:ascii="Times New Roman" w:hAnsi="Times New Roman" w:cs="Times New Roman"/>
          <w:szCs w:val="22"/>
        </w:rPr>
        <w:t xml:space="preserve"> in PM</w:t>
      </w:r>
      <w:r w:rsidRPr="000D0D01">
        <w:rPr>
          <w:rFonts w:ascii="Times New Roman" w:hAnsi="Times New Roman" w:cs="Times New Roman"/>
          <w:szCs w:val="22"/>
          <w:vertAlign w:val="subscript"/>
        </w:rPr>
        <w:t>10</w:t>
      </w:r>
      <w:r w:rsidRPr="000D0D01">
        <w:rPr>
          <w:rFonts w:ascii="Times New Roman" w:hAnsi="Times New Roman" w:cs="Times New Roman"/>
          <w:szCs w:val="22"/>
        </w:rPr>
        <w:t xml:space="preserve"> Fraction in Ambient Air Due to Vehicular Pollution in Kolkata Megacity. </w:t>
      </w:r>
      <w:r w:rsidRPr="000D0D01">
        <w:rPr>
          <w:rFonts w:ascii="Times New Roman" w:hAnsi="Times New Roman" w:cs="Times New Roman"/>
          <w:i/>
          <w:iCs/>
          <w:szCs w:val="22"/>
        </w:rPr>
        <w:t>Environmental Monitoring and Assessment</w:t>
      </w:r>
      <w:r w:rsidRPr="000D0D01">
        <w:rPr>
          <w:rFonts w:ascii="Times New Roman" w:hAnsi="Times New Roman" w:cs="Times New Roman"/>
          <w:szCs w:val="22"/>
        </w:rPr>
        <w:t>, 122 (1-3), pp. 111-123.</w:t>
      </w:r>
    </w:p>
    <w:p w14:paraId="5E2915A0" w14:textId="77777777" w:rsidR="004A72A7" w:rsidRPr="000D0D01" w:rsidRDefault="004A72A7" w:rsidP="004A72A7">
      <w:pPr>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DLLR 2005. Status On Land, Department of Land and Land Reforms Government of West Bengal. Writers’ Buildings Kolkata.</w:t>
      </w:r>
    </w:p>
    <w:p w14:paraId="692F7E07"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DoE. 2008. Department of Environment (DoE), Government of West Bengal, Memo No. S/EN/1517/611/08 dated 17/7/2008.</w:t>
      </w:r>
    </w:p>
    <w:p w14:paraId="5E02C9C1"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DoE. 2010. Department of Environment (DoE), Government of West Bengal, Notification dated 10th March 2010. Available at: </w:t>
      </w:r>
      <w:hyperlink r:id="rId20" w:history="1">
        <w:r w:rsidRPr="000D0D01">
          <w:rPr>
            <w:rStyle w:val="Hyperlink"/>
            <w:rFonts w:ascii="Times New Roman" w:hAnsi="Times New Roman" w:cs="Times New Roman"/>
            <w:szCs w:val="22"/>
          </w:rPr>
          <w:t>https://www.wbpcb.gov.in/writeread-data/upload/downloads/Download-41.pdf</w:t>
        </w:r>
      </w:hyperlink>
      <w:r w:rsidRPr="000D0D01">
        <w:rPr>
          <w:rFonts w:ascii="Times New Roman" w:hAnsi="Times New Roman" w:cs="Times New Roman"/>
          <w:szCs w:val="22"/>
        </w:rPr>
        <w:t xml:space="preserve"> last accessed on 13th May 2019. </w:t>
      </w:r>
    </w:p>
    <w:p w14:paraId="2C02CA94"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DoEA. 2015. Department of Economic Affairs, Ministry of Finance, Government of India, New Delhi (Available at: </w:t>
      </w:r>
      <w:hyperlink r:id="rId21" w:history="1">
        <w:r w:rsidRPr="000D0D01">
          <w:rPr>
            <w:rStyle w:val="Hyperlink"/>
            <w:rFonts w:ascii="Times New Roman" w:hAnsi="Times New Roman" w:cs="Times New Roman"/>
            <w:color w:val="auto"/>
            <w:szCs w:val="22"/>
          </w:rPr>
          <w:t>https://www.ppp-inindia.gov.in/infrastructureindia</w:t>
        </w:r>
      </w:hyperlink>
      <w:r w:rsidRPr="000D0D01">
        <w:rPr>
          <w:rFonts w:ascii="Times New Roman" w:hAnsi="Times New Roman" w:cs="Times New Roman"/>
          <w:szCs w:val="22"/>
        </w:rPr>
        <w:t xml:space="preserve"> last accessed on 13th May 2019).</w:t>
      </w:r>
    </w:p>
    <w:p w14:paraId="022264F7" w14:textId="77777777" w:rsidR="004A72A7" w:rsidRPr="000D0D01" w:rsidRDefault="004A72A7" w:rsidP="004A72A7">
      <w:pPr>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DoF. 2013. </w:t>
      </w:r>
      <w:r w:rsidRPr="000D0D01">
        <w:rPr>
          <w:rFonts w:ascii="Times New Roman" w:hAnsi="Times New Roman" w:cs="Times New Roman"/>
          <w:i/>
          <w:szCs w:val="22"/>
        </w:rPr>
        <w:t>Indian Fertilizer Scenario 2013</w:t>
      </w:r>
      <w:r w:rsidRPr="000D0D01">
        <w:rPr>
          <w:rFonts w:ascii="Times New Roman" w:hAnsi="Times New Roman" w:cs="Times New Roman"/>
          <w:szCs w:val="22"/>
        </w:rPr>
        <w:t xml:space="preserve">. Department 0f Fertilizers, Ministry of Chemicals and Fertilizers. Government of India. </w:t>
      </w:r>
    </w:p>
    <w:p w14:paraId="7C87F8FF"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color w:val="5B9BD5" w:themeColor="accent1"/>
          <w:szCs w:val="22"/>
        </w:rPr>
      </w:pPr>
      <w:r w:rsidRPr="000D0D01">
        <w:rPr>
          <w:rFonts w:ascii="Times New Roman" w:hAnsi="Times New Roman" w:cs="Times New Roman"/>
          <w:szCs w:val="22"/>
        </w:rPr>
        <w:t xml:space="preserve">DSH. 2011. District Statistical Handbook as per Census 2011. Department of Planning &amp; Statistics, Government of West Bengal, Kolkata (Available at: </w:t>
      </w:r>
      <w:hyperlink r:id="rId22" w:history="1">
        <w:r w:rsidRPr="000D0D01">
          <w:rPr>
            <w:rStyle w:val="Hyperlink"/>
            <w:rFonts w:ascii="Times New Roman" w:hAnsi="Times New Roman" w:cs="Times New Roman"/>
            <w:color w:val="auto"/>
            <w:szCs w:val="22"/>
          </w:rPr>
          <w:t>https://www.wbpspm.gov.in/publications/District%20-Statistical%20Handbook</w:t>
        </w:r>
      </w:hyperlink>
      <w:r w:rsidRPr="000D0D01">
        <w:rPr>
          <w:rFonts w:ascii="Times New Roman" w:hAnsi="Times New Roman" w:cs="Times New Roman"/>
          <w:szCs w:val="22"/>
        </w:rPr>
        <w:t xml:space="preserve"> last accessed on 4</w:t>
      </w:r>
      <w:r w:rsidRPr="000D0D01">
        <w:rPr>
          <w:rFonts w:ascii="Times New Roman" w:hAnsi="Times New Roman" w:cs="Times New Roman"/>
          <w:szCs w:val="22"/>
          <w:vertAlign w:val="superscript"/>
        </w:rPr>
        <w:t>th</w:t>
      </w:r>
      <w:r w:rsidRPr="000D0D01">
        <w:rPr>
          <w:rFonts w:ascii="Times New Roman" w:hAnsi="Times New Roman" w:cs="Times New Roman"/>
          <w:szCs w:val="22"/>
        </w:rPr>
        <w:t xml:space="preserve"> December 2018).</w:t>
      </w:r>
    </w:p>
    <w:p w14:paraId="0768415C"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EMIS. 2015. Environmental Management Information System Database, West Bengal Pollution Control Board (WBPCB), Kolkata, Available at: </w:t>
      </w:r>
      <w:hyperlink r:id="rId23" w:history="1">
        <w:r w:rsidRPr="000D0D01">
          <w:rPr>
            <w:rStyle w:val="Hyperlink"/>
            <w:rFonts w:ascii="Times New Roman" w:hAnsi="Times New Roman" w:cs="Times New Roman"/>
            <w:szCs w:val="22"/>
          </w:rPr>
          <w:t>http://emis.wbpcb.gov.in</w:t>
        </w:r>
      </w:hyperlink>
      <w:r w:rsidRPr="000D0D01">
        <w:rPr>
          <w:rFonts w:ascii="Times New Roman" w:hAnsi="Times New Roman" w:cs="Times New Roman"/>
          <w:szCs w:val="22"/>
        </w:rPr>
        <w:t xml:space="preserve"> </w:t>
      </w:r>
    </w:p>
    <w:p w14:paraId="45A00E0F" w14:textId="77777777" w:rsidR="004A72A7" w:rsidRPr="000D0D01" w:rsidRDefault="004A72A7" w:rsidP="004A72A7">
      <w:pPr>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Ghose, M.K., Paul, R. &amp; Banerjee, R.K. 2005. Assessment of the Status of Urban Air pollution And Its Impact on Human Health in the City of Kolkata. </w:t>
      </w:r>
      <w:r w:rsidRPr="000D0D01">
        <w:rPr>
          <w:rFonts w:ascii="Times New Roman" w:hAnsi="Times New Roman" w:cs="Times New Roman"/>
          <w:i/>
          <w:szCs w:val="22"/>
        </w:rPr>
        <w:t>Environmental Monitoring and Assessment</w:t>
      </w:r>
      <w:r w:rsidRPr="000D0D01">
        <w:rPr>
          <w:rFonts w:ascii="Times New Roman" w:hAnsi="Times New Roman" w:cs="Times New Roman"/>
          <w:szCs w:val="22"/>
        </w:rPr>
        <w:t xml:space="preserve">, 108 (1-3), pp. 151-137. </w:t>
      </w:r>
    </w:p>
    <w:p w14:paraId="284832A9" w14:textId="77777777" w:rsidR="004A72A7" w:rsidRPr="000D0D01" w:rsidRDefault="004A72A7" w:rsidP="004A72A7">
      <w:pPr>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Ghosh S., Sing P., and Kumari M. 2017. Assessment of urban sprawl and land use change dynamics, using remote sensing technique. A study of kolkata and surrounding periphery, WB, India, </w:t>
      </w:r>
      <w:r w:rsidRPr="000D0D01">
        <w:rPr>
          <w:rFonts w:ascii="Times New Roman" w:hAnsi="Times New Roman" w:cs="Times New Roman"/>
          <w:szCs w:val="22"/>
        </w:rPr>
        <w:lastRenderedPageBreak/>
        <w:t xml:space="preserve">Conference paper. (url.: </w:t>
      </w:r>
      <w:hyperlink r:id="rId24" w:history="1">
        <w:r w:rsidRPr="000D0D01">
          <w:rPr>
            <w:rStyle w:val="Hyperlink"/>
            <w:rFonts w:ascii="Times New Roman" w:hAnsi="Times New Roman" w:cs="Times New Roman"/>
            <w:color w:val="auto"/>
            <w:szCs w:val="22"/>
          </w:rPr>
          <w:t>https://www.researchgate.net/publication/321125830</w:t>
        </w:r>
      </w:hyperlink>
      <w:r w:rsidRPr="000D0D01">
        <w:rPr>
          <w:rFonts w:ascii="Times New Roman" w:hAnsi="Times New Roman" w:cs="Times New Roman"/>
          <w:szCs w:val="22"/>
        </w:rPr>
        <w:t>: last accessed on 21/10/2019)</w:t>
      </w:r>
    </w:p>
    <w:p w14:paraId="74CC55BB"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GoI. 2011. Office of Registrar General and Census Commissioner, Government of India (GoI), New Delhi (Available at: http://www.censusindia.gov.in/2011census accessed on 27th April 2018).</w:t>
      </w:r>
    </w:p>
    <w:p w14:paraId="5E01ED0E"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GoWB. 2015</w:t>
      </w:r>
      <w:r w:rsidRPr="000D0D01">
        <w:rPr>
          <w:rFonts w:ascii="Times New Roman" w:hAnsi="Times New Roman" w:cs="Times New Roman"/>
          <w:i/>
          <w:iCs/>
          <w:szCs w:val="22"/>
        </w:rPr>
        <w:t>. State Domestic Product and District Domestic Product of West Bengal 2013-14</w:t>
      </w:r>
      <w:r w:rsidRPr="000D0D01">
        <w:rPr>
          <w:rFonts w:ascii="Times New Roman" w:hAnsi="Times New Roman" w:cs="Times New Roman"/>
          <w:szCs w:val="22"/>
        </w:rPr>
        <w:t>. Bureau of Applied Economics and Statistics, Department of Statistics and Programme Implementation, Government of West Bengal, Kolkata.</w:t>
      </w:r>
    </w:p>
    <w:p w14:paraId="0AF01153"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color w:val="000000" w:themeColor="text1"/>
          <w:szCs w:val="22"/>
        </w:rPr>
      </w:pPr>
      <w:r w:rsidRPr="000D0D01">
        <w:rPr>
          <w:rFonts w:ascii="Times New Roman" w:hAnsi="Times New Roman" w:cs="Times New Roman"/>
          <w:color w:val="000000" w:themeColor="text1"/>
          <w:szCs w:val="22"/>
          <w:lang w:val="de-AT"/>
        </w:rPr>
        <w:t xml:space="preserve">Gupta A. K., Karar K., Srivastava A. 2007. </w:t>
      </w:r>
      <w:r w:rsidRPr="000D0D01">
        <w:rPr>
          <w:rFonts w:ascii="Times New Roman" w:hAnsi="Times New Roman" w:cs="Times New Roman"/>
          <w:color w:val="000000" w:themeColor="text1"/>
          <w:szCs w:val="22"/>
        </w:rPr>
        <w:t xml:space="preserve">Chemical mass balance source apportionment of PM10 and TSP in residential and industrial sites of an urban region of Kolkata, India. </w:t>
      </w:r>
      <w:r w:rsidRPr="000D0D01">
        <w:rPr>
          <w:rFonts w:ascii="Times New Roman" w:hAnsi="Times New Roman" w:cs="Times New Roman"/>
          <w:i/>
          <w:iCs/>
          <w:color w:val="000000" w:themeColor="text1"/>
          <w:szCs w:val="22"/>
        </w:rPr>
        <w:t>Journal of Hazardous Materials</w:t>
      </w:r>
      <w:r w:rsidRPr="000D0D01">
        <w:rPr>
          <w:rFonts w:ascii="Times New Roman" w:hAnsi="Times New Roman" w:cs="Times New Roman"/>
          <w:color w:val="000000" w:themeColor="text1"/>
          <w:szCs w:val="22"/>
        </w:rPr>
        <w:t>, 142 (1–2), pp. 279-287.</w:t>
      </w:r>
    </w:p>
    <w:p w14:paraId="36D54B75" w14:textId="77777777" w:rsidR="004A72A7" w:rsidRPr="000D0D01" w:rsidRDefault="004A72A7" w:rsidP="004A72A7">
      <w:pPr>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Gurjar, B.R., Jain, A., Sharma, A., Agarwal, A., Gupta, P., Nagpure, A.S., Lelieveld, J. 2010. Human health risks in megacities due to air pollution. </w:t>
      </w:r>
      <w:r w:rsidRPr="000D0D01">
        <w:rPr>
          <w:rFonts w:ascii="Times New Roman" w:hAnsi="Times New Roman" w:cs="Times New Roman"/>
          <w:i/>
          <w:szCs w:val="22"/>
        </w:rPr>
        <w:t>Atmospheric Environment</w:t>
      </w:r>
      <w:r w:rsidRPr="000D0D01">
        <w:rPr>
          <w:rFonts w:ascii="Times New Roman" w:hAnsi="Times New Roman" w:cs="Times New Roman"/>
          <w:szCs w:val="22"/>
        </w:rPr>
        <w:t>, 44 (36), pp. 4606-4613.</w:t>
      </w:r>
    </w:p>
    <w:p w14:paraId="2FBCAB16"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Guttikunda S.K., Carmichael G.R., Calori G., Eck C., Wood J.H. 2003. The contribution of megacities to regional sulfur pollution in Asia. </w:t>
      </w:r>
      <w:r w:rsidRPr="000D0D01">
        <w:rPr>
          <w:rFonts w:ascii="Times New Roman" w:hAnsi="Times New Roman" w:cs="Times New Roman"/>
          <w:i/>
          <w:szCs w:val="22"/>
        </w:rPr>
        <w:t>Atmospheric Environment,</w:t>
      </w:r>
      <w:r w:rsidRPr="000D0D01">
        <w:rPr>
          <w:rFonts w:ascii="Times New Roman" w:hAnsi="Times New Roman" w:cs="Times New Roman"/>
          <w:szCs w:val="22"/>
        </w:rPr>
        <w:t xml:space="preserve"> 37, pp. 11–22. </w:t>
      </w:r>
    </w:p>
    <w:p w14:paraId="73FC2DD3"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lang w:val="en-US"/>
        </w:rPr>
        <w:t xml:space="preserve">Höglund-Isaksson, L., Winiwarter, W., Purohit, P., Rafaj, P., Schöpp, W., Klimont, Z. 2012. </w:t>
      </w:r>
      <w:r w:rsidRPr="000D0D01">
        <w:rPr>
          <w:rFonts w:ascii="Times New Roman" w:hAnsi="Times New Roman" w:cs="Times New Roman"/>
          <w:szCs w:val="22"/>
        </w:rPr>
        <w:t>EU low carbon roadmap 2050: Potentials and costs for mitigation of non-CO</w:t>
      </w:r>
      <w:r w:rsidRPr="000D0D01">
        <w:rPr>
          <w:rFonts w:ascii="Times New Roman" w:hAnsi="Times New Roman" w:cs="Times New Roman"/>
          <w:szCs w:val="22"/>
          <w:vertAlign w:val="subscript"/>
        </w:rPr>
        <w:t>2</w:t>
      </w:r>
      <w:r w:rsidRPr="000D0D01">
        <w:rPr>
          <w:rFonts w:ascii="Times New Roman" w:hAnsi="Times New Roman" w:cs="Times New Roman"/>
          <w:szCs w:val="22"/>
        </w:rPr>
        <w:t xml:space="preserve"> greenhouse gas emissions. </w:t>
      </w:r>
      <w:r w:rsidRPr="000D0D01">
        <w:rPr>
          <w:rFonts w:ascii="Times New Roman" w:hAnsi="Times New Roman" w:cs="Times New Roman"/>
          <w:i/>
          <w:iCs/>
          <w:szCs w:val="22"/>
        </w:rPr>
        <w:t>Energy Strategy Reviews</w:t>
      </w:r>
      <w:r w:rsidRPr="000D0D01">
        <w:rPr>
          <w:rFonts w:ascii="Times New Roman" w:hAnsi="Times New Roman" w:cs="Times New Roman"/>
          <w:szCs w:val="22"/>
        </w:rPr>
        <w:t>, 1 (2), pp. 97-108.</w:t>
      </w:r>
    </w:p>
    <w:p w14:paraId="2C76F8C1" w14:textId="77777777" w:rsidR="004A72A7" w:rsidRPr="000D0D01" w:rsidRDefault="004A72A7" w:rsidP="004A72A7">
      <w:pPr>
        <w:pStyle w:val="Bibliography"/>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IOC. 2015. “Indian Oil Corporation.” https://www.iocl.com/.</w:t>
      </w:r>
    </w:p>
    <w:p w14:paraId="6B31DCC0"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color w:val="5B9BD5" w:themeColor="accent1"/>
          <w:szCs w:val="22"/>
        </w:rPr>
      </w:pPr>
      <w:r w:rsidRPr="000D0D01">
        <w:rPr>
          <w:rFonts w:ascii="Times New Roman" w:hAnsi="Times New Roman" w:cs="Times New Roman"/>
          <w:szCs w:val="22"/>
        </w:rPr>
        <w:t>IOCL. 2015. Fuel Sale Statistics for 2010 and 2015 in Kolkata Metropolitan City. Indian Oil Corporation Limited (IOCL), Coordinator of oil marketing companies in eastern India. Official communications.</w:t>
      </w:r>
    </w:p>
    <w:p w14:paraId="72EEAD61" w14:textId="77777777" w:rsidR="004A72A7" w:rsidRPr="000D0D01" w:rsidRDefault="004A72A7" w:rsidP="004A72A7">
      <w:pPr>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lang w:val="en-US" w:bidi="ar-SA"/>
        </w:rPr>
        <w:t>IPCC. 2006. IPCC Guidelines for National Greenhouse Gas Inventories. IGES, Japan: Intergovernmental Panel on Climate Change. http://www.ipcc-nggip.iges.or.jp/public/2006gl/index.htm.</w:t>
      </w:r>
    </w:p>
    <w:p w14:paraId="497E575A"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Klimont, Z., Cofala, J., Bertok, I., Amann, M., Heyes, C., Gyarfas, F. 2002 </w:t>
      </w:r>
      <w:r w:rsidRPr="000D0D01">
        <w:rPr>
          <w:rFonts w:ascii="Times New Roman" w:hAnsi="Times New Roman" w:cs="Times New Roman"/>
          <w:i/>
          <w:iCs/>
          <w:szCs w:val="22"/>
        </w:rPr>
        <w:t>Modelling Particulate Emissions in Europe: A Framework to Estimate Reduction Potential and Control Costs</w:t>
      </w:r>
      <w:r w:rsidRPr="000D0D01">
        <w:rPr>
          <w:rFonts w:ascii="Times New Roman" w:hAnsi="Times New Roman" w:cs="Times New Roman"/>
          <w:szCs w:val="22"/>
        </w:rPr>
        <w:t>. International Institute for Applied Systems Analysis (IIASA), Laxenburg, Austria.</w:t>
      </w:r>
    </w:p>
    <w:p w14:paraId="0EE9EDF1"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KMC. 2018. Sanction granted by KMC in residential/commercial sector during 2010-2015. Official communication.</w:t>
      </w:r>
    </w:p>
    <w:p w14:paraId="3F59ECA6"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KMDA. 2005. An overview of Ganga Action Plan Works in West Bengal (Series II) - Performance evaluation of Electric Crematoria. Kolkata Metropolitan Development Authority (KMDA), Kolkata.</w:t>
      </w:r>
    </w:p>
    <w:p w14:paraId="77D87BAF"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KTP. 2010. Video footage of major traffic crossing of Kolkata of 2010 obtained from Kolkata Traffic Police (KTP), Kolkata (Official communication).</w:t>
      </w:r>
    </w:p>
    <w:p w14:paraId="470DF18B"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Lelieveld, J., Evans, J.S., Fnais, M., Giannadaki, D., Pozzer, A. 2015. The contribution of outdoor air pollution sources to premature mortality on a global scale. </w:t>
      </w:r>
      <w:r w:rsidRPr="000D0D01">
        <w:rPr>
          <w:rFonts w:ascii="Times New Roman" w:hAnsi="Times New Roman" w:cs="Times New Roman"/>
          <w:i/>
          <w:iCs/>
          <w:szCs w:val="22"/>
        </w:rPr>
        <w:t>Nature</w:t>
      </w:r>
      <w:r w:rsidRPr="000D0D01">
        <w:rPr>
          <w:rFonts w:ascii="Times New Roman" w:hAnsi="Times New Roman" w:cs="Times New Roman"/>
          <w:szCs w:val="22"/>
        </w:rPr>
        <w:t>, 525 (7569), pp. 367-371.</w:t>
      </w:r>
    </w:p>
    <w:p w14:paraId="7CF83CD5"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MoEFCC. 2015. </w:t>
      </w:r>
      <w:r w:rsidRPr="000D0D01">
        <w:rPr>
          <w:rFonts w:ascii="Times New Roman" w:hAnsi="Times New Roman" w:cs="Times New Roman"/>
          <w:i/>
          <w:iCs/>
          <w:szCs w:val="22"/>
        </w:rPr>
        <w:t>Environment (Protection) Amendment Rules, 2015</w:t>
      </w:r>
      <w:r w:rsidRPr="000D0D01">
        <w:rPr>
          <w:rFonts w:ascii="Times New Roman" w:hAnsi="Times New Roman" w:cs="Times New Roman"/>
          <w:szCs w:val="22"/>
        </w:rPr>
        <w:t>. Ministry of Environment, Forest and Climate Change (MoEFCC), Government of India, New Delhi.</w:t>
      </w:r>
    </w:p>
    <w:p w14:paraId="5A42A154"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color w:val="5B9BD5" w:themeColor="accent1"/>
          <w:szCs w:val="22"/>
        </w:rPr>
      </w:pPr>
      <w:r w:rsidRPr="000D0D01">
        <w:rPr>
          <w:rFonts w:ascii="Times New Roman" w:hAnsi="Times New Roman" w:cs="Times New Roman"/>
          <w:szCs w:val="22"/>
        </w:rPr>
        <w:t xml:space="preserve">MoEFCC. 2016. </w:t>
      </w:r>
      <w:r w:rsidRPr="000D0D01">
        <w:rPr>
          <w:rFonts w:ascii="Times New Roman" w:hAnsi="Times New Roman" w:cs="Times New Roman"/>
          <w:i/>
          <w:iCs/>
          <w:szCs w:val="22"/>
        </w:rPr>
        <w:t>The Gazette of India: Extraordinary – S.O. 1357(E)</w:t>
      </w:r>
      <w:r w:rsidRPr="000D0D01">
        <w:rPr>
          <w:rFonts w:ascii="Times New Roman" w:hAnsi="Times New Roman" w:cs="Times New Roman"/>
          <w:szCs w:val="22"/>
        </w:rPr>
        <w:t>. Ministry of Environment, Forest and Climate Change (MoEFCC), Government of India, New Delhi.</w:t>
      </w:r>
    </w:p>
    <w:p w14:paraId="4933E75C"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color w:val="5B9BD5" w:themeColor="accent1"/>
          <w:szCs w:val="22"/>
        </w:rPr>
      </w:pPr>
      <w:r w:rsidRPr="000D0D01">
        <w:rPr>
          <w:rFonts w:ascii="Times New Roman" w:hAnsi="Times New Roman" w:cs="Times New Roman"/>
          <w:szCs w:val="22"/>
        </w:rPr>
        <w:lastRenderedPageBreak/>
        <w:t xml:space="preserve">MoRTH. 2016. </w:t>
      </w:r>
      <w:r w:rsidRPr="000D0D01">
        <w:rPr>
          <w:rFonts w:ascii="Times New Roman" w:hAnsi="Times New Roman" w:cs="Times New Roman"/>
          <w:i/>
          <w:iCs/>
          <w:szCs w:val="22"/>
        </w:rPr>
        <w:t>The Gazette of India: Extraordinary - G.S.R. 187(E)</w:t>
      </w:r>
      <w:r w:rsidRPr="000D0D01">
        <w:rPr>
          <w:rFonts w:ascii="Times New Roman" w:hAnsi="Times New Roman" w:cs="Times New Roman"/>
          <w:szCs w:val="22"/>
        </w:rPr>
        <w:t>. Ministry of Road Transport and Highways (MoRTH), Government of India, New Delhi.</w:t>
      </w:r>
    </w:p>
    <w:p w14:paraId="673F9813" w14:textId="77777777" w:rsidR="004A72A7" w:rsidRPr="000D0D01" w:rsidRDefault="004A72A7" w:rsidP="004A72A7">
      <w:pPr>
        <w:pStyle w:val="Bibliography"/>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NEERI. 2008. Air Quality Monitoring, Emission Inventory &amp; Source Apportionment Studies for Delhi. Nagpur, India: National Environmental Engineering Research Institute (NEERI). http://cpcb.nic.in/Delhi.pdf.</w:t>
      </w:r>
    </w:p>
    <w:p w14:paraId="0DBA0113"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lang w:val="de-AT"/>
        </w:rPr>
        <w:t xml:space="preserve">Purohit, P., M. Amann, R. Mathur, I. Gupta, S. Marwah, V. Verma, I. Bertok, et al. 2010. </w:t>
      </w:r>
      <w:r w:rsidRPr="000D0D01">
        <w:rPr>
          <w:rFonts w:ascii="Times New Roman" w:hAnsi="Times New Roman" w:cs="Times New Roman"/>
          <w:szCs w:val="22"/>
        </w:rPr>
        <w:t>GAINS-Asia. Scenarios for Cost-Effective Control of Air Pollution and Greenhouse Gases in India. International Institute for Applied Systems Analysis (IIASA), Laxenburg, Austria.</w:t>
      </w:r>
    </w:p>
    <w:p w14:paraId="33C7E628" w14:textId="77777777" w:rsidR="004A72A7" w:rsidRPr="000D0D01" w:rsidRDefault="004A72A7" w:rsidP="004A72A7">
      <w:pPr>
        <w:pStyle w:val="Bibliography"/>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Reddy, M.S., and C. Venkataraman. 2002a. Inventory of Aerosol and Sulphur Dioxide Emissions from India: I E Fossil Fuel Combustion. </w:t>
      </w:r>
      <w:r w:rsidRPr="000D0D01">
        <w:rPr>
          <w:rFonts w:ascii="Times New Roman" w:hAnsi="Times New Roman" w:cs="Times New Roman"/>
          <w:i/>
          <w:iCs/>
          <w:szCs w:val="22"/>
        </w:rPr>
        <w:t>Atmospheric Environment</w:t>
      </w:r>
      <w:r w:rsidRPr="000D0D01">
        <w:rPr>
          <w:rFonts w:ascii="Times New Roman" w:hAnsi="Times New Roman" w:cs="Times New Roman"/>
          <w:szCs w:val="22"/>
        </w:rPr>
        <w:t xml:space="preserve"> 36 (4): 677–97. doi:http://dx.doi.org/10.1016/S1352-2310(01)00463-0.</w:t>
      </w:r>
    </w:p>
    <w:p w14:paraId="16D56579" w14:textId="77777777" w:rsidR="004A72A7" w:rsidRPr="000D0D01" w:rsidRDefault="004A72A7" w:rsidP="004A72A7">
      <w:pPr>
        <w:pStyle w:val="Bibliography"/>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Reddy, M.S., and C. Venkataraman. 2002b. Inventory of Aerosol and Sulphur Dioxide Emissions from India. Part II - Biomass Combustion. </w:t>
      </w:r>
      <w:r w:rsidRPr="000D0D01">
        <w:rPr>
          <w:rFonts w:ascii="Times New Roman" w:hAnsi="Times New Roman" w:cs="Times New Roman"/>
          <w:i/>
          <w:iCs/>
          <w:szCs w:val="22"/>
        </w:rPr>
        <w:t>Atmospheric Environment</w:t>
      </w:r>
      <w:r w:rsidRPr="000D0D01">
        <w:rPr>
          <w:rFonts w:ascii="Times New Roman" w:hAnsi="Times New Roman" w:cs="Times New Roman"/>
          <w:szCs w:val="22"/>
        </w:rPr>
        <w:t xml:space="preserve"> 36 (4): 699–712. doi:http://dx.doi.org/10.1016/S1352-2310(01)00464-2.</w:t>
      </w:r>
    </w:p>
    <w:p w14:paraId="13A29DBD"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RTO. 2015. Regional Transport Offices (RTOs) of KMC. Kolkata (Official Communication).</w:t>
      </w:r>
    </w:p>
    <w:p w14:paraId="608A19C6"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Sahu, S.K., Beig, G., Sharma, C. 2008. Decadal growth of black carbon emissions in India. </w:t>
      </w:r>
      <w:r w:rsidRPr="000D0D01">
        <w:rPr>
          <w:rFonts w:ascii="Times New Roman" w:hAnsi="Times New Roman" w:cs="Times New Roman"/>
          <w:i/>
          <w:szCs w:val="22"/>
        </w:rPr>
        <w:t>Geophysical Research Letters</w:t>
      </w:r>
      <w:r w:rsidRPr="000D0D01">
        <w:rPr>
          <w:rFonts w:ascii="Times New Roman" w:hAnsi="Times New Roman" w:cs="Times New Roman"/>
          <w:szCs w:val="22"/>
        </w:rPr>
        <w:t>, 35,</w:t>
      </w:r>
    </w:p>
    <w:p w14:paraId="2D0BB106" w14:textId="77777777" w:rsidR="004A72A7" w:rsidRPr="000D0D01" w:rsidRDefault="004A72A7" w:rsidP="004A72A7">
      <w:pPr>
        <w:spacing w:after="120" w:line="276" w:lineRule="auto"/>
        <w:ind w:left="284" w:hanging="284"/>
        <w:jc w:val="both"/>
        <w:rPr>
          <w:rFonts w:ascii="Times New Roman" w:hAnsi="Times New Roman" w:cs="Times New Roman"/>
          <w:color w:val="5B9BD5" w:themeColor="accent1"/>
          <w:szCs w:val="22"/>
        </w:rPr>
      </w:pPr>
      <w:r w:rsidRPr="000D0D01">
        <w:rPr>
          <w:rFonts w:ascii="Times New Roman" w:hAnsi="Times New Roman" w:cs="Times New Roman"/>
          <w:szCs w:val="22"/>
        </w:rPr>
        <w:t xml:space="preserve">SAWB. 2015. </w:t>
      </w:r>
      <w:r w:rsidRPr="000D0D01">
        <w:rPr>
          <w:rFonts w:ascii="Times New Roman" w:hAnsi="Times New Roman" w:cs="Times New Roman"/>
          <w:i/>
          <w:szCs w:val="22"/>
        </w:rPr>
        <w:t>Statistical Abstract West Bengal</w:t>
      </w:r>
      <w:r w:rsidRPr="000D0D01">
        <w:rPr>
          <w:rFonts w:ascii="Times New Roman" w:hAnsi="Times New Roman" w:cs="Times New Roman"/>
          <w:szCs w:val="22"/>
        </w:rPr>
        <w:t>. Bureau of Applied Economics And Statistics, Government of West Bengal. 2015</w:t>
      </w:r>
    </w:p>
    <w:p w14:paraId="349302D4" w14:textId="77777777" w:rsidR="004A72A7" w:rsidRPr="000D0D01" w:rsidRDefault="004A72A7" w:rsidP="004A72A7">
      <w:pPr>
        <w:spacing w:after="120" w:line="276" w:lineRule="auto"/>
        <w:ind w:left="284" w:hanging="284"/>
        <w:jc w:val="both"/>
        <w:rPr>
          <w:rFonts w:ascii="Times New Roman" w:hAnsi="Times New Roman" w:cs="Times New Roman"/>
          <w:szCs w:val="22"/>
          <w:lang w:bidi="ar-SA"/>
        </w:rPr>
      </w:pPr>
      <w:r w:rsidRPr="000D0D01">
        <w:rPr>
          <w:rFonts w:ascii="Times New Roman" w:hAnsi="Times New Roman" w:cs="Times New Roman"/>
          <w:szCs w:val="22"/>
          <w:lang w:val="en-US" w:bidi="ar-SA"/>
        </w:rPr>
        <w:t>Shah, J.J., and T. Nagpal. 1997. Urban Air Quality Management Strategy in Asia: Greater Mumbai Report. World Bank Technical Paper No. 381. Washington D.C., U.S.A.: The International Bank for Reconstruction and Development (IBRD) and The World Bank.</w:t>
      </w:r>
    </w:p>
    <w:p w14:paraId="06E05C15" w14:textId="77777777" w:rsidR="004A72A7" w:rsidRPr="000D0D01" w:rsidRDefault="004A72A7" w:rsidP="004A72A7">
      <w:pPr>
        <w:spacing w:after="120" w:line="276" w:lineRule="auto"/>
        <w:ind w:left="284" w:hanging="284"/>
        <w:jc w:val="both"/>
        <w:rPr>
          <w:rStyle w:val="Strong"/>
          <w:rFonts w:ascii="Times New Roman" w:hAnsi="Times New Roman" w:cs="Times New Roman"/>
          <w:b w:val="0"/>
          <w:bCs w:val="0"/>
          <w:szCs w:val="22"/>
        </w:rPr>
      </w:pPr>
      <w:r w:rsidRPr="000D0D01">
        <w:rPr>
          <w:rStyle w:val="Strong"/>
          <w:rFonts w:ascii="Times New Roman" w:hAnsi="Times New Roman" w:cs="Times New Roman"/>
          <w:b w:val="0"/>
          <w:szCs w:val="22"/>
        </w:rPr>
        <w:t xml:space="preserve">Sharma, C., Dasgupta, A., Mitra, A.P. 2002. Inventory of GHGs and other urban pollutants from transport sector in Delhi and Calcutta. </w:t>
      </w:r>
      <w:r w:rsidRPr="000D0D01">
        <w:rPr>
          <w:rStyle w:val="Strong"/>
          <w:rFonts w:ascii="Times New Roman" w:hAnsi="Times New Roman" w:cs="Times New Roman"/>
          <w:b w:val="0"/>
          <w:i/>
          <w:szCs w:val="22"/>
        </w:rPr>
        <w:t>Proceedings of IGES/APN Mega-City Project</w:t>
      </w:r>
      <w:r w:rsidRPr="000D0D01">
        <w:rPr>
          <w:rStyle w:val="Strong"/>
          <w:rFonts w:ascii="Times New Roman" w:hAnsi="Times New Roman" w:cs="Times New Roman"/>
          <w:b w:val="0"/>
          <w:szCs w:val="22"/>
        </w:rPr>
        <w:t>,</w:t>
      </w:r>
      <w:r w:rsidRPr="000D0D01">
        <w:rPr>
          <w:rStyle w:val="Strong"/>
          <w:rFonts w:ascii="Times New Roman" w:hAnsi="Times New Roman" w:cs="Times New Roman"/>
          <w:b w:val="0"/>
          <w:i/>
          <w:szCs w:val="22"/>
        </w:rPr>
        <w:t xml:space="preserve"> </w:t>
      </w:r>
      <w:r w:rsidRPr="000D0D01">
        <w:rPr>
          <w:rStyle w:val="Strong"/>
          <w:rFonts w:ascii="Times New Roman" w:hAnsi="Times New Roman" w:cs="Times New Roman"/>
          <w:b w:val="0"/>
          <w:szCs w:val="22"/>
        </w:rPr>
        <w:t xml:space="preserve">Institute for Global Environmental Strategies. </w:t>
      </w:r>
    </w:p>
    <w:p w14:paraId="683935AB" w14:textId="77777777" w:rsidR="004A72A7" w:rsidRPr="000D0D01" w:rsidRDefault="004A72A7" w:rsidP="004A72A7">
      <w:pPr>
        <w:tabs>
          <w:tab w:val="left" w:pos="540"/>
        </w:tabs>
        <w:spacing w:after="120" w:line="276" w:lineRule="auto"/>
        <w:ind w:left="284" w:hanging="284"/>
        <w:jc w:val="both"/>
        <w:rPr>
          <w:rStyle w:val="Strong"/>
          <w:rFonts w:ascii="Times New Roman" w:eastAsiaTheme="majorEastAsia" w:hAnsi="Times New Roman" w:cs="Times New Roman"/>
          <w:b w:val="0"/>
          <w:bCs w:val="0"/>
          <w:szCs w:val="22"/>
        </w:rPr>
      </w:pPr>
      <w:r w:rsidRPr="000D0D01">
        <w:rPr>
          <w:rStyle w:val="Strong"/>
          <w:rFonts w:ascii="Times New Roman" w:eastAsiaTheme="majorEastAsia" w:hAnsi="Times New Roman" w:cs="Times New Roman"/>
          <w:b w:val="0"/>
          <w:szCs w:val="22"/>
        </w:rPr>
        <w:t xml:space="preserve">Srivastava, A., Majumdar, D., 2010. Emission inventory of evaporative emissions of VOCs in four metro cities in India. </w:t>
      </w:r>
      <w:r w:rsidRPr="000D0D01">
        <w:rPr>
          <w:rStyle w:val="Strong"/>
          <w:rFonts w:ascii="Times New Roman" w:eastAsiaTheme="majorEastAsia" w:hAnsi="Times New Roman" w:cs="Times New Roman"/>
          <w:b w:val="0"/>
          <w:i/>
          <w:szCs w:val="22"/>
        </w:rPr>
        <w:t>Environmental Monitoring and Assessment</w:t>
      </w:r>
      <w:r w:rsidRPr="000D0D01">
        <w:rPr>
          <w:rStyle w:val="Strong"/>
          <w:rFonts w:ascii="Times New Roman" w:eastAsiaTheme="majorEastAsia" w:hAnsi="Times New Roman" w:cs="Times New Roman"/>
          <w:b w:val="0"/>
          <w:szCs w:val="22"/>
        </w:rPr>
        <w:t>, 160, pp. 315–322.</w:t>
      </w:r>
    </w:p>
    <w:p w14:paraId="75CCC91E"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UNEP. 1999. Environmental Impacts of Trade Liberalization and Policies for Sustainable Management of Natural Resources: A Case Study on India’s Automobile Sector. New York, USA: United Nations Environment Programme (UNEP).</w:t>
      </w:r>
    </w:p>
    <w:p w14:paraId="4C4C8899" w14:textId="77777777" w:rsidR="004A72A7" w:rsidRPr="000D0D01" w:rsidRDefault="004A72A7" w:rsidP="004A72A7">
      <w:pPr>
        <w:pStyle w:val="Bibliography"/>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UNEP. 2006. Thermal Equipment: Fuels and Combustion.” Nairobi, Kenya: United Nations Environment Programme (UNEP).</w:t>
      </w:r>
    </w:p>
    <w:p w14:paraId="2F21236F"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US EPA. 2000. Greenhouse Gases from Small-Scale Combustion Devices in Developing Countries: Phase II A: Household Stoves in India. USEPA/600/r-00/052. U.S. Environmental Protection Agency (US EPA), Washington D.C.</w:t>
      </w:r>
    </w:p>
    <w:p w14:paraId="2559289A"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US EPA. 2006. </w:t>
      </w:r>
      <w:r w:rsidRPr="000D0D01">
        <w:rPr>
          <w:rFonts w:ascii="Times New Roman" w:hAnsi="Times New Roman" w:cs="Times New Roman"/>
          <w:i/>
          <w:iCs/>
          <w:szCs w:val="22"/>
        </w:rPr>
        <w:t>Emission Factor Documentation for AP-42, Section 13.2.1</w:t>
      </w:r>
      <w:r w:rsidRPr="000D0D01">
        <w:rPr>
          <w:rFonts w:ascii="Times New Roman" w:hAnsi="Times New Roman" w:cs="Times New Roman"/>
          <w:szCs w:val="22"/>
        </w:rPr>
        <w:t>. Office of Air Quality Planning and Standards, United States Environmental Protection Agency (US EPA), Washington D.C.</w:t>
      </w:r>
    </w:p>
    <w:p w14:paraId="6877562A"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WBPCB 2019. Multiple orders issued by WBPCB to individual Bekeries Since 2012. available at url: http://web.wbpcb.gov.in/html/orderdirections. Last Accessed on 17/10/2019 </w:t>
      </w:r>
    </w:p>
    <w:p w14:paraId="45316844"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lastRenderedPageBreak/>
        <w:t xml:space="preserve">WBPCB. 2011. </w:t>
      </w:r>
      <w:r w:rsidRPr="000D0D01">
        <w:rPr>
          <w:rFonts w:ascii="Times New Roman" w:hAnsi="Times New Roman" w:cs="Times New Roman"/>
          <w:i/>
          <w:iCs/>
          <w:szCs w:val="22"/>
        </w:rPr>
        <w:t>Annual Report 2010-11.</w:t>
      </w:r>
      <w:r w:rsidRPr="000D0D01">
        <w:rPr>
          <w:rFonts w:ascii="Times New Roman" w:hAnsi="Times New Roman" w:cs="Times New Roman"/>
          <w:szCs w:val="22"/>
        </w:rPr>
        <w:t xml:space="preserve"> West Bengal Pollution Control Board (WBPCB), Kolkata.</w:t>
      </w:r>
    </w:p>
    <w:p w14:paraId="1379DED5"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WBPCB. 2015. </w:t>
      </w:r>
      <w:r w:rsidRPr="000D0D01">
        <w:rPr>
          <w:rFonts w:ascii="Times New Roman" w:hAnsi="Times New Roman" w:cs="Times New Roman"/>
          <w:i/>
          <w:iCs/>
          <w:szCs w:val="22"/>
        </w:rPr>
        <w:t>Final Report of the Expert Committee Constituted by the Hon’ble National Green Tribunal, Eastern Zone Branch</w:t>
      </w:r>
      <w:r w:rsidRPr="000D0D01">
        <w:rPr>
          <w:rFonts w:ascii="Times New Roman" w:hAnsi="Times New Roman" w:cs="Times New Roman"/>
          <w:szCs w:val="22"/>
        </w:rPr>
        <w:t>. West Bengal Pollution Control Board (WBPCB), Kolkata.</w:t>
      </w:r>
    </w:p>
    <w:p w14:paraId="45665AF5"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color w:val="5B9BD5" w:themeColor="accent1"/>
          <w:szCs w:val="22"/>
        </w:rPr>
      </w:pPr>
      <w:r w:rsidRPr="000D0D01">
        <w:rPr>
          <w:rFonts w:ascii="Times New Roman" w:hAnsi="Times New Roman" w:cs="Times New Roman"/>
          <w:szCs w:val="22"/>
        </w:rPr>
        <w:t xml:space="preserve">WBPCB. 2016. </w:t>
      </w:r>
      <w:r w:rsidRPr="000D0D01">
        <w:rPr>
          <w:rFonts w:ascii="Times New Roman" w:hAnsi="Times New Roman" w:cs="Times New Roman"/>
          <w:i/>
          <w:iCs/>
          <w:szCs w:val="22"/>
        </w:rPr>
        <w:t>State of Environment Report 2016</w:t>
      </w:r>
      <w:r w:rsidRPr="000D0D01">
        <w:rPr>
          <w:rFonts w:ascii="Times New Roman" w:hAnsi="Times New Roman" w:cs="Times New Roman"/>
          <w:szCs w:val="22"/>
        </w:rPr>
        <w:t>. West Bengal Pollution Control Board (WBPCB), Kolkata, West Bengal.</w:t>
      </w:r>
    </w:p>
    <w:p w14:paraId="02BC5115"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WBSEDCL. 2011. </w:t>
      </w:r>
      <w:r w:rsidRPr="000D0D01">
        <w:rPr>
          <w:rFonts w:ascii="Times New Roman" w:hAnsi="Times New Roman" w:cs="Times New Roman"/>
          <w:i/>
          <w:iCs/>
          <w:szCs w:val="22"/>
        </w:rPr>
        <w:t>Tariff Petition Plan 2010-11</w:t>
      </w:r>
      <w:r w:rsidRPr="000D0D01">
        <w:rPr>
          <w:rFonts w:ascii="Times New Roman" w:hAnsi="Times New Roman" w:cs="Times New Roman"/>
          <w:szCs w:val="22"/>
        </w:rPr>
        <w:t xml:space="preserve">. West Bengal State Electricity Distribution Company Limited (WBSEDCL), Kolkata. </w:t>
      </w:r>
    </w:p>
    <w:p w14:paraId="0D7F5192"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WBSEDCL. 2016. </w:t>
      </w:r>
      <w:r w:rsidRPr="000D0D01">
        <w:rPr>
          <w:rFonts w:ascii="Times New Roman" w:hAnsi="Times New Roman" w:cs="Times New Roman"/>
          <w:i/>
          <w:iCs/>
          <w:szCs w:val="22"/>
        </w:rPr>
        <w:t>Annual Report 2015-16</w:t>
      </w:r>
      <w:r w:rsidRPr="000D0D01">
        <w:rPr>
          <w:rFonts w:ascii="Times New Roman" w:hAnsi="Times New Roman" w:cs="Times New Roman"/>
          <w:szCs w:val="22"/>
        </w:rPr>
        <w:t>. West Bengal State Electricity Distribution Company Limited (WBSEDCL), Kolkata.</w:t>
      </w:r>
    </w:p>
    <w:p w14:paraId="686917B2" w14:textId="77777777" w:rsidR="004A72A7" w:rsidRPr="000D0D01" w:rsidRDefault="004A72A7" w:rsidP="004A72A7">
      <w:pPr>
        <w:spacing w:after="120" w:line="276" w:lineRule="auto"/>
        <w:ind w:left="284" w:hanging="284"/>
        <w:jc w:val="both"/>
        <w:rPr>
          <w:rFonts w:ascii="Times New Roman" w:hAnsi="Times New Roman" w:cs="Times New Roman"/>
          <w:color w:val="000000" w:themeColor="text1"/>
          <w:szCs w:val="22"/>
        </w:rPr>
      </w:pPr>
      <w:r w:rsidRPr="000D0D01">
        <w:rPr>
          <w:rFonts w:ascii="Times New Roman" w:hAnsi="Times New Roman" w:cs="Times New Roman"/>
          <w:color w:val="000000" w:themeColor="text1"/>
          <w:szCs w:val="22"/>
        </w:rPr>
        <w:t xml:space="preserve">WHO. 2018. </w:t>
      </w:r>
      <w:r w:rsidRPr="000D0D01">
        <w:rPr>
          <w:rFonts w:ascii="Times New Roman" w:hAnsi="Times New Roman" w:cs="Times New Roman"/>
          <w:i/>
          <w:color w:val="000000" w:themeColor="text1"/>
          <w:szCs w:val="22"/>
        </w:rPr>
        <w:t>WHO Global Ambient Air Quality Database (update 2018)</w:t>
      </w:r>
      <w:r w:rsidRPr="000D0D01">
        <w:rPr>
          <w:rFonts w:ascii="Times New Roman" w:hAnsi="Times New Roman" w:cs="Times New Roman"/>
          <w:color w:val="000000" w:themeColor="text1"/>
          <w:szCs w:val="22"/>
        </w:rPr>
        <w:t>. World Health Organization (WHO), Geneva, Switzerland.</w:t>
      </w:r>
    </w:p>
    <w:p w14:paraId="22BEE759" w14:textId="77777777" w:rsidR="004A72A7" w:rsidRPr="000D0D01" w:rsidRDefault="004A72A7" w:rsidP="004A72A7">
      <w:pPr>
        <w:tabs>
          <w:tab w:val="left" w:pos="540"/>
        </w:tabs>
        <w:spacing w:after="120" w:line="276" w:lineRule="auto"/>
        <w:ind w:left="284" w:hanging="284"/>
        <w:jc w:val="both"/>
        <w:rPr>
          <w:rFonts w:ascii="Times New Roman" w:hAnsi="Times New Roman" w:cs="Times New Roman"/>
          <w:szCs w:val="22"/>
        </w:rPr>
      </w:pPr>
      <w:r w:rsidRPr="000D0D01">
        <w:rPr>
          <w:rFonts w:ascii="Times New Roman" w:hAnsi="Times New Roman" w:cs="Times New Roman"/>
          <w:szCs w:val="22"/>
        </w:rPr>
        <w:t xml:space="preserve">World Bank. 2008. </w:t>
      </w:r>
      <w:r w:rsidRPr="000D0D01">
        <w:rPr>
          <w:rFonts w:ascii="Times New Roman" w:hAnsi="Times New Roman" w:cs="Times New Roman"/>
          <w:i/>
          <w:iCs/>
          <w:szCs w:val="22"/>
        </w:rPr>
        <w:t>Residential Consumption of Electricity in India, Documentation of Data and Methodology</w:t>
      </w:r>
      <w:r w:rsidRPr="000D0D01">
        <w:rPr>
          <w:rFonts w:ascii="Times New Roman" w:hAnsi="Times New Roman" w:cs="Times New Roman"/>
          <w:szCs w:val="22"/>
        </w:rPr>
        <w:t xml:space="preserve">. World Bank, Washington, D.C. (Available at: </w:t>
      </w:r>
      <w:hyperlink r:id="rId25" w:history="1">
        <w:r w:rsidRPr="000D0D01">
          <w:rPr>
            <w:rStyle w:val="Hyperlink"/>
            <w:rFonts w:ascii="Times New Roman" w:hAnsi="Times New Roman" w:cs="Times New Roman"/>
            <w:color w:val="auto"/>
            <w:szCs w:val="22"/>
          </w:rPr>
          <w:t>http://moef.gov.in/wp-content/uploads/2018/04/Residentialpowerconsumption.pdf</w:t>
        </w:r>
      </w:hyperlink>
      <w:r w:rsidRPr="000D0D01">
        <w:rPr>
          <w:rFonts w:ascii="Times New Roman" w:hAnsi="Times New Roman" w:cs="Times New Roman"/>
          <w:szCs w:val="22"/>
        </w:rPr>
        <w:t xml:space="preserve"> last accessed on 12th May 2019). </w:t>
      </w:r>
    </w:p>
    <w:p w14:paraId="25A2F989" w14:textId="77777777" w:rsidR="00DA506F" w:rsidRPr="00AC18ED" w:rsidRDefault="00DA506F" w:rsidP="002A73C5">
      <w:pPr>
        <w:tabs>
          <w:tab w:val="left" w:pos="540"/>
        </w:tabs>
        <w:spacing w:after="120" w:line="276" w:lineRule="auto"/>
        <w:ind w:left="540" w:hanging="540"/>
        <w:jc w:val="both"/>
        <w:rPr>
          <w:rFonts w:ascii="Times New Roman" w:hAnsi="Times New Roman" w:cs="Times New Roman"/>
          <w:szCs w:val="22"/>
          <w:lang w:val="en-US"/>
        </w:rPr>
      </w:pPr>
    </w:p>
    <w:sectPr w:rsidR="00DA506F" w:rsidRPr="00AC18ED" w:rsidSect="00E17CD8">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D1155E" w16cid:durableId="215067BF"/>
  <w16cid:commentId w16cid:paraId="0DA3BAE5" w16cid:durableId="21506882"/>
  <w16cid:commentId w16cid:paraId="0A965376" w16cid:durableId="21515DF4"/>
  <w16cid:commentId w16cid:paraId="414748A8" w16cid:durableId="21516172"/>
  <w16cid:commentId w16cid:paraId="33F411B4" w16cid:durableId="215160B4"/>
  <w16cid:commentId w16cid:paraId="7EEC7896" w16cid:durableId="2151614C"/>
  <w16cid:commentId w16cid:paraId="3D7EE60E" w16cid:durableId="2151624A"/>
  <w16cid:commentId w16cid:paraId="7A1A8BF4" w16cid:durableId="21516319"/>
  <w16cid:commentId w16cid:paraId="4438EA74" w16cid:durableId="21516376"/>
  <w16cid:commentId w16cid:paraId="5B0C5027" w16cid:durableId="2151640A"/>
  <w16cid:commentId w16cid:paraId="116B47DE" w16cid:durableId="21516462"/>
  <w16cid:commentId w16cid:paraId="55BB35F1" w16cid:durableId="215165D5"/>
  <w16cid:commentId w16cid:paraId="1D565C90" w16cid:durableId="21516607"/>
  <w16cid:commentId w16cid:paraId="0C75BA05" w16cid:durableId="215174D8"/>
  <w16cid:commentId w16cid:paraId="23DFEDA0" w16cid:durableId="21517ECA"/>
  <w16cid:commentId w16cid:paraId="0DCEB72E" w16cid:durableId="2151809D"/>
  <w16cid:commentId w16cid:paraId="0B476E7A" w16cid:durableId="2151812E"/>
  <w16cid:commentId w16cid:paraId="4B2830B7" w16cid:durableId="215182CE"/>
  <w16cid:commentId w16cid:paraId="0CDB0AF2" w16cid:durableId="21518337"/>
  <w16cid:commentId w16cid:paraId="1CE85C0E" w16cid:durableId="215183D1"/>
  <w16cid:commentId w16cid:paraId="2B7AE034" w16cid:durableId="215184DE"/>
  <w16cid:commentId w16cid:paraId="3BA19E42" w16cid:durableId="21518551"/>
  <w16cid:commentId w16cid:paraId="50DF8775" w16cid:durableId="215171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27C4A" w14:textId="77777777" w:rsidR="001C1EBF" w:rsidRDefault="001C1EBF" w:rsidP="00BB2B98">
      <w:pPr>
        <w:spacing w:after="0" w:line="240" w:lineRule="auto"/>
      </w:pPr>
      <w:r>
        <w:separator/>
      </w:r>
    </w:p>
  </w:endnote>
  <w:endnote w:type="continuationSeparator" w:id="0">
    <w:p w14:paraId="06511199" w14:textId="77777777" w:rsidR="001C1EBF" w:rsidRDefault="001C1EBF" w:rsidP="00BB2B98">
      <w:pPr>
        <w:spacing w:after="0" w:line="240" w:lineRule="auto"/>
      </w:pPr>
      <w:r>
        <w:continuationSeparator/>
      </w:r>
    </w:p>
  </w:endnote>
  <w:endnote w:type="continuationNotice" w:id="1">
    <w:p w14:paraId="3DB57728" w14:textId="77777777" w:rsidR="001C1EBF" w:rsidRDefault="001C1E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67683"/>
      <w:docPartObj>
        <w:docPartGallery w:val="Page Numbers (Bottom of Page)"/>
        <w:docPartUnique/>
      </w:docPartObj>
    </w:sdtPr>
    <w:sdtEndPr>
      <w:rPr>
        <w:noProof/>
      </w:rPr>
    </w:sdtEndPr>
    <w:sdtContent>
      <w:p w14:paraId="496B986E" w14:textId="77777777" w:rsidR="00B66F7E" w:rsidRDefault="00B66F7E">
        <w:pPr>
          <w:jc w:val="center"/>
        </w:pPr>
        <w:r>
          <w:fldChar w:fldCharType="begin"/>
        </w:r>
        <w:r>
          <w:instrText xml:space="preserve"> PAGE   \* MERGEFORMAT </w:instrText>
        </w:r>
        <w:r>
          <w:fldChar w:fldCharType="separate"/>
        </w:r>
        <w:r w:rsidR="00CF7351">
          <w:rPr>
            <w:noProof/>
          </w:rPr>
          <w:t>23</w:t>
        </w:r>
        <w:r>
          <w:rPr>
            <w:noProof/>
          </w:rPr>
          <w:fldChar w:fldCharType="end"/>
        </w:r>
      </w:p>
    </w:sdtContent>
  </w:sdt>
  <w:p w14:paraId="3FC3A1E2" w14:textId="77777777" w:rsidR="00B66F7E" w:rsidRDefault="00B66F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FE2EA" w14:textId="77777777" w:rsidR="001C1EBF" w:rsidRDefault="001C1EBF" w:rsidP="00BB2B98">
      <w:pPr>
        <w:spacing w:after="0" w:line="240" w:lineRule="auto"/>
      </w:pPr>
      <w:r>
        <w:separator/>
      </w:r>
    </w:p>
  </w:footnote>
  <w:footnote w:type="continuationSeparator" w:id="0">
    <w:p w14:paraId="627042BE" w14:textId="77777777" w:rsidR="001C1EBF" w:rsidRDefault="001C1EBF" w:rsidP="00BB2B98">
      <w:pPr>
        <w:spacing w:after="0" w:line="240" w:lineRule="auto"/>
      </w:pPr>
      <w:r>
        <w:continuationSeparator/>
      </w:r>
    </w:p>
  </w:footnote>
  <w:footnote w:type="continuationNotice" w:id="1">
    <w:p w14:paraId="0759A802" w14:textId="77777777" w:rsidR="001C1EBF" w:rsidRDefault="001C1EBF">
      <w:pPr>
        <w:spacing w:after="0" w:line="240" w:lineRule="auto"/>
      </w:pPr>
    </w:p>
  </w:footnote>
  <w:footnote w:id="2">
    <w:p w14:paraId="13481960" w14:textId="77777777" w:rsidR="00B66F7E" w:rsidRPr="005F2114" w:rsidRDefault="00B66F7E" w:rsidP="00B554D5">
      <w:pPr>
        <w:pStyle w:val="FootnoteText"/>
        <w:jc w:val="both"/>
        <w:rPr>
          <w:rFonts w:ascii="Times New Roman" w:hAnsi="Times New Roman" w:cs="Times New Roman"/>
        </w:rPr>
      </w:pPr>
      <w:r w:rsidRPr="005F2114">
        <w:rPr>
          <w:rFonts w:ascii="Times New Roman" w:hAnsi="Times New Roman" w:cs="Times New Roman"/>
          <w:vertAlign w:val="superscript"/>
        </w:rPr>
        <w:t>*</w:t>
      </w:r>
      <w:r w:rsidRPr="005F2114">
        <w:rPr>
          <w:rFonts w:ascii="Times New Roman" w:hAnsi="Times New Roman" w:cs="Times New Roman"/>
        </w:rPr>
        <w:t xml:space="preserve"> This is a </w:t>
      </w:r>
      <w:r>
        <w:rPr>
          <w:rFonts w:ascii="Times New Roman" w:hAnsi="Times New Roman" w:cs="Times New Roman"/>
        </w:rPr>
        <w:t>companion</w:t>
      </w:r>
      <w:r w:rsidRPr="005F2114">
        <w:rPr>
          <w:rFonts w:ascii="Times New Roman" w:hAnsi="Times New Roman" w:cs="Times New Roman"/>
        </w:rPr>
        <w:t xml:space="preserve"> paper </w:t>
      </w:r>
      <w:r>
        <w:rPr>
          <w:rFonts w:ascii="Times New Roman" w:hAnsi="Times New Roman" w:cs="Times New Roman"/>
        </w:rPr>
        <w:t>of</w:t>
      </w:r>
      <w:r w:rsidRPr="005F2114">
        <w:rPr>
          <w:rFonts w:ascii="Times New Roman" w:hAnsi="Times New Roman" w:cs="Times New Roman"/>
        </w:rPr>
        <w:t xml:space="preserve"> </w:t>
      </w:r>
      <w:hyperlink r:id="rId1" w:tgtFrame="_blank" w:tooltip="Persistent link using digital object identifier" w:history="1">
        <w:r w:rsidRPr="005F2114">
          <w:rPr>
            <w:rStyle w:val="Hyperlink"/>
            <w:rFonts w:ascii="Times New Roman" w:hAnsi="Times New Roman" w:cs="Times New Roman"/>
          </w:rPr>
          <w:t>https://doi.org/10.1016/j.atmosenv.2018.05.026</w:t>
        </w:r>
      </w:hyperlink>
      <w:r w:rsidRPr="005F2114">
        <w:rPr>
          <w:rFonts w:ascii="Times New Roman" w:hAnsi="Times New Roman" w:cs="Times New Roman"/>
        </w:rPr>
        <w:t>.</w:t>
      </w:r>
    </w:p>
    <w:p w14:paraId="50024593" w14:textId="77777777" w:rsidR="00B66F7E" w:rsidRPr="005F2114" w:rsidRDefault="00B66F7E" w:rsidP="00B554D5">
      <w:pPr>
        <w:pStyle w:val="FootnoteText"/>
        <w:jc w:val="both"/>
        <w:rPr>
          <w:rFonts w:ascii="Times New Roman" w:hAnsi="Times New Roman" w:cs="Times New Roman"/>
        </w:rPr>
      </w:pPr>
      <w:r w:rsidRPr="005F2114">
        <w:rPr>
          <w:rStyle w:val="FootnoteReference"/>
          <w:rFonts w:ascii="Times New Roman" w:hAnsi="Times New Roman" w:cs="Times New Roman"/>
        </w:rPr>
        <w:footnoteRef/>
      </w:r>
      <w:r w:rsidRPr="005F2114">
        <w:rPr>
          <w:rFonts w:ascii="Times New Roman" w:hAnsi="Times New Roman" w:cs="Times New Roman"/>
        </w:rPr>
        <w:t xml:space="preserve"> </w:t>
      </w:r>
      <w:r w:rsidRPr="005F2114">
        <w:rPr>
          <w:rFonts w:ascii="Times New Roman" w:hAnsi="Times New Roman" w:cs="Times New Roman"/>
          <w:sz w:val="18"/>
        </w:rPr>
        <w:t xml:space="preserve">Corresponding author: </w:t>
      </w:r>
      <w:r w:rsidRPr="005F2114">
        <w:rPr>
          <w:rFonts w:ascii="Times New Roman" w:hAnsi="Times New Roman" w:cs="Times New Roman"/>
          <w:noProof/>
          <w:sz w:val="18"/>
        </w:rPr>
        <w:t>Dipanjali Majumdar &lt;</w:t>
      </w:r>
      <w:r w:rsidRPr="005F2114">
        <w:rPr>
          <w:rFonts w:ascii="Times New Roman" w:hAnsi="Times New Roman" w:cs="Times New Roman"/>
          <w:sz w:val="18"/>
        </w:rPr>
        <w:t>ds_majumdar@neeri.res.in</w:t>
      </w:r>
      <w:r w:rsidRPr="005F2114">
        <w:rPr>
          <w:rFonts w:ascii="Times New Roman" w:hAnsi="Times New Roman" w:cs="Times New Roman"/>
          <w:noProof/>
          <w:sz w:val="18"/>
        </w:rPr>
        <w:t>&gt;; Pallav Purohit &lt;purohit@iiasa.ac.at&gt;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E4C65" w14:textId="77777777" w:rsidR="00B66F7E" w:rsidRDefault="00B66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7A75"/>
    <w:multiLevelType w:val="hybridMultilevel"/>
    <w:tmpl w:val="66A05D04"/>
    <w:lvl w:ilvl="0" w:tplc="6F9404FE">
      <w:start w:val="1"/>
      <w:numFmt w:val="bullet"/>
      <w:lvlText w:val=""/>
      <w:lvlJc w:val="left"/>
      <w:pPr>
        <w:ind w:left="6455" w:hanging="360"/>
      </w:pPr>
      <w:rPr>
        <w:rFonts w:ascii="Symbol" w:hAnsi="Symbol" w:hint="default"/>
        <w:sz w:val="20"/>
        <w:szCs w:val="20"/>
      </w:rPr>
    </w:lvl>
    <w:lvl w:ilvl="1" w:tplc="6F9404FE">
      <w:start w:val="1"/>
      <w:numFmt w:val="bullet"/>
      <w:lvlText w:val=""/>
      <w:lvlJc w:val="left"/>
      <w:pPr>
        <w:ind w:left="7175" w:hanging="360"/>
      </w:pPr>
      <w:rPr>
        <w:rFonts w:ascii="Symbol" w:hAnsi="Symbol" w:hint="default"/>
      </w:rPr>
    </w:lvl>
    <w:lvl w:ilvl="2" w:tplc="04090005" w:tentative="1">
      <w:start w:val="1"/>
      <w:numFmt w:val="bullet"/>
      <w:lvlText w:val=""/>
      <w:lvlJc w:val="left"/>
      <w:pPr>
        <w:ind w:left="7895" w:hanging="360"/>
      </w:pPr>
      <w:rPr>
        <w:rFonts w:ascii="Wingdings" w:hAnsi="Wingdings" w:hint="default"/>
      </w:rPr>
    </w:lvl>
    <w:lvl w:ilvl="3" w:tplc="04090001" w:tentative="1">
      <w:start w:val="1"/>
      <w:numFmt w:val="bullet"/>
      <w:lvlText w:val=""/>
      <w:lvlJc w:val="left"/>
      <w:pPr>
        <w:ind w:left="8615" w:hanging="360"/>
      </w:pPr>
      <w:rPr>
        <w:rFonts w:ascii="Symbol" w:hAnsi="Symbol" w:hint="default"/>
      </w:rPr>
    </w:lvl>
    <w:lvl w:ilvl="4" w:tplc="04090003" w:tentative="1">
      <w:start w:val="1"/>
      <w:numFmt w:val="bullet"/>
      <w:lvlText w:val="o"/>
      <w:lvlJc w:val="left"/>
      <w:pPr>
        <w:ind w:left="9335" w:hanging="360"/>
      </w:pPr>
      <w:rPr>
        <w:rFonts w:ascii="Courier New" w:hAnsi="Courier New" w:cs="Courier New" w:hint="default"/>
      </w:rPr>
    </w:lvl>
    <w:lvl w:ilvl="5" w:tplc="04090005" w:tentative="1">
      <w:start w:val="1"/>
      <w:numFmt w:val="bullet"/>
      <w:lvlText w:val=""/>
      <w:lvlJc w:val="left"/>
      <w:pPr>
        <w:ind w:left="10055" w:hanging="360"/>
      </w:pPr>
      <w:rPr>
        <w:rFonts w:ascii="Wingdings" w:hAnsi="Wingdings" w:hint="default"/>
      </w:rPr>
    </w:lvl>
    <w:lvl w:ilvl="6" w:tplc="04090001" w:tentative="1">
      <w:start w:val="1"/>
      <w:numFmt w:val="bullet"/>
      <w:lvlText w:val=""/>
      <w:lvlJc w:val="left"/>
      <w:pPr>
        <w:ind w:left="10775" w:hanging="360"/>
      </w:pPr>
      <w:rPr>
        <w:rFonts w:ascii="Symbol" w:hAnsi="Symbol" w:hint="default"/>
      </w:rPr>
    </w:lvl>
    <w:lvl w:ilvl="7" w:tplc="04090003" w:tentative="1">
      <w:start w:val="1"/>
      <w:numFmt w:val="bullet"/>
      <w:lvlText w:val="o"/>
      <w:lvlJc w:val="left"/>
      <w:pPr>
        <w:ind w:left="11495" w:hanging="360"/>
      </w:pPr>
      <w:rPr>
        <w:rFonts w:ascii="Courier New" w:hAnsi="Courier New" w:cs="Courier New" w:hint="default"/>
      </w:rPr>
    </w:lvl>
    <w:lvl w:ilvl="8" w:tplc="04090005" w:tentative="1">
      <w:start w:val="1"/>
      <w:numFmt w:val="bullet"/>
      <w:lvlText w:val=""/>
      <w:lvlJc w:val="left"/>
      <w:pPr>
        <w:ind w:left="12215" w:hanging="360"/>
      </w:pPr>
      <w:rPr>
        <w:rFonts w:ascii="Wingdings" w:hAnsi="Wingdings" w:hint="default"/>
      </w:rPr>
    </w:lvl>
  </w:abstractNum>
  <w:abstractNum w:abstractNumId="1" w15:restartNumberingAfterBreak="0">
    <w:nsid w:val="16586532"/>
    <w:multiLevelType w:val="hybridMultilevel"/>
    <w:tmpl w:val="0EFC19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92CFD"/>
    <w:multiLevelType w:val="multilevel"/>
    <w:tmpl w:val="211C7EAA"/>
    <w:lvl w:ilvl="0">
      <w:start w:val="5"/>
      <w:numFmt w:val="decimal"/>
      <w:lvlText w:val="%1"/>
      <w:lvlJc w:val="left"/>
      <w:pPr>
        <w:ind w:left="480" w:hanging="480"/>
      </w:pPr>
      <w:rPr>
        <w:rFonts w:hint="default"/>
      </w:rPr>
    </w:lvl>
    <w:lvl w:ilvl="1">
      <w:start w:val="3"/>
      <w:numFmt w:val="decimal"/>
      <w:lvlText w:val="%1.%2"/>
      <w:lvlJc w:val="left"/>
      <w:pPr>
        <w:ind w:left="1118" w:hanging="48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 w15:restartNumberingAfterBreak="0">
    <w:nsid w:val="22333074"/>
    <w:multiLevelType w:val="hybridMultilevel"/>
    <w:tmpl w:val="00A625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02A1E"/>
    <w:multiLevelType w:val="hybridMultilevel"/>
    <w:tmpl w:val="F556685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5" w15:restartNumberingAfterBreak="0">
    <w:nsid w:val="38571863"/>
    <w:multiLevelType w:val="hybridMultilevel"/>
    <w:tmpl w:val="87EA8BA8"/>
    <w:lvl w:ilvl="0" w:tplc="576E8ACE">
      <w:start w:val="1"/>
      <w:numFmt w:val="lowerLetter"/>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6" w15:restartNumberingAfterBreak="0">
    <w:nsid w:val="395122C5"/>
    <w:multiLevelType w:val="hybridMultilevel"/>
    <w:tmpl w:val="54BE7D14"/>
    <w:lvl w:ilvl="0" w:tplc="4009000B">
      <w:start w:val="1"/>
      <w:numFmt w:val="bullet"/>
      <w:lvlText w:val=""/>
      <w:lvlJc w:val="left"/>
      <w:pPr>
        <w:ind w:left="540" w:hanging="360"/>
      </w:pPr>
      <w:rPr>
        <w:rFonts w:ascii="Wingdings" w:hAnsi="Wingdings" w:hint="default"/>
        <w:sz w:val="20"/>
        <w:szCs w:val="20"/>
      </w:rPr>
    </w:lvl>
    <w:lvl w:ilvl="1" w:tplc="D084D79E">
      <w:start w:val="2012"/>
      <w:numFmt w:val="bullet"/>
      <w:lvlText w:val="•"/>
      <w:lvlJc w:val="left"/>
      <w:pPr>
        <w:ind w:left="1260" w:hanging="360"/>
      </w:pPr>
      <w:rPr>
        <w:rFonts w:ascii="Times New Roman" w:eastAsia="Times New Roman" w:hAnsi="Times New Roman" w:cs="Times New Roman"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B611D58"/>
    <w:multiLevelType w:val="hybridMultilevel"/>
    <w:tmpl w:val="333AA256"/>
    <w:lvl w:ilvl="0" w:tplc="ED043834">
      <w:start w:val="1"/>
      <w:numFmt w:val="bullet"/>
      <w:lvlText w:val=""/>
      <w:lvlJc w:val="left"/>
      <w:pPr>
        <w:ind w:left="2103" w:hanging="360"/>
      </w:pPr>
      <w:rPr>
        <w:rFonts w:ascii="Symbol" w:hAnsi="Symbol" w:hint="default"/>
        <w:sz w:val="20"/>
        <w:szCs w:val="20"/>
      </w:rPr>
    </w:lvl>
    <w:lvl w:ilvl="1" w:tplc="6F9404FE">
      <w:start w:val="1"/>
      <w:numFmt w:val="bullet"/>
      <w:lvlText w:val=""/>
      <w:lvlJc w:val="left"/>
      <w:pPr>
        <w:ind w:left="2823" w:hanging="360"/>
      </w:pPr>
      <w:rPr>
        <w:rFonts w:ascii="Symbol" w:hAnsi="Symbol" w:hint="default"/>
      </w:rPr>
    </w:lvl>
    <w:lvl w:ilvl="2" w:tplc="04090005" w:tentative="1">
      <w:start w:val="1"/>
      <w:numFmt w:val="bullet"/>
      <w:lvlText w:val=""/>
      <w:lvlJc w:val="left"/>
      <w:pPr>
        <w:ind w:left="3543" w:hanging="360"/>
      </w:pPr>
      <w:rPr>
        <w:rFonts w:ascii="Wingdings" w:hAnsi="Wingdings" w:hint="default"/>
      </w:rPr>
    </w:lvl>
    <w:lvl w:ilvl="3" w:tplc="04090001" w:tentative="1">
      <w:start w:val="1"/>
      <w:numFmt w:val="bullet"/>
      <w:lvlText w:val=""/>
      <w:lvlJc w:val="left"/>
      <w:pPr>
        <w:ind w:left="4263" w:hanging="360"/>
      </w:pPr>
      <w:rPr>
        <w:rFonts w:ascii="Symbol" w:hAnsi="Symbol" w:hint="default"/>
      </w:rPr>
    </w:lvl>
    <w:lvl w:ilvl="4" w:tplc="04090003" w:tentative="1">
      <w:start w:val="1"/>
      <w:numFmt w:val="bullet"/>
      <w:lvlText w:val="o"/>
      <w:lvlJc w:val="left"/>
      <w:pPr>
        <w:ind w:left="4983" w:hanging="360"/>
      </w:pPr>
      <w:rPr>
        <w:rFonts w:ascii="Courier New" w:hAnsi="Courier New" w:cs="Courier New" w:hint="default"/>
      </w:rPr>
    </w:lvl>
    <w:lvl w:ilvl="5" w:tplc="04090005" w:tentative="1">
      <w:start w:val="1"/>
      <w:numFmt w:val="bullet"/>
      <w:lvlText w:val=""/>
      <w:lvlJc w:val="left"/>
      <w:pPr>
        <w:ind w:left="5703" w:hanging="360"/>
      </w:pPr>
      <w:rPr>
        <w:rFonts w:ascii="Wingdings" w:hAnsi="Wingdings" w:hint="default"/>
      </w:rPr>
    </w:lvl>
    <w:lvl w:ilvl="6" w:tplc="04090001" w:tentative="1">
      <w:start w:val="1"/>
      <w:numFmt w:val="bullet"/>
      <w:lvlText w:val=""/>
      <w:lvlJc w:val="left"/>
      <w:pPr>
        <w:ind w:left="6423" w:hanging="360"/>
      </w:pPr>
      <w:rPr>
        <w:rFonts w:ascii="Symbol" w:hAnsi="Symbol" w:hint="default"/>
      </w:rPr>
    </w:lvl>
    <w:lvl w:ilvl="7" w:tplc="04090003" w:tentative="1">
      <w:start w:val="1"/>
      <w:numFmt w:val="bullet"/>
      <w:lvlText w:val="o"/>
      <w:lvlJc w:val="left"/>
      <w:pPr>
        <w:ind w:left="7143" w:hanging="360"/>
      </w:pPr>
      <w:rPr>
        <w:rFonts w:ascii="Courier New" w:hAnsi="Courier New" w:cs="Courier New" w:hint="default"/>
      </w:rPr>
    </w:lvl>
    <w:lvl w:ilvl="8" w:tplc="04090005" w:tentative="1">
      <w:start w:val="1"/>
      <w:numFmt w:val="bullet"/>
      <w:lvlText w:val=""/>
      <w:lvlJc w:val="left"/>
      <w:pPr>
        <w:ind w:left="7863" w:hanging="360"/>
      </w:pPr>
      <w:rPr>
        <w:rFonts w:ascii="Wingdings" w:hAnsi="Wingdings" w:hint="default"/>
      </w:rPr>
    </w:lvl>
  </w:abstractNum>
  <w:abstractNum w:abstractNumId="8" w15:restartNumberingAfterBreak="0">
    <w:nsid w:val="56925A0B"/>
    <w:multiLevelType w:val="hybridMultilevel"/>
    <w:tmpl w:val="2E54B9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74252D2"/>
    <w:multiLevelType w:val="multilevel"/>
    <w:tmpl w:val="16EA58D2"/>
    <w:lvl w:ilvl="0">
      <w:start w:val="6"/>
      <w:numFmt w:val="decimal"/>
      <w:lvlText w:val="%1"/>
      <w:lvlJc w:val="left"/>
      <w:pPr>
        <w:ind w:left="480" w:hanging="480"/>
      </w:pPr>
      <w:rPr>
        <w:rFonts w:hint="default"/>
      </w:rPr>
    </w:lvl>
    <w:lvl w:ilvl="1">
      <w:start w:val="3"/>
      <w:numFmt w:val="decimal"/>
      <w:lvlText w:val="%1.%2"/>
      <w:lvlJc w:val="left"/>
      <w:pPr>
        <w:ind w:left="1118" w:hanging="48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15:restartNumberingAfterBreak="0">
    <w:nsid w:val="5E0B1821"/>
    <w:multiLevelType w:val="multilevel"/>
    <w:tmpl w:val="83804E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89E4635"/>
    <w:multiLevelType w:val="multilevel"/>
    <w:tmpl w:val="4FE8E9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B2E12CF"/>
    <w:multiLevelType w:val="multilevel"/>
    <w:tmpl w:val="61CE7A5C"/>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71B8782B"/>
    <w:multiLevelType w:val="multilevel"/>
    <w:tmpl w:val="83804E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6CE1D99"/>
    <w:multiLevelType w:val="multilevel"/>
    <w:tmpl w:val="6FAA51C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6"/>
  </w:num>
  <w:num w:numId="3">
    <w:abstractNumId w:val="5"/>
  </w:num>
  <w:num w:numId="4">
    <w:abstractNumId w:val="12"/>
  </w:num>
  <w:num w:numId="5">
    <w:abstractNumId w:val="2"/>
  </w:num>
  <w:num w:numId="6">
    <w:abstractNumId w:val="3"/>
  </w:num>
  <w:num w:numId="7">
    <w:abstractNumId w:val="0"/>
  </w:num>
  <w:num w:numId="8">
    <w:abstractNumId w:val="9"/>
  </w:num>
  <w:num w:numId="9">
    <w:abstractNumId w:val="11"/>
  </w:num>
  <w:num w:numId="10">
    <w:abstractNumId w:val="4"/>
  </w:num>
  <w:num w:numId="11">
    <w:abstractNumId w:val="13"/>
  </w:num>
  <w:num w:numId="12">
    <w:abstractNumId w:val="10"/>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1tTC2sLAwMLQ0tzRS0lEKTi0uzszPAykwrwUAw/J7niwAAAA="/>
  </w:docVars>
  <w:rsids>
    <w:rsidRoot w:val="008D2F9A"/>
    <w:rsid w:val="0000767E"/>
    <w:rsid w:val="000102C1"/>
    <w:rsid w:val="00014C1D"/>
    <w:rsid w:val="00015852"/>
    <w:rsid w:val="0001676F"/>
    <w:rsid w:val="00020957"/>
    <w:rsid w:val="000216A3"/>
    <w:rsid w:val="00023318"/>
    <w:rsid w:val="00025870"/>
    <w:rsid w:val="000258AE"/>
    <w:rsid w:val="0003141F"/>
    <w:rsid w:val="00031C6F"/>
    <w:rsid w:val="00031ECF"/>
    <w:rsid w:val="00033A75"/>
    <w:rsid w:val="00035615"/>
    <w:rsid w:val="0003755C"/>
    <w:rsid w:val="00044244"/>
    <w:rsid w:val="000477FA"/>
    <w:rsid w:val="00054B11"/>
    <w:rsid w:val="00054DE6"/>
    <w:rsid w:val="00057372"/>
    <w:rsid w:val="0006061D"/>
    <w:rsid w:val="00064029"/>
    <w:rsid w:val="00067A0D"/>
    <w:rsid w:val="00074689"/>
    <w:rsid w:val="00074E7D"/>
    <w:rsid w:val="00075424"/>
    <w:rsid w:val="00077211"/>
    <w:rsid w:val="000810F0"/>
    <w:rsid w:val="00081589"/>
    <w:rsid w:val="0008348A"/>
    <w:rsid w:val="000909F2"/>
    <w:rsid w:val="00092EDD"/>
    <w:rsid w:val="000A0B07"/>
    <w:rsid w:val="000A6F83"/>
    <w:rsid w:val="000B1860"/>
    <w:rsid w:val="000B19C5"/>
    <w:rsid w:val="000B298F"/>
    <w:rsid w:val="000B404C"/>
    <w:rsid w:val="000B5A4C"/>
    <w:rsid w:val="000C08EE"/>
    <w:rsid w:val="000C4A69"/>
    <w:rsid w:val="000C5805"/>
    <w:rsid w:val="000C6084"/>
    <w:rsid w:val="000C659B"/>
    <w:rsid w:val="000D0C69"/>
    <w:rsid w:val="000D4AF8"/>
    <w:rsid w:val="000D6EAD"/>
    <w:rsid w:val="000E0411"/>
    <w:rsid w:val="000E1BC6"/>
    <w:rsid w:val="000E4681"/>
    <w:rsid w:val="000F2FF6"/>
    <w:rsid w:val="000F3DD4"/>
    <w:rsid w:val="000F3E04"/>
    <w:rsid w:val="000F401D"/>
    <w:rsid w:val="000F5D03"/>
    <w:rsid w:val="000F7CD2"/>
    <w:rsid w:val="001003EB"/>
    <w:rsid w:val="00101388"/>
    <w:rsid w:val="00104EBD"/>
    <w:rsid w:val="0010784E"/>
    <w:rsid w:val="00107ED8"/>
    <w:rsid w:val="00117475"/>
    <w:rsid w:val="0012750C"/>
    <w:rsid w:val="001408CA"/>
    <w:rsid w:val="00140959"/>
    <w:rsid w:val="00144D03"/>
    <w:rsid w:val="00154155"/>
    <w:rsid w:val="001634BF"/>
    <w:rsid w:val="00163E2F"/>
    <w:rsid w:val="00164848"/>
    <w:rsid w:val="00170F62"/>
    <w:rsid w:val="00170F7D"/>
    <w:rsid w:val="00186186"/>
    <w:rsid w:val="00186B61"/>
    <w:rsid w:val="00194D05"/>
    <w:rsid w:val="00195EBA"/>
    <w:rsid w:val="001A13A4"/>
    <w:rsid w:val="001A5399"/>
    <w:rsid w:val="001B1C0E"/>
    <w:rsid w:val="001B7099"/>
    <w:rsid w:val="001B74EC"/>
    <w:rsid w:val="001C1EBF"/>
    <w:rsid w:val="001C5298"/>
    <w:rsid w:val="001D0EC3"/>
    <w:rsid w:val="001D1A8E"/>
    <w:rsid w:val="001D2081"/>
    <w:rsid w:val="001D65BE"/>
    <w:rsid w:val="001E08B1"/>
    <w:rsid w:val="001E3A7E"/>
    <w:rsid w:val="001E4425"/>
    <w:rsid w:val="001E5374"/>
    <w:rsid w:val="001E7755"/>
    <w:rsid w:val="001F52BB"/>
    <w:rsid w:val="001F7158"/>
    <w:rsid w:val="00202F42"/>
    <w:rsid w:val="002107EC"/>
    <w:rsid w:val="002157E7"/>
    <w:rsid w:val="00217135"/>
    <w:rsid w:val="0023607C"/>
    <w:rsid w:val="0023642A"/>
    <w:rsid w:val="00240D26"/>
    <w:rsid w:val="0024114C"/>
    <w:rsid w:val="002541EF"/>
    <w:rsid w:val="00256685"/>
    <w:rsid w:val="00257DC1"/>
    <w:rsid w:val="00264682"/>
    <w:rsid w:val="00273DE9"/>
    <w:rsid w:val="00274610"/>
    <w:rsid w:val="002751A0"/>
    <w:rsid w:val="00285F2F"/>
    <w:rsid w:val="00286BE1"/>
    <w:rsid w:val="00287673"/>
    <w:rsid w:val="002878DD"/>
    <w:rsid w:val="00287B8E"/>
    <w:rsid w:val="002909F2"/>
    <w:rsid w:val="002920D8"/>
    <w:rsid w:val="002970A7"/>
    <w:rsid w:val="002A259C"/>
    <w:rsid w:val="002A646C"/>
    <w:rsid w:val="002A73C5"/>
    <w:rsid w:val="002B0D26"/>
    <w:rsid w:val="002B2373"/>
    <w:rsid w:val="002B3A90"/>
    <w:rsid w:val="002B59F3"/>
    <w:rsid w:val="002B6A4D"/>
    <w:rsid w:val="002B6ED2"/>
    <w:rsid w:val="002C0D1E"/>
    <w:rsid w:val="002C0DA0"/>
    <w:rsid w:val="002C1BF3"/>
    <w:rsid w:val="002C593A"/>
    <w:rsid w:val="002D0015"/>
    <w:rsid w:val="002D0C43"/>
    <w:rsid w:val="002E1D6B"/>
    <w:rsid w:val="002E4A92"/>
    <w:rsid w:val="002E6FAF"/>
    <w:rsid w:val="002F2982"/>
    <w:rsid w:val="00306141"/>
    <w:rsid w:val="003071F9"/>
    <w:rsid w:val="00312F2B"/>
    <w:rsid w:val="0031432A"/>
    <w:rsid w:val="0031450D"/>
    <w:rsid w:val="00316989"/>
    <w:rsid w:val="00323DF1"/>
    <w:rsid w:val="00324055"/>
    <w:rsid w:val="0032695A"/>
    <w:rsid w:val="003278B4"/>
    <w:rsid w:val="00330A33"/>
    <w:rsid w:val="00334B7B"/>
    <w:rsid w:val="00336942"/>
    <w:rsid w:val="0034293F"/>
    <w:rsid w:val="0034447A"/>
    <w:rsid w:val="003500C6"/>
    <w:rsid w:val="00350B81"/>
    <w:rsid w:val="0035399F"/>
    <w:rsid w:val="00354ACB"/>
    <w:rsid w:val="00356528"/>
    <w:rsid w:val="003570EA"/>
    <w:rsid w:val="00361054"/>
    <w:rsid w:val="0036451F"/>
    <w:rsid w:val="00374F14"/>
    <w:rsid w:val="00383106"/>
    <w:rsid w:val="003848AD"/>
    <w:rsid w:val="00384CD7"/>
    <w:rsid w:val="00391451"/>
    <w:rsid w:val="00392281"/>
    <w:rsid w:val="00392294"/>
    <w:rsid w:val="00392ECE"/>
    <w:rsid w:val="00394DD2"/>
    <w:rsid w:val="00395051"/>
    <w:rsid w:val="00396DB3"/>
    <w:rsid w:val="003A45E0"/>
    <w:rsid w:val="003A69E6"/>
    <w:rsid w:val="003B102C"/>
    <w:rsid w:val="003B26F5"/>
    <w:rsid w:val="003B2F1F"/>
    <w:rsid w:val="003B444E"/>
    <w:rsid w:val="003C0159"/>
    <w:rsid w:val="003C0552"/>
    <w:rsid w:val="003C1902"/>
    <w:rsid w:val="003C3570"/>
    <w:rsid w:val="003C3FC8"/>
    <w:rsid w:val="003C63B3"/>
    <w:rsid w:val="003C7007"/>
    <w:rsid w:val="003D0953"/>
    <w:rsid w:val="003D0A04"/>
    <w:rsid w:val="003D1323"/>
    <w:rsid w:val="003D16CE"/>
    <w:rsid w:val="003E5AA6"/>
    <w:rsid w:val="003E66CE"/>
    <w:rsid w:val="003E6768"/>
    <w:rsid w:val="00402B86"/>
    <w:rsid w:val="00404CA3"/>
    <w:rsid w:val="0040731E"/>
    <w:rsid w:val="00411937"/>
    <w:rsid w:val="00413C14"/>
    <w:rsid w:val="00420F4E"/>
    <w:rsid w:val="004237A7"/>
    <w:rsid w:val="0042714E"/>
    <w:rsid w:val="004302FF"/>
    <w:rsid w:val="0043059B"/>
    <w:rsid w:val="004319C2"/>
    <w:rsid w:val="0043229D"/>
    <w:rsid w:val="00432936"/>
    <w:rsid w:val="0043325F"/>
    <w:rsid w:val="004350E2"/>
    <w:rsid w:val="0044109E"/>
    <w:rsid w:val="00441F3A"/>
    <w:rsid w:val="00442CD0"/>
    <w:rsid w:val="00443E60"/>
    <w:rsid w:val="0045440A"/>
    <w:rsid w:val="0045613F"/>
    <w:rsid w:val="00456452"/>
    <w:rsid w:val="00463E62"/>
    <w:rsid w:val="00464F88"/>
    <w:rsid w:val="00467592"/>
    <w:rsid w:val="004677E7"/>
    <w:rsid w:val="00475473"/>
    <w:rsid w:val="00481400"/>
    <w:rsid w:val="0048471A"/>
    <w:rsid w:val="00486FAB"/>
    <w:rsid w:val="00487A52"/>
    <w:rsid w:val="00490785"/>
    <w:rsid w:val="0049140C"/>
    <w:rsid w:val="004966A7"/>
    <w:rsid w:val="004A0703"/>
    <w:rsid w:val="004A226B"/>
    <w:rsid w:val="004A52C2"/>
    <w:rsid w:val="004A5E00"/>
    <w:rsid w:val="004A5E30"/>
    <w:rsid w:val="004A72A7"/>
    <w:rsid w:val="004C07BF"/>
    <w:rsid w:val="004C1E26"/>
    <w:rsid w:val="004C205C"/>
    <w:rsid w:val="004C2A1E"/>
    <w:rsid w:val="004C5655"/>
    <w:rsid w:val="004D0CE3"/>
    <w:rsid w:val="004D0EF3"/>
    <w:rsid w:val="004E553F"/>
    <w:rsid w:val="004E65FC"/>
    <w:rsid w:val="004F1980"/>
    <w:rsid w:val="004F225B"/>
    <w:rsid w:val="004F3EFB"/>
    <w:rsid w:val="004F7402"/>
    <w:rsid w:val="0050005C"/>
    <w:rsid w:val="0050398E"/>
    <w:rsid w:val="00506496"/>
    <w:rsid w:val="0050658F"/>
    <w:rsid w:val="005075A2"/>
    <w:rsid w:val="00512916"/>
    <w:rsid w:val="00514DCE"/>
    <w:rsid w:val="005223C6"/>
    <w:rsid w:val="00531B6C"/>
    <w:rsid w:val="005322D8"/>
    <w:rsid w:val="00542A9C"/>
    <w:rsid w:val="00542E62"/>
    <w:rsid w:val="00546E8D"/>
    <w:rsid w:val="00547A3C"/>
    <w:rsid w:val="005521DF"/>
    <w:rsid w:val="00556A96"/>
    <w:rsid w:val="00560A45"/>
    <w:rsid w:val="00560F0C"/>
    <w:rsid w:val="005621C9"/>
    <w:rsid w:val="00565DA7"/>
    <w:rsid w:val="00567080"/>
    <w:rsid w:val="005724A7"/>
    <w:rsid w:val="00572912"/>
    <w:rsid w:val="00573330"/>
    <w:rsid w:val="00574737"/>
    <w:rsid w:val="00586175"/>
    <w:rsid w:val="00591748"/>
    <w:rsid w:val="00591C15"/>
    <w:rsid w:val="00593E2A"/>
    <w:rsid w:val="005944D4"/>
    <w:rsid w:val="0059672B"/>
    <w:rsid w:val="005A0C00"/>
    <w:rsid w:val="005A1345"/>
    <w:rsid w:val="005A2A74"/>
    <w:rsid w:val="005A2E26"/>
    <w:rsid w:val="005A3478"/>
    <w:rsid w:val="005A4EC1"/>
    <w:rsid w:val="005A53E1"/>
    <w:rsid w:val="005A666A"/>
    <w:rsid w:val="005A74FB"/>
    <w:rsid w:val="005B0E17"/>
    <w:rsid w:val="005B50F1"/>
    <w:rsid w:val="005B7812"/>
    <w:rsid w:val="005C0F2D"/>
    <w:rsid w:val="005C4DA7"/>
    <w:rsid w:val="005D006F"/>
    <w:rsid w:val="005D2A35"/>
    <w:rsid w:val="005E08CB"/>
    <w:rsid w:val="005E225F"/>
    <w:rsid w:val="005E5626"/>
    <w:rsid w:val="005F4BD2"/>
    <w:rsid w:val="005F4E41"/>
    <w:rsid w:val="005F6B84"/>
    <w:rsid w:val="005F709B"/>
    <w:rsid w:val="00601C01"/>
    <w:rsid w:val="006039AB"/>
    <w:rsid w:val="006048AC"/>
    <w:rsid w:val="00606ED5"/>
    <w:rsid w:val="00623F2F"/>
    <w:rsid w:val="006270B3"/>
    <w:rsid w:val="00631256"/>
    <w:rsid w:val="00632AAA"/>
    <w:rsid w:val="00632B75"/>
    <w:rsid w:val="00636695"/>
    <w:rsid w:val="00640E79"/>
    <w:rsid w:val="00641A55"/>
    <w:rsid w:val="006423B9"/>
    <w:rsid w:val="006448E9"/>
    <w:rsid w:val="006449B2"/>
    <w:rsid w:val="00645F89"/>
    <w:rsid w:val="006524D9"/>
    <w:rsid w:val="00652CC0"/>
    <w:rsid w:val="00664BCB"/>
    <w:rsid w:val="00675909"/>
    <w:rsid w:val="00675A00"/>
    <w:rsid w:val="0067700A"/>
    <w:rsid w:val="00682604"/>
    <w:rsid w:val="00682C51"/>
    <w:rsid w:val="006834FA"/>
    <w:rsid w:val="00686DFB"/>
    <w:rsid w:val="00691091"/>
    <w:rsid w:val="00695107"/>
    <w:rsid w:val="006958A4"/>
    <w:rsid w:val="00696E94"/>
    <w:rsid w:val="006A0FE4"/>
    <w:rsid w:val="006A2975"/>
    <w:rsid w:val="006A3300"/>
    <w:rsid w:val="006A3551"/>
    <w:rsid w:val="006A5F87"/>
    <w:rsid w:val="006A6286"/>
    <w:rsid w:val="006A70C2"/>
    <w:rsid w:val="006B0F00"/>
    <w:rsid w:val="006B31E0"/>
    <w:rsid w:val="006B4B37"/>
    <w:rsid w:val="006B68E6"/>
    <w:rsid w:val="006C23B9"/>
    <w:rsid w:val="006C36E2"/>
    <w:rsid w:val="006C50FC"/>
    <w:rsid w:val="006C5F98"/>
    <w:rsid w:val="006D0C23"/>
    <w:rsid w:val="006D1ED9"/>
    <w:rsid w:val="006D4044"/>
    <w:rsid w:val="006D4049"/>
    <w:rsid w:val="006E241F"/>
    <w:rsid w:val="006E37DF"/>
    <w:rsid w:val="006E568F"/>
    <w:rsid w:val="006E62FA"/>
    <w:rsid w:val="006F11C0"/>
    <w:rsid w:val="006F4200"/>
    <w:rsid w:val="006F6ABF"/>
    <w:rsid w:val="0070326B"/>
    <w:rsid w:val="00703298"/>
    <w:rsid w:val="00707F0D"/>
    <w:rsid w:val="00710EBF"/>
    <w:rsid w:val="00710F9F"/>
    <w:rsid w:val="007135AA"/>
    <w:rsid w:val="007153DE"/>
    <w:rsid w:val="0071649C"/>
    <w:rsid w:val="00726BA3"/>
    <w:rsid w:val="00727D42"/>
    <w:rsid w:val="007312BC"/>
    <w:rsid w:val="00733BBF"/>
    <w:rsid w:val="00733ECB"/>
    <w:rsid w:val="00736C41"/>
    <w:rsid w:val="00737DCE"/>
    <w:rsid w:val="00741AA8"/>
    <w:rsid w:val="0074320F"/>
    <w:rsid w:val="007465F1"/>
    <w:rsid w:val="00747465"/>
    <w:rsid w:val="00751B40"/>
    <w:rsid w:val="00761525"/>
    <w:rsid w:val="007664AE"/>
    <w:rsid w:val="00774A64"/>
    <w:rsid w:val="00784DA0"/>
    <w:rsid w:val="00785C32"/>
    <w:rsid w:val="0079562C"/>
    <w:rsid w:val="007A4120"/>
    <w:rsid w:val="007A4E4A"/>
    <w:rsid w:val="007A5A0C"/>
    <w:rsid w:val="007B0913"/>
    <w:rsid w:val="007B208C"/>
    <w:rsid w:val="007B2180"/>
    <w:rsid w:val="007B34FC"/>
    <w:rsid w:val="007B351B"/>
    <w:rsid w:val="007D5B2C"/>
    <w:rsid w:val="007F1A67"/>
    <w:rsid w:val="007F4F84"/>
    <w:rsid w:val="007F60E2"/>
    <w:rsid w:val="00801380"/>
    <w:rsid w:val="0080215F"/>
    <w:rsid w:val="008136F9"/>
    <w:rsid w:val="00815D55"/>
    <w:rsid w:val="00823BE5"/>
    <w:rsid w:val="008241E5"/>
    <w:rsid w:val="00826836"/>
    <w:rsid w:val="008312CD"/>
    <w:rsid w:val="00831A87"/>
    <w:rsid w:val="00833141"/>
    <w:rsid w:val="00835380"/>
    <w:rsid w:val="00844662"/>
    <w:rsid w:val="00845214"/>
    <w:rsid w:val="00850871"/>
    <w:rsid w:val="00851F41"/>
    <w:rsid w:val="008525FD"/>
    <w:rsid w:val="00857EBC"/>
    <w:rsid w:val="00862CB2"/>
    <w:rsid w:val="00865838"/>
    <w:rsid w:val="00865F8F"/>
    <w:rsid w:val="00867A0F"/>
    <w:rsid w:val="00870881"/>
    <w:rsid w:val="00870C21"/>
    <w:rsid w:val="008800B1"/>
    <w:rsid w:val="0088474A"/>
    <w:rsid w:val="008863CE"/>
    <w:rsid w:val="008A075B"/>
    <w:rsid w:val="008A0EAA"/>
    <w:rsid w:val="008B541D"/>
    <w:rsid w:val="008B5654"/>
    <w:rsid w:val="008B7689"/>
    <w:rsid w:val="008C1078"/>
    <w:rsid w:val="008C2D4A"/>
    <w:rsid w:val="008D2F9A"/>
    <w:rsid w:val="008D492E"/>
    <w:rsid w:val="008D5CF4"/>
    <w:rsid w:val="008D7BBE"/>
    <w:rsid w:val="008E6292"/>
    <w:rsid w:val="008E7E85"/>
    <w:rsid w:val="008F138B"/>
    <w:rsid w:val="008F2EC5"/>
    <w:rsid w:val="008F64DA"/>
    <w:rsid w:val="008F6D9F"/>
    <w:rsid w:val="008F6DBB"/>
    <w:rsid w:val="00902E38"/>
    <w:rsid w:val="0090333B"/>
    <w:rsid w:val="00904D37"/>
    <w:rsid w:val="00907B68"/>
    <w:rsid w:val="00911BD1"/>
    <w:rsid w:val="0091427D"/>
    <w:rsid w:val="00914E95"/>
    <w:rsid w:val="009161FE"/>
    <w:rsid w:val="009162D8"/>
    <w:rsid w:val="00922222"/>
    <w:rsid w:val="00922AD3"/>
    <w:rsid w:val="0092564A"/>
    <w:rsid w:val="00930595"/>
    <w:rsid w:val="0093366E"/>
    <w:rsid w:val="00934880"/>
    <w:rsid w:val="00941640"/>
    <w:rsid w:val="00944B5A"/>
    <w:rsid w:val="009462D0"/>
    <w:rsid w:val="00946BB3"/>
    <w:rsid w:val="00947527"/>
    <w:rsid w:val="0095105E"/>
    <w:rsid w:val="00955CCA"/>
    <w:rsid w:val="00955DFD"/>
    <w:rsid w:val="00956779"/>
    <w:rsid w:val="00957901"/>
    <w:rsid w:val="009669D1"/>
    <w:rsid w:val="00971797"/>
    <w:rsid w:val="00971822"/>
    <w:rsid w:val="00973F23"/>
    <w:rsid w:val="00974919"/>
    <w:rsid w:val="009838B2"/>
    <w:rsid w:val="00985763"/>
    <w:rsid w:val="00986CC3"/>
    <w:rsid w:val="00992AF7"/>
    <w:rsid w:val="00992BF7"/>
    <w:rsid w:val="00993121"/>
    <w:rsid w:val="009932CE"/>
    <w:rsid w:val="00993B17"/>
    <w:rsid w:val="00993D7F"/>
    <w:rsid w:val="009A172F"/>
    <w:rsid w:val="009A3BB2"/>
    <w:rsid w:val="009B1000"/>
    <w:rsid w:val="009B4861"/>
    <w:rsid w:val="009B7F62"/>
    <w:rsid w:val="009C058A"/>
    <w:rsid w:val="009C0ECD"/>
    <w:rsid w:val="009C4DF6"/>
    <w:rsid w:val="009C4E2D"/>
    <w:rsid w:val="009C74B0"/>
    <w:rsid w:val="009D3A4F"/>
    <w:rsid w:val="009E618C"/>
    <w:rsid w:val="009E668E"/>
    <w:rsid w:val="009F3694"/>
    <w:rsid w:val="00A06104"/>
    <w:rsid w:val="00A11AE8"/>
    <w:rsid w:val="00A12604"/>
    <w:rsid w:val="00A131EA"/>
    <w:rsid w:val="00A147D4"/>
    <w:rsid w:val="00A1603C"/>
    <w:rsid w:val="00A27FF8"/>
    <w:rsid w:val="00A31D07"/>
    <w:rsid w:val="00A32581"/>
    <w:rsid w:val="00A511E7"/>
    <w:rsid w:val="00A5522C"/>
    <w:rsid w:val="00A602EC"/>
    <w:rsid w:val="00A661EC"/>
    <w:rsid w:val="00A6646E"/>
    <w:rsid w:val="00A664DC"/>
    <w:rsid w:val="00A66630"/>
    <w:rsid w:val="00A667A9"/>
    <w:rsid w:val="00A7166F"/>
    <w:rsid w:val="00A732C8"/>
    <w:rsid w:val="00A740C6"/>
    <w:rsid w:val="00A81468"/>
    <w:rsid w:val="00A83218"/>
    <w:rsid w:val="00A855A6"/>
    <w:rsid w:val="00A90AA7"/>
    <w:rsid w:val="00A90D8F"/>
    <w:rsid w:val="00AA19CC"/>
    <w:rsid w:val="00AA2F10"/>
    <w:rsid w:val="00AB434A"/>
    <w:rsid w:val="00AB5440"/>
    <w:rsid w:val="00AC0D99"/>
    <w:rsid w:val="00AC18ED"/>
    <w:rsid w:val="00AC2E1B"/>
    <w:rsid w:val="00AC457A"/>
    <w:rsid w:val="00AC5B7F"/>
    <w:rsid w:val="00AC60E3"/>
    <w:rsid w:val="00AC7EEC"/>
    <w:rsid w:val="00AD6C43"/>
    <w:rsid w:val="00AD6E33"/>
    <w:rsid w:val="00AE160B"/>
    <w:rsid w:val="00AE16DB"/>
    <w:rsid w:val="00AE2304"/>
    <w:rsid w:val="00AF1308"/>
    <w:rsid w:val="00AF3B5C"/>
    <w:rsid w:val="00B03CA1"/>
    <w:rsid w:val="00B043F3"/>
    <w:rsid w:val="00B11CD6"/>
    <w:rsid w:val="00B14E98"/>
    <w:rsid w:val="00B151C3"/>
    <w:rsid w:val="00B164C2"/>
    <w:rsid w:val="00B215F7"/>
    <w:rsid w:val="00B2235B"/>
    <w:rsid w:val="00B2367B"/>
    <w:rsid w:val="00B274A9"/>
    <w:rsid w:val="00B31660"/>
    <w:rsid w:val="00B346B4"/>
    <w:rsid w:val="00B36BA2"/>
    <w:rsid w:val="00B433B2"/>
    <w:rsid w:val="00B44F56"/>
    <w:rsid w:val="00B5060C"/>
    <w:rsid w:val="00B554D5"/>
    <w:rsid w:val="00B60570"/>
    <w:rsid w:val="00B61794"/>
    <w:rsid w:val="00B656AA"/>
    <w:rsid w:val="00B66344"/>
    <w:rsid w:val="00B66F7E"/>
    <w:rsid w:val="00B7095C"/>
    <w:rsid w:val="00B74D7F"/>
    <w:rsid w:val="00B83795"/>
    <w:rsid w:val="00B83A91"/>
    <w:rsid w:val="00B846B9"/>
    <w:rsid w:val="00B8545D"/>
    <w:rsid w:val="00B9006C"/>
    <w:rsid w:val="00B92E20"/>
    <w:rsid w:val="00B95AF3"/>
    <w:rsid w:val="00BA2CA9"/>
    <w:rsid w:val="00BA4D00"/>
    <w:rsid w:val="00BA4FDF"/>
    <w:rsid w:val="00BA6C2A"/>
    <w:rsid w:val="00BA7F2D"/>
    <w:rsid w:val="00BB0204"/>
    <w:rsid w:val="00BB2B98"/>
    <w:rsid w:val="00BB5CF9"/>
    <w:rsid w:val="00BC008D"/>
    <w:rsid w:val="00BC2032"/>
    <w:rsid w:val="00BC501D"/>
    <w:rsid w:val="00BC5B70"/>
    <w:rsid w:val="00BC6F08"/>
    <w:rsid w:val="00BD1FA2"/>
    <w:rsid w:val="00BD7022"/>
    <w:rsid w:val="00BE1617"/>
    <w:rsid w:val="00BE2782"/>
    <w:rsid w:val="00BF15C0"/>
    <w:rsid w:val="00BF33B3"/>
    <w:rsid w:val="00C01ADC"/>
    <w:rsid w:val="00C03F7B"/>
    <w:rsid w:val="00C052C9"/>
    <w:rsid w:val="00C067C2"/>
    <w:rsid w:val="00C13DA2"/>
    <w:rsid w:val="00C16750"/>
    <w:rsid w:val="00C17FA3"/>
    <w:rsid w:val="00C21556"/>
    <w:rsid w:val="00C25C85"/>
    <w:rsid w:val="00C26310"/>
    <w:rsid w:val="00C300D3"/>
    <w:rsid w:val="00C3311B"/>
    <w:rsid w:val="00C34855"/>
    <w:rsid w:val="00C35CAF"/>
    <w:rsid w:val="00C35D33"/>
    <w:rsid w:val="00C37BDE"/>
    <w:rsid w:val="00C37F38"/>
    <w:rsid w:val="00C41757"/>
    <w:rsid w:val="00C45E94"/>
    <w:rsid w:val="00C5156F"/>
    <w:rsid w:val="00C56590"/>
    <w:rsid w:val="00C62C36"/>
    <w:rsid w:val="00C71156"/>
    <w:rsid w:val="00C729A4"/>
    <w:rsid w:val="00C733F6"/>
    <w:rsid w:val="00C738D7"/>
    <w:rsid w:val="00C74C86"/>
    <w:rsid w:val="00C83E22"/>
    <w:rsid w:val="00C8541C"/>
    <w:rsid w:val="00C8683A"/>
    <w:rsid w:val="00C90706"/>
    <w:rsid w:val="00C91A08"/>
    <w:rsid w:val="00C949DD"/>
    <w:rsid w:val="00C95DE8"/>
    <w:rsid w:val="00C96B5D"/>
    <w:rsid w:val="00CA2C59"/>
    <w:rsid w:val="00CA3F7F"/>
    <w:rsid w:val="00CA4726"/>
    <w:rsid w:val="00CA4E35"/>
    <w:rsid w:val="00CA73B4"/>
    <w:rsid w:val="00CB06A5"/>
    <w:rsid w:val="00CB153D"/>
    <w:rsid w:val="00CB21E2"/>
    <w:rsid w:val="00CB46A6"/>
    <w:rsid w:val="00CB5762"/>
    <w:rsid w:val="00CC034E"/>
    <w:rsid w:val="00CD054E"/>
    <w:rsid w:val="00CD3F3C"/>
    <w:rsid w:val="00CD4A43"/>
    <w:rsid w:val="00CE1AC6"/>
    <w:rsid w:val="00CE2834"/>
    <w:rsid w:val="00CE3077"/>
    <w:rsid w:val="00CF33BD"/>
    <w:rsid w:val="00CF7351"/>
    <w:rsid w:val="00CF7A4E"/>
    <w:rsid w:val="00D029E0"/>
    <w:rsid w:val="00D0438D"/>
    <w:rsid w:val="00D048CD"/>
    <w:rsid w:val="00D0613B"/>
    <w:rsid w:val="00D066B9"/>
    <w:rsid w:val="00D07219"/>
    <w:rsid w:val="00D101AC"/>
    <w:rsid w:val="00D11FA4"/>
    <w:rsid w:val="00D14116"/>
    <w:rsid w:val="00D16D30"/>
    <w:rsid w:val="00D21ED2"/>
    <w:rsid w:val="00D22C65"/>
    <w:rsid w:val="00D24B85"/>
    <w:rsid w:val="00D25C9C"/>
    <w:rsid w:val="00D3168B"/>
    <w:rsid w:val="00D3333A"/>
    <w:rsid w:val="00D37B59"/>
    <w:rsid w:val="00D410A6"/>
    <w:rsid w:val="00D41C91"/>
    <w:rsid w:val="00D41E1F"/>
    <w:rsid w:val="00D45625"/>
    <w:rsid w:val="00D45702"/>
    <w:rsid w:val="00D4595B"/>
    <w:rsid w:val="00D45B17"/>
    <w:rsid w:val="00D46B8E"/>
    <w:rsid w:val="00D46ED7"/>
    <w:rsid w:val="00D51E0F"/>
    <w:rsid w:val="00D5729E"/>
    <w:rsid w:val="00D65ECB"/>
    <w:rsid w:val="00D67EB0"/>
    <w:rsid w:val="00D710FC"/>
    <w:rsid w:val="00D732E5"/>
    <w:rsid w:val="00D7563A"/>
    <w:rsid w:val="00D7691D"/>
    <w:rsid w:val="00D96578"/>
    <w:rsid w:val="00DA26C9"/>
    <w:rsid w:val="00DA3252"/>
    <w:rsid w:val="00DA476D"/>
    <w:rsid w:val="00DA4C7E"/>
    <w:rsid w:val="00DA4D0D"/>
    <w:rsid w:val="00DA506F"/>
    <w:rsid w:val="00DA5487"/>
    <w:rsid w:val="00DA54F8"/>
    <w:rsid w:val="00DB6E42"/>
    <w:rsid w:val="00DB762D"/>
    <w:rsid w:val="00DC0002"/>
    <w:rsid w:val="00DD21FC"/>
    <w:rsid w:val="00DD712E"/>
    <w:rsid w:val="00DD74C5"/>
    <w:rsid w:val="00DE46C5"/>
    <w:rsid w:val="00DE652F"/>
    <w:rsid w:val="00DF211A"/>
    <w:rsid w:val="00DF267B"/>
    <w:rsid w:val="00DF28B1"/>
    <w:rsid w:val="00DF2F03"/>
    <w:rsid w:val="00DF324F"/>
    <w:rsid w:val="00DF3EC4"/>
    <w:rsid w:val="00DF40B6"/>
    <w:rsid w:val="00DF50B0"/>
    <w:rsid w:val="00E02F5C"/>
    <w:rsid w:val="00E052D9"/>
    <w:rsid w:val="00E05CA3"/>
    <w:rsid w:val="00E0701B"/>
    <w:rsid w:val="00E1381B"/>
    <w:rsid w:val="00E17CD8"/>
    <w:rsid w:val="00E22FCF"/>
    <w:rsid w:val="00E310F2"/>
    <w:rsid w:val="00E31605"/>
    <w:rsid w:val="00E352B1"/>
    <w:rsid w:val="00E415AC"/>
    <w:rsid w:val="00E462A6"/>
    <w:rsid w:val="00E504DC"/>
    <w:rsid w:val="00E5111B"/>
    <w:rsid w:val="00E51485"/>
    <w:rsid w:val="00E51793"/>
    <w:rsid w:val="00E51F40"/>
    <w:rsid w:val="00E53072"/>
    <w:rsid w:val="00E539BA"/>
    <w:rsid w:val="00E5411E"/>
    <w:rsid w:val="00E6621A"/>
    <w:rsid w:val="00E67F8A"/>
    <w:rsid w:val="00E70C70"/>
    <w:rsid w:val="00E72922"/>
    <w:rsid w:val="00E73679"/>
    <w:rsid w:val="00E73B5D"/>
    <w:rsid w:val="00E758C2"/>
    <w:rsid w:val="00E7768C"/>
    <w:rsid w:val="00E83CB6"/>
    <w:rsid w:val="00E85D72"/>
    <w:rsid w:val="00E93852"/>
    <w:rsid w:val="00E94849"/>
    <w:rsid w:val="00E94AFC"/>
    <w:rsid w:val="00EA3388"/>
    <w:rsid w:val="00EA5330"/>
    <w:rsid w:val="00EA565E"/>
    <w:rsid w:val="00EB335A"/>
    <w:rsid w:val="00EB73E1"/>
    <w:rsid w:val="00EB7EEF"/>
    <w:rsid w:val="00EC271C"/>
    <w:rsid w:val="00EC3A22"/>
    <w:rsid w:val="00EC3D23"/>
    <w:rsid w:val="00EC4398"/>
    <w:rsid w:val="00ED022A"/>
    <w:rsid w:val="00ED1D8B"/>
    <w:rsid w:val="00ED5C42"/>
    <w:rsid w:val="00EE289F"/>
    <w:rsid w:val="00EE36FD"/>
    <w:rsid w:val="00EE3DE2"/>
    <w:rsid w:val="00EF1CBD"/>
    <w:rsid w:val="00F0105E"/>
    <w:rsid w:val="00F063CB"/>
    <w:rsid w:val="00F07851"/>
    <w:rsid w:val="00F12529"/>
    <w:rsid w:val="00F12D4F"/>
    <w:rsid w:val="00F26B2E"/>
    <w:rsid w:val="00F31482"/>
    <w:rsid w:val="00F318BC"/>
    <w:rsid w:val="00F33421"/>
    <w:rsid w:val="00F352DE"/>
    <w:rsid w:val="00F3634C"/>
    <w:rsid w:val="00F3689A"/>
    <w:rsid w:val="00F4066D"/>
    <w:rsid w:val="00F428BC"/>
    <w:rsid w:val="00F43AB4"/>
    <w:rsid w:val="00F4782E"/>
    <w:rsid w:val="00F517A2"/>
    <w:rsid w:val="00F6079D"/>
    <w:rsid w:val="00F61B2F"/>
    <w:rsid w:val="00F61B78"/>
    <w:rsid w:val="00F63AE4"/>
    <w:rsid w:val="00F658E5"/>
    <w:rsid w:val="00F70D4E"/>
    <w:rsid w:val="00F743A6"/>
    <w:rsid w:val="00F74593"/>
    <w:rsid w:val="00F7557A"/>
    <w:rsid w:val="00F76DB4"/>
    <w:rsid w:val="00F80835"/>
    <w:rsid w:val="00F81259"/>
    <w:rsid w:val="00F85F2B"/>
    <w:rsid w:val="00F91E43"/>
    <w:rsid w:val="00F92098"/>
    <w:rsid w:val="00F9428D"/>
    <w:rsid w:val="00F97BFF"/>
    <w:rsid w:val="00FA2272"/>
    <w:rsid w:val="00FA2D54"/>
    <w:rsid w:val="00FA456E"/>
    <w:rsid w:val="00FA7846"/>
    <w:rsid w:val="00FB3A43"/>
    <w:rsid w:val="00FB3B03"/>
    <w:rsid w:val="00FB3EAD"/>
    <w:rsid w:val="00FB48C3"/>
    <w:rsid w:val="00FB66AA"/>
    <w:rsid w:val="00FB7CD6"/>
    <w:rsid w:val="00FB7FF5"/>
    <w:rsid w:val="00FC0E33"/>
    <w:rsid w:val="00FC20EF"/>
    <w:rsid w:val="00FC3AD1"/>
    <w:rsid w:val="00FD054B"/>
    <w:rsid w:val="00FD30A8"/>
    <w:rsid w:val="00FD6260"/>
    <w:rsid w:val="00FE4F3C"/>
    <w:rsid w:val="00FE5A86"/>
    <w:rsid w:val="00FE64F0"/>
    <w:rsid w:val="00FF0AF9"/>
    <w:rsid w:val="00FF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2036"/>
  <w15:docId w15:val="{E1595F9C-5034-4AFE-8D09-CEBEC197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F9A"/>
    <w:rPr>
      <w:szCs w:val="20"/>
      <w:lang w:bidi="hi-IN"/>
    </w:rPr>
  </w:style>
  <w:style w:type="paragraph" w:styleId="Heading1">
    <w:name w:val="heading 1"/>
    <w:basedOn w:val="Normal"/>
    <w:next w:val="Normal"/>
    <w:link w:val="Heading1Char"/>
    <w:uiPriority w:val="9"/>
    <w:qFormat/>
    <w:rsid w:val="00BB2B98"/>
    <w:pPr>
      <w:keepNext/>
      <w:keepLines/>
      <w:spacing w:before="240" w:after="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Normal"/>
    <w:link w:val="Heading2Char"/>
    <w:uiPriority w:val="9"/>
    <w:unhideWhenUsed/>
    <w:qFormat/>
    <w:rsid w:val="00682C51"/>
    <w:pPr>
      <w:keepNext/>
      <w:keepLines/>
      <w:spacing w:before="40" w:after="0"/>
      <w:outlineLvl w:val="1"/>
    </w:pPr>
    <w:rPr>
      <w:rFonts w:asciiTheme="majorHAnsi" w:eastAsiaTheme="majorEastAsia" w:hAnsiTheme="majorHAnsi" w:cs="Mangal"/>
      <w:color w:val="2E74B5"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A0C"/>
    <w:pPr>
      <w:spacing w:after="200" w:line="276" w:lineRule="auto"/>
      <w:ind w:left="720"/>
      <w:contextualSpacing/>
    </w:pPr>
    <w:rPr>
      <w:szCs w:val="22"/>
      <w:lang w:val="en-US" w:bidi="ar-SA"/>
    </w:rPr>
  </w:style>
  <w:style w:type="character" w:customStyle="1" w:styleId="tgc">
    <w:name w:val="_tgc"/>
    <w:basedOn w:val="DefaultParagraphFont"/>
    <w:rsid w:val="00286BE1"/>
  </w:style>
  <w:style w:type="table" w:styleId="TableGrid">
    <w:name w:val="Table Grid"/>
    <w:basedOn w:val="TableNormal"/>
    <w:uiPriority w:val="39"/>
    <w:rsid w:val="00F363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325F"/>
    <w:pPr>
      <w:spacing w:after="0" w:line="240" w:lineRule="auto"/>
    </w:pPr>
    <w:rPr>
      <w:lang w:val="en-US"/>
    </w:rPr>
  </w:style>
  <w:style w:type="character" w:styleId="Hyperlink">
    <w:name w:val="Hyperlink"/>
    <w:uiPriority w:val="99"/>
    <w:unhideWhenUsed/>
    <w:rsid w:val="00974919"/>
    <w:rPr>
      <w:color w:val="0000FF"/>
      <w:u w:val="single"/>
    </w:rPr>
  </w:style>
  <w:style w:type="character" w:customStyle="1" w:styleId="st">
    <w:name w:val="st"/>
    <w:basedOn w:val="DefaultParagraphFont"/>
    <w:rsid w:val="00696E94"/>
  </w:style>
  <w:style w:type="character" w:styleId="Emphasis">
    <w:name w:val="Emphasis"/>
    <w:basedOn w:val="DefaultParagraphFont"/>
    <w:uiPriority w:val="20"/>
    <w:qFormat/>
    <w:rsid w:val="00696E94"/>
    <w:rPr>
      <w:i/>
      <w:iCs/>
    </w:rPr>
  </w:style>
  <w:style w:type="character" w:customStyle="1" w:styleId="ilfuvd">
    <w:name w:val="ilfuvd"/>
    <w:basedOn w:val="DefaultParagraphFont"/>
    <w:rsid w:val="000A0B07"/>
  </w:style>
  <w:style w:type="paragraph" w:styleId="Title">
    <w:name w:val="Title"/>
    <w:basedOn w:val="Normal"/>
    <w:next w:val="Normal"/>
    <w:link w:val="TitleChar"/>
    <w:uiPriority w:val="10"/>
    <w:qFormat/>
    <w:rsid w:val="00BB2B98"/>
    <w:pPr>
      <w:spacing w:after="0" w:line="240" w:lineRule="auto"/>
      <w:contextualSpacing/>
    </w:pPr>
    <w:rPr>
      <w:rFonts w:asciiTheme="majorHAnsi" w:eastAsiaTheme="majorEastAsia" w:hAnsiTheme="majorHAnsi" w:cstheme="majorBidi"/>
      <w:spacing w:val="-10"/>
      <w:kern w:val="28"/>
      <w:sz w:val="56"/>
      <w:szCs w:val="56"/>
      <w:lang w:val="en-US" w:bidi="ar-SA"/>
    </w:rPr>
  </w:style>
  <w:style w:type="character" w:customStyle="1" w:styleId="TitleChar">
    <w:name w:val="Title Char"/>
    <w:basedOn w:val="DefaultParagraphFont"/>
    <w:link w:val="Title"/>
    <w:uiPriority w:val="10"/>
    <w:rsid w:val="00BB2B98"/>
    <w:rPr>
      <w:rFonts w:asciiTheme="majorHAnsi" w:eastAsiaTheme="majorEastAsia" w:hAnsiTheme="majorHAnsi" w:cstheme="majorBidi"/>
      <w:spacing w:val="-10"/>
      <w:kern w:val="28"/>
      <w:sz w:val="56"/>
      <w:szCs w:val="56"/>
      <w:lang w:val="en-US"/>
    </w:rPr>
  </w:style>
  <w:style w:type="paragraph" w:styleId="FootnoteText">
    <w:name w:val="footnote text"/>
    <w:basedOn w:val="Normal"/>
    <w:link w:val="FootnoteTextChar"/>
    <w:uiPriority w:val="99"/>
    <w:unhideWhenUsed/>
    <w:rsid w:val="00BB2B98"/>
    <w:pPr>
      <w:spacing w:after="0" w:line="240" w:lineRule="auto"/>
    </w:pPr>
    <w:rPr>
      <w:sz w:val="20"/>
      <w:lang w:val="en-US" w:bidi="ar-SA"/>
    </w:rPr>
  </w:style>
  <w:style w:type="character" w:customStyle="1" w:styleId="FootnoteTextChar">
    <w:name w:val="Footnote Text Char"/>
    <w:basedOn w:val="DefaultParagraphFont"/>
    <w:link w:val="FootnoteText"/>
    <w:uiPriority w:val="99"/>
    <w:rsid w:val="00BB2B98"/>
    <w:rPr>
      <w:sz w:val="20"/>
      <w:szCs w:val="20"/>
      <w:lang w:val="en-US"/>
    </w:rPr>
  </w:style>
  <w:style w:type="character" w:styleId="FootnoteReference">
    <w:name w:val="footnote reference"/>
    <w:basedOn w:val="DefaultParagraphFont"/>
    <w:uiPriority w:val="99"/>
    <w:semiHidden/>
    <w:unhideWhenUsed/>
    <w:rsid w:val="00BB2B98"/>
    <w:rPr>
      <w:vertAlign w:val="superscript"/>
    </w:rPr>
  </w:style>
  <w:style w:type="character" w:customStyle="1" w:styleId="Heading1Char">
    <w:name w:val="Heading 1 Char"/>
    <w:basedOn w:val="DefaultParagraphFont"/>
    <w:link w:val="Heading1"/>
    <w:uiPriority w:val="9"/>
    <w:rsid w:val="00BB2B98"/>
    <w:rPr>
      <w:rFonts w:asciiTheme="majorHAnsi" w:eastAsiaTheme="majorEastAsia" w:hAnsiTheme="majorHAnsi" w:cs="Mangal"/>
      <w:color w:val="2E74B5" w:themeColor="accent1" w:themeShade="BF"/>
      <w:sz w:val="32"/>
      <w:szCs w:val="29"/>
      <w:lang w:bidi="hi-IN"/>
    </w:rPr>
  </w:style>
  <w:style w:type="paragraph" w:styleId="TOCHeading">
    <w:name w:val="TOC Heading"/>
    <w:basedOn w:val="Heading1"/>
    <w:next w:val="Normal"/>
    <w:uiPriority w:val="39"/>
    <w:unhideWhenUsed/>
    <w:qFormat/>
    <w:rsid w:val="00BB2B98"/>
    <w:pPr>
      <w:outlineLvl w:val="9"/>
    </w:pPr>
    <w:rPr>
      <w:rFonts w:cstheme="majorBidi"/>
      <w:szCs w:val="32"/>
      <w:lang w:val="en-US" w:bidi="ar-SA"/>
    </w:rPr>
  </w:style>
  <w:style w:type="character" w:styleId="CommentReference">
    <w:name w:val="annotation reference"/>
    <w:basedOn w:val="DefaultParagraphFont"/>
    <w:uiPriority w:val="99"/>
    <w:semiHidden/>
    <w:unhideWhenUsed/>
    <w:rsid w:val="00033A75"/>
    <w:rPr>
      <w:sz w:val="16"/>
      <w:szCs w:val="16"/>
    </w:rPr>
  </w:style>
  <w:style w:type="paragraph" w:styleId="CommentText">
    <w:name w:val="annotation text"/>
    <w:basedOn w:val="Normal"/>
    <w:link w:val="CommentTextChar"/>
    <w:uiPriority w:val="99"/>
    <w:unhideWhenUsed/>
    <w:rsid w:val="00033A75"/>
    <w:pPr>
      <w:autoSpaceDE w:val="0"/>
      <w:autoSpaceDN w:val="0"/>
      <w:spacing w:after="0" w:line="240" w:lineRule="auto"/>
    </w:pPr>
    <w:rPr>
      <w:rFonts w:ascii="Times New Roman" w:eastAsia="Times New Roman" w:hAnsi="Times New Roman" w:cs="Times New Roman"/>
      <w:sz w:val="20"/>
      <w:lang w:val="en-US" w:bidi="ar-SA"/>
    </w:rPr>
  </w:style>
  <w:style w:type="character" w:customStyle="1" w:styleId="CommentTextChar">
    <w:name w:val="Comment Text Char"/>
    <w:basedOn w:val="DefaultParagraphFont"/>
    <w:link w:val="CommentText"/>
    <w:uiPriority w:val="99"/>
    <w:rsid w:val="00033A75"/>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33A7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33A75"/>
    <w:rPr>
      <w:rFonts w:ascii="Segoe UI" w:hAnsi="Segoe UI" w:cs="Mangal"/>
      <w:sz w:val="18"/>
      <w:szCs w:val="16"/>
      <w:lang w:bidi="hi-IN"/>
    </w:rPr>
  </w:style>
  <w:style w:type="paragraph" w:styleId="TOC1">
    <w:name w:val="toc 1"/>
    <w:basedOn w:val="Normal"/>
    <w:next w:val="Normal"/>
    <w:autoRedefine/>
    <w:uiPriority w:val="39"/>
    <w:unhideWhenUsed/>
    <w:qFormat/>
    <w:rsid w:val="001C5298"/>
    <w:pPr>
      <w:spacing w:after="100" w:line="360" w:lineRule="auto"/>
    </w:pPr>
    <w:rPr>
      <w:szCs w:val="22"/>
      <w:lang w:val="en-US" w:bidi="ar-SA"/>
    </w:rPr>
  </w:style>
  <w:style w:type="paragraph" w:styleId="TOC2">
    <w:name w:val="toc 2"/>
    <w:basedOn w:val="Normal"/>
    <w:next w:val="Normal"/>
    <w:autoRedefine/>
    <w:uiPriority w:val="39"/>
    <w:unhideWhenUsed/>
    <w:qFormat/>
    <w:rsid w:val="001C5298"/>
    <w:pPr>
      <w:spacing w:after="100"/>
      <w:ind w:left="220"/>
    </w:pPr>
    <w:rPr>
      <w:rFonts w:eastAsiaTheme="minorEastAsia" w:cs="Times New Roman"/>
      <w:szCs w:val="22"/>
      <w:lang w:val="en-US" w:bidi="ar-SA"/>
    </w:rPr>
  </w:style>
  <w:style w:type="paragraph" w:styleId="TOC3">
    <w:name w:val="toc 3"/>
    <w:basedOn w:val="Normal"/>
    <w:next w:val="Normal"/>
    <w:autoRedefine/>
    <w:uiPriority w:val="39"/>
    <w:unhideWhenUsed/>
    <w:qFormat/>
    <w:rsid w:val="001C5298"/>
    <w:pPr>
      <w:spacing w:after="100"/>
      <w:ind w:left="440"/>
    </w:pPr>
    <w:rPr>
      <w:rFonts w:eastAsiaTheme="minorEastAsia" w:cs="Times New Roman"/>
      <w:szCs w:val="22"/>
      <w:lang w:val="en-US" w:bidi="ar-SA"/>
    </w:rPr>
  </w:style>
  <w:style w:type="character" w:customStyle="1" w:styleId="orng">
    <w:name w:val="orng"/>
    <w:basedOn w:val="DefaultParagraphFont"/>
    <w:rsid w:val="007465F1"/>
  </w:style>
  <w:style w:type="paragraph" w:styleId="Header">
    <w:name w:val="header"/>
    <w:basedOn w:val="Normal"/>
    <w:link w:val="HeaderChar"/>
    <w:uiPriority w:val="99"/>
    <w:unhideWhenUsed/>
    <w:rsid w:val="00057372"/>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057372"/>
    <w:rPr>
      <w:rFonts w:cs="Mangal"/>
      <w:szCs w:val="20"/>
      <w:lang w:bidi="hi-IN"/>
    </w:rPr>
  </w:style>
  <w:style w:type="paragraph" w:styleId="Footer">
    <w:name w:val="footer"/>
    <w:basedOn w:val="Normal"/>
    <w:link w:val="FooterChar"/>
    <w:uiPriority w:val="99"/>
    <w:unhideWhenUsed/>
    <w:rsid w:val="00057372"/>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057372"/>
    <w:rPr>
      <w:rFonts w:cs="Mangal"/>
      <w:szCs w:val="20"/>
      <w:lang w:bidi="hi-IN"/>
    </w:rPr>
  </w:style>
  <w:style w:type="paragraph" w:styleId="CommentSubject">
    <w:name w:val="annotation subject"/>
    <w:basedOn w:val="CommentText"/>
    <w:next w:val="CommentText"/>
    <w:link w:val="CommentSubjectChar"/>
    <w:uiPriority w:val="99"/>
    <w:semiHidden/>
    <w:unhideWhenUsed/>
    <w:rsid w:val="007B208C"/>
    <w:pPr>
      <w:autoSpaceDE/>
      <w:autoSpaceDN/>
      <w:spacing w:after="160"/>
    </w:pPr>
    <w:rPr>
      <w:rFonts w:asciiTheme="minorHAnsi" w:eastAsiaTheme="minorHAnsi" w:hAnsiTheme="minorHAnsi" w:cs="Mangal"/>
      <w:b/>
      <w:bCs/>
      <w:szCs w:val="18"/>
      <w:lang w:val="en-IN" w:bidi="hi-IN"/>
    </w:rPr>
  </w:style>
  <w:style w:type="character" w:customStyle="1" w:styleId="CommentSubjectChar">
    <w:name w:val="Comment Subject Char"/>
    <w:basedOn w:val="CommentTextChar"/>
    <w:link w:val="CommentSubject"/>
    <w:uiPriority w:val="99"/>
    <w:semiHidden/>
    <w:rsid w:val="007B208C"/>
    <w:rPr>
      <w:rFonts w:ascii="Times New Roman" w:eastAsia="Times New Roman" w:hAnsi="Times New Roman" w:cs="Mangal"/>
      <w:b/>
      <w:bCs/>
      <w:sz w:val="20"/>
      <w:szCs w:val="18"/>
      <w:lang w:val="en-US" w:bidi="hi-IN"/>
    </w:rPr>
  </w:style>
  <w:style w:type="character" w:customStyle="1" w:styleId="Heading2Char">
    <w:name w:val="Heading 2 Char"/>
    <w:basedOn w:val="DefaultParagraphFont"/>
    <w:link w:val="Heading2"/>
    <w:uiPriority w:val="9"/>
    <w:rsid w:val="00682C51"/>
    <w:rPr>
      <w:rFonts w:asciiTheme="majorHAnsi" w:eastAsiaTheme="majorEastAsia" w:hAnsiTheme="majorHAnsi" w:cs="Mangal"/>
      <w:color w:val="2E74B5" w:themeColor="accent1" w:themeShade="BF"/>
      <w:sz w:val="26"/>
      <w:szCs w:val="23"/>
      <w:lang w:bidi="hi-IN"/>
    </w:rPr>
  </w:style>
  <w:style w:type="character" w:styleId="IntenseEmphasis">
    <w:name w:val="Intense Emphasis"/>
    <w:basedOn w:val="DefaultParagraphFont"/>
    <w:uiPriority w:val="21"/>
    <w:qFormat/>
    <w:rsid w:val="00682C51"/>
    <w:rPr>
      <w:i/>
      <w:iCs/>
      <w:color w:val="5B9BD5" w:themeColor="accent1"/>
    </w:rPr>
  </w:style>
  <w:style w:type="paragraph" w:styleId="NormalWeb">
    <w:name w:val="Normal (Web)"/>
    <w:basedOn w:val="Normal"/>
    <w:uiPriority w:val="99"/>
    <w:unhideWhenUsed/>
    <w:rsid w:val="005075A2"/>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Bibliography">
    <w:name w:val="Bibliography"/>
    <w:basedOn w:val="Normal"/>
    <w:next w:val="Normal"/>
    <w:uiPriority w:val="37"/>
    <w:unhideWhenUsed/>
    <w:rsid w:val="003500C6"/>
    <w:rPr>
      <w:rFonts w:cs="Mangal"/>
    </w:rPr>
  </w:style>
  <w:style w:type="character" w:styleId="FollowedHyperlink">
    <w:name w:val="FollowedHyperlink"/>
    <w:basedOn w:val="DefaultParagraphFont"/>
    <w:uiPriority w:val="99"/>
    <w:semiHidden/>
    <w:unhideWhenUsed/>
    <w:rsid w:val="00C738D7"/>
    <w:rPr>
      <w:color w:val="954F72" w:themeColor="followedHyperlink"/>
      <w:u w:val="single"/>
    </w:rPr>
  </w:style>
  <w:style w:type="paragraph" w:styleId="Revision">
    <w:name w:val="Revision"/>
    <w:hidden/>
    <w:uiPriority w:val="99"/>
    <w:semiHidden/>
    <w:rsid w:val="002D0C43"/>
    <w:pPr>
      <w:spacing w:after="0" w:line="240" w:lineRule="auto"/>
    </w:pPr>
    <w:rPr>
      <w:rFonts w:cs="Mangal"/>
      <w:szCs w:val="20"/>
      <w:lang w:bidi="hi-IN"/>
    </w:rPr>
  </w:style>
  <w:style w:type="character" w:customStyle="1" w:styleId="UnresolvedMention1">
    <w:name w:val="Unresolved Mention1"/>
    <w:basedOn w:val="DefaultParagraphFont"/>
    <w:uiPriority w:val="99"/>
    <w:semiHidden/>
    <w:unhideWhenUsed/>
    <w:rsid w:val="008F6DBB"/>
    <w:rPr>
      <w:color w:val="605E5C"/>
      <w:shd w:val="clear" w:color="auto" w:fill="E1DFDD"/>
    </w:rPr>
  </w:style>
  <w:style w:type="character" w:styleId="Strong">
    <w:name w:val="Strong"/>
    <w:basedOn w:val="DefaultParagraphFont"/>
    <w:uiPriority w:val="22"/>
    <w:qFormat/>
    <w:rsid w:val="002878DD"/>
    <w:rPr>
      <w:b/>
      <w:bCs/>
    </w:rPr>
  </w:style>
  <w:style w:type="character" w:styleId="LineNumber">
    <w:name w:val="line number"/>
    <w:basedOn w:val="DefaultParagraphFont"/>
    <w:uiPriority w:val="99"/>
    <w:semiHidden/>
    <w:unhideWhenUsed/>
    <w:rsid w:val="00E17CD8"/>
  </w:style>
  <w:style w:type="paragraph" w:customStyle="1" w:styleId="xl63">
    <w:name w:val="xl63"/>
    <w:basedOn w:val="Normal"/>
    <w:rsid w:val="00154155"/>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xl64">
    <w:name w:val="xl64"/>
    <w:basedOn w:val="Normal"/>
    <w:rsid w:val="00154155"/>
    <w:pPr>
      <w:spacing w:before="100" w:beforeAutospacing="1" w:after="100" w:afterAutospacing="1" w:line="240" w:lineRule="auto"/>
    </w:pPr>
    <w:rPr>
      <w:rFonts w:ascii="Times New Roman" w:eastAsia="Times New Roman" w:hAnsi="Times New Roman" w:cs="Times New Roman"/>
      <w:b/>
      <w:bCs/>
      <w:sz w:val="24"/>
      <w:szCs w:val="24"/>
      <w:lang w:eastAsia="en-IN" w:bidi="ar-SA"/>
    </w:rPr>
  </w:style>
  <w:style w:type="paragraph" w:customStyle="1" w:styleId="xl65">
    <w:name w:val="xl65"/>
    <w:basedOn w:val="Normal"/>
    <w:rsid w:val="00154155"/>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xl66">
    <w:name w:val="xl66"/>
    <w:basedOn w:val="Normal"/>
    <w:rsid w:val="00154155"/>
    <w:pPr>
      <w:spacing w:before="100" w:beforeAutospacing="1" w:after="100" w:afterAutospacing="1" w:line="240" w:lineRule="auto"/>
    </w:pPr>
    <w:rPr>
      <w:rFonts w:ascii="Times New Roman" w:eastAsia="Times New Roman" w:hAnsi="Times New Roman" w:cs="Times New Roman"/>
      <w:b/>
      <w:bCs/>
      <w:sz w:val="24"/>
      <w:szCs w:val="24"/>
      <w:lang w:eastAsia="en-IN" w:bidi="ar-SA"/>
    </w:rPr>
  </w:style>
  <w:style w:type="paragraph" w:customStyle="1" w:styleId="xl67">
    <w:name w:val="xl67"/>
    <w:basedOn w:val="Normal"/>
    <w:rsid w:val="00154155"/>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xl68">
    <w:name w:val="xl68"/>
    <w:basedOn w:val="Normal"/>
    <w:rsid w:val="000D0C69"/>
    <w:pPr>
      <w:spacing w:before="100" w:beforeAutospacing="1" w:after="100" w:afterAutospacing="1" w:line="240" w:lineRule="auto"/>
    </w:pPr>
    <w:rPr>
      <w:rFonts w:ascii="Times New Roman" w:eastAsia="Times New Roman" w:hAnsi="Times New Roman" w:cs="Times New Roman"/>
      <w:b/>
      <w:bCs/>
      <w:sz w:val="24"/>
      <w:szCs w:val="24"/>
      <w:lang w:eastAsia="en-IN" w:bidi="ar-SA"/>
    </w:rPr>
  </w:style>
  <w:style w:type="paragraph" w:customStyle="1" w:styleId="xl69">
    <w:name w:val="xl69"/>
    <w:basedOn w:val="Normal"/>
    <w:rsid w:val="000D0C69"/>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text">
    <w:name w:val="text"/>
    <w:basedOn w:val="DefaultParagraphFont"/>
    <w:rsid w:val="00F97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79463">
      <w:bodyDiv w:val="1"/>
      <w:marLeft w:val="0"/>
      <w:marRight w:val="0"/>
      <w:marTop w:val="0"/>
      <w:marBottom w:val="0"/>
      <w:divBdr>
        <w:top w:val="none" w:sz="0" w:space="0" w:color="auto"/>
        <w:left w:val="none" w:sz="0" w:space="0" w:color="auto"/>
        <w:bottom w:val="none" w:sz="0" w:space="0" w:color="auto"/>
        <w:right w:val="none" w:sz="0" w:space="0" w:color="auto"/>
      </w:divBdr>
    </w:div>
    <w:div w:id="438379149">
      <w:bodyDiv w:val="1"/>
      <w:marLeft w:val="0"/>
      <w:marRight w:val="0"/>
      <w:marTop w:val="0"/>
      <w:marBottom w:val="0"/>
      <w:divBdr>
        <w:top w:val="none" w:sz="0" w:space="0" w:color="auto"/>
        <w:left w:val="none" w:sz="0" w:space="0" w:color="auto"/>
        <w:bottom w:val="none" w:sz="0" w:space="0" w:color="auto"/>
        <w:right w:val="none" w:sz="0" w:space="0" w:color="auto"/>
      </w:divBdr>
    </w:div>
    <w:div w:id="519011865">
      <w:bodyDiv w:val="1"/>
      <w:marLeft w:val="0"/>
      <w:marRight w:val="0"/>
      <w:marTop w:val="0"/>
      <w:marBottom w:val="0"/>
      <w:divBdr>
        <w:top w:val="none" w:sz="0" w:space="0" w:color="auto"/>
        <w:left w:val="none" w:sz="0" w:space="0" w:color="auto"/>
        <w:bottom w:val="none" w:sz="0" w:space="0" w:color="auto"/>
        <w:right w:val="none" w:sz="0" w:space="0" w:color="auto"/>
      </w:divBdr>
    </w:div>
    <w:div w:id="547647430">
      <w:bodyDiv w:val="1"/>
      <w:marLeft w:val="0"/>
      <w:marRight w:val="0"/>
      <w:marTop w:val="0"/>
      <w:marBottom w:val="0"/>
      <w:divBdr>
        <w:top w:val="none" w:sz="0" w:space="0" w:color="auto"/>
        <w:left w:val="none" w:sz="0" w:space="0" w:color="auto"/>
        <w:bottom w:val="none" w:sz="0" w:space="0" w:color="auto"/>
        <w:right w:val="none" w:sz="0" w:space="0" w:color="auto"/>
      </w:divBdr>
    </w:div>
    <w:div w:id="629559587">
      <w:bodyDiv w:val="1"/>
      <w:marLeft w:val="0"/>
      <w:marRight w:val="0"/>
      <w:marTop w:val="0"/>
      <w:marBottom w:val="0"/>
      <w:divBdr>
        <w:top w:val="none" w:sz="0" w:space="0" w:color="auto"/>
        <w:left w:val="none" w:sz="0" w:space="0" w:color="auto"/>
        <w:bottom w:val="none" w:sz="0" w:space="0" w:color="auto"/>
        <w:right w:val="none" w:sz="0" w:space="0" w:color="auto"/>
      </w:divBdr>
    </w:div>
    <w:div w:id="788553760">
      <w:bodyDiv w:val="1"/>
      <w:marLeft w:val="0"/>
      <w:marRight w:val="0"/>
      <w:marTop w:val="0"/>
      <w:marBottom w:val="0"/>
      <w:divBdr>
        <w:top w:val="none" w:sz="0" w:space="0" w:color="auto"/>
        <w:left w:val="none" w:sz="0" w:space="0" w:color="auto"/>
        <w:bottom w:val="none" w:sz="0" w:space="0" w:color="auto"/>
        <w:right w:val="none" w:sz="0" w:space="0" w:color="auto"/>
      </w:divBdr>
    </w:div>
    <w:div w:id="1327905799">
      <w:bodyDiv w:val="1"/>
      <w:marLeft w:val="0"/>
      <w:marRight w:val="0"/>
      <w:marTop w:val="0"/>
      <w:marBottom w:val="0"/>
      <w:divBdr>
        <w:top w:val="none" w:sz="0" w:space="0" w:color="auto"/>
        <w:left w:val="none" w:sz="0" w:space="0" w:color="auto"/>
        <w:bottom w:val="none" w:sz="0" w:space="0" w:color="auto"/>
        <w:right w:val="none" w:sz="0" w:space="0" w:color="auto"/>
      </w:divBdr>
      <w:divsChild>
        <w:div w:id="1767381950">
          <w:marLeft w:val="0"/>
          <w:marRight w:val="0"/>
          <w:marTop w:val="0"/>
          <w:marBottom w:val="0"/>
          <w:divBdr>
            <w:top w:val="none" w:sz="0" w:space="0" w:color="auto"/>
            <w:left w:val="none" w:sz="0" w:space="0" w:color="auto"/>
            <w:bottom w:val="none" w:sz="0" w:space="0" w:color="auto"/>
            <w:right w:val="none" w:sz="0" w:space="0" w:color="auto"/>
          </w:divBdr>
        </w:div>
      </w:divsChild>
    </w:div>
    <w:div w:id="1364742312">
      <w:bodyDiv w:val="1"/>
      <w:marLeft w:val="0"/>
      <w:marRight w:val="0"/>
      <w:marTop w:val="0"/>
      <w:marBottom w:val="0"/>
      <w:divBdr>
        <w:top w:val="none" w:sz="0" w:space="0" w:color="auto"/>
        <w:left w:val="none" w:sz="0" w:space="0" w:color="auto"/>
        <w:bottom w:val="none" w:sz="0" w:space="0" w:color="auto"/>
        <w:right w:val="none" w:sz="0" w:space="0" w:color="auto"/>
      </w:divBdr>
    </w:div>
    <w:div w:id="1421757361">
      <w:bodyDiv w:val="1"/>
      <w:marLeft w:val="0"/>
      <w:marRight w:val="0"/>
      <w:marTop w:val="0"/>
      <w:marBottom w:val="0"/>
      <w:divBdr>
        <w:top w:val="none" w:sz="0" w:space="0" w:color="auto"/>
        <w:left w:val="none" w:sz="0" w:space="0" w:color="auto"/>
        <w:bottom w:val="none" w:sz="0" w:space="0" w:color="auto"/>
        <w:right w:val="none" w:sz="0" w:space="0" w:color="auto"/>
      </w:divBdr>
    </w:div>
    <w:div w:id="1788695139">
      <w:bodyDiv w:val="1"/>
      <w:marLeft w:val="0"/>
      <w:marRight w:val="0"/>
      <w:marTop w:val="0"/>
      <w:marBottom w:val="0"/>
      <w:divBdr>
        <w:top w:val="none" w:sz="0" w:space="0" w:color="auto"/>
        <w:left w:val="none" w:sz="0" w:space="0" w:color="auto"/>
        <w:bottom w:val="none" w:sz="0" w:space="0" w:color="auto"/>
        <w:right w:val="none" w:sz="0" w:space="0" w:color="auto"/>
      </w:divBdr>
    </w:div>
    <w:div w:id="1879468111">
      <w:bodyDiv w:val="1"/>
      <w:marLeft w:val="0"/>
      <w:marRight w:val="0"/>
      <w:marTop w:val="0"/>
      <w:marBottom w:val="0"/>
      <w:divBdr>
        <w:top w:val="none" w:sz="0" w:space="0" w:color="auto"/>
        <w:left w:val="none" w:sz="0" w:space="0" w:color="auto"/>
        <w:bottom w:val="none" w:sz="0" w:space="0" w:color="auto"/>
        <w:right w:val="none" w:sz="0" w:space="0" w:color="auto"/>
      </w:divBdr>
    </w:div>
    <w:div w:id="1937977118">
      <w:bodyDiv w:val="1"/>
      <w:marLeft w:val="0"/>
      <w:marRight w:val="0"/>
      <w:marTop w:val="0"/>
      <w:marBottom w:val="0"/>
      <w:divBdr>
        <w:top w:val="none" w:sz="0" w:space="0" w:color="auto"/>
        <w:left w:val="none" w:sz="0" w:space="0" w:color="auto"/>
        <w:bottom w:val="none" w:sz="0" w:space="0" w:color="auto"/>
        <w:right w:val="none" w:sz="0" w:space="0" w:color="auto"/>
      </w:divBdr>
    </w:div>
    <w:div w:id="2110541766">
      <w:bodyDiv w:val="1"/>
      <w:marLeft w:val="0"/>
      <w:marRight w:val="0"/>
      <w:marTop w:val="0"/>
      <w:marBottom w:val="0"/>
      <w:divBdr>
        <w:top w:val="none" w:sz="0" w:space="0" w:color="auto"/>
        <w:left w:val="none" w:sz="0" w:space="0" w:color="auto"/>
        <w:bottom w:val="none" w:sz="0" w:space="0" w:color="auto"/>
        <w:right w:val="none" w:sz="0" w:space="0" w:color="auto"/>
      </w:divBdr>
    </w:div>
    <w:div w:id="212140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emis.wbpcb.gov.in/airquality/JSP/aq/districtwiseReport.jsp%20last%20accessed%20on%2021/05/20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pp-inindia.gov.in/infrastructureindi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iiasa.ac.at/web/home/research/researchPrograms/air/IR-98-035.pdf" TargetMode="External"/><Relationship Id="rId25" Type="http://schemas.openxmlformats.org/officeDocument/2006/relationships/hyperlink" Target="http://moef.gov.in/wp-content/uploads/2018/04/Residentialpowerconsumption.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wbpcb.gov.in/writeread-data/upload/downloads/Download-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researchgate.net/publication/321125830"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emis.wbpcb.gov.in" TargetMode="External"/><Relationship Id="rId28" Type="http://schemas.microsoft.com/office/2016/09/relationships/commentsIds" Target="commentsIds.xml"/><Relationship Id="rId10" Type="http://schemas.openxmlformats.org/officeDocument/2006/relationships/image" Target="media/image3.png"/><Relationship Id="rId19" Type="http://schemas.openxmlformats.org/officeDocument/2006/relationships/hyperlink" Target="http://www.cpcb.nic.in/FinalNationalSummary.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yperlink" Target="https://www.wbpspm.gov.in/publications/District%20-Statistical%20Handboo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16/j.atmosenv.2018.05.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733CA-ADA4-4263-8B46-BC81A0B9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11390</Words>
  <Characters>64929</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Dipanjali New</dc:creator>
  <cp:keywords/>
  <dc:description/>
  <cp:lastModifiedBy>Dipanjali New</cp:lastModifiedBy>
  <cp:revision>2</cp:revision>
  <dcterms:created xsi:type="dcterms:W3CDTF">2019-12-04T09:08:00Z</dcterms:created>
  <dcterms:modified xsi:type="dcterms:W3CDTF">2019-12-04T09:08:00Z</dcterms:modified>
</cp:coreProperties>
</file>