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AF9916" w14:textId="5D5C93D5" w:rsidR="005338C5" w:rsidRDefault="002B5477" w:rsidP="005338C5">
      <w:pPr>
        <w:jc w:val="right"/>
      </w:pPr>
      <w:r>
        <w:t>Supplementary material</w:t>
      </w:r>
    </w:p>
    <w:p w14:paraId="5990BF67" w14:textId="77777777" w:rsidR="005338C5" w:rsidRPr="00E61610" w:rsidRDefault="005338C5" w:rsidP="002B5477">
      <w:pPr>
        <w:pStyle w:val="Heading1"/>
        <w:rPr>
          <w:color w:val="auto"/>
          <w:lang w:val="en-US"/>
        </w:rPr>
      </w:pPr>
      <w:r w:rsidRPr="00E61610">
        <w:rPr>
          <w:color w:val="auto"/>
          <w:lang w:val="en-US"/>
        </w:rPr>
        <w:t xml:space="preserve">Forest data </w:t>
      </w:r>
    </w:p>
    <w:p w14:paraId="210BA72A" w14:textId="77777777" w:rsidR="00F64A6F" w:rsidRDefault="005338C5" w:rsidP="00F64A6F">
      <w:pPr>
        <w:ind w:firstLine="425"/>
      </w:pPr>
      <w:r>
        <w:t xml:space="preserve">This </w:t>
      </w:r>
      <w:r w:rsidR="002B5477">
        <w:t>material</w:t>
      </w:r>
      <w:r>
        <w:t xml:space="preserve"> </w:t>
      </w:r>
      <w:r w:rsidRPr="002543FB">
        <w:t xml:space="preserve">covers data and GIS operations to arrive at the point layer </w:t>
      </w:r>
      <w:r>
        <w:t xml:space="preserve">and its further processing into </w:t>
      </w:r>
      <w:r w:rsidRPr="002543FB">
        <w:t>stand</w:t>
      </w:r>
      <w:r>
        <w:t>s</w:t>
      </w:r>
      <w:r w:rsidRPr="002543FB">
        <w:t xml:space="preserve">. </w:t>
      </w:r>
      <w:r>
        <w:t>The original data forms the basis for creating a point layer with each point covering 12.5x12.5 m that is consistent with the original pixel data. Specific numbers refer to 10 area</w:t>
      </w:r>
      <w:r w:rsidR="00F64A6F">
        <w:t xml:space="preserve">s representing </w:t>
      </w:r>
      <w:proofErr w:type="spellStart"/>
      <w:r w:rsidR="00F64A6F">
        <w:t>Kronoberg</w:t>
      </w:r>
      <w:proofErr w:type="spellEnd"/>
      <w:r w:rsidR="00F64A6F">
        <w:t xml:space="preserve"> County (Figure 1). </w:t>
      </w:r>
      <w:r w:rsidR="00F64A6F" w:rsidRPr="003668A4">
        <w:t>Th</w:t>
      </w:r>
      <w:r w:rsidR="00F64A6F">
        <w:t>ey</w:t>
      </w:r>
      <w:r w:rsidR="00F64A6F" w:rsidRPr="003668A4">
        <w:t xml:space="preserve"> </w:t>
      </w:r>
      <w:r w:rsidR="00F64A6F">
        <w:t xml:space="preserve">have </w:t>
      </w:r>
      <w:r w:rsidR="00F64A6F" w:rsidRPr="003668A4">
        <w:t xml:space="preserve">a total area of 89,156 ha and a forest area of 59,593 ha representing 10.5% and 9.1% of the total and forest area of </w:t>
      </w:r>
      <w:proofErr w:type="spellStart"/>
      <w:r w:rsidR="00F64A6F" w:rsidRPr="003668A4">
        <w:t>Kronoberg</w:t>
      </w:r>
      <w:proofErr w:type="spellEnd"/>
      <w:r w:rsidR="00F64A6F" w:rsidRPr="003668A4">
        <w:t xml:space="preserve"> respectively, i.e. the forest is marginally less extensive in the </w:t>
      </w:r>
      <w:r w:rsidR="00F64A6F">
        <w:t>10 areas</w:t>
      </w:r>
      <w:r w:rsidR="00F64A6F" w:rsidRPr="003668A4">
        <w:t xml:space="preserve"> compared to </w:t>
      </w:r>
      <w:proofErr w:type="spellStart"/>
      <w:r w:rsidR="00F64A6F" w:rsidRPr="003668A4">
        <w:t>Kronoberg</w:t>
      </w:r>
      <w:proofErr w:type="spellEnd"/>
      <w:r w:rsidR="00F64A6F" w:rsidRPr="003668A4">
        <w:t xml:space="preserve"> as a whole. </w:t>
      </w:r>
    </w:p>
    <w:p w14:paraId="5718BA71" w14:textId="77777777" w:rsidR="00F64A6F" w:rsidRDefault="00F64A6F" w:rsidP="00F64A6F">
      <w:pPr>
        <w:pStyle w:val="MDPI31text"/>
      </w:pPr>
    </w:p>
    <w:p w14:paraId="6AB56620" w14:textId="77777777" w:rsidR="00F64A6F" w:rsidRDefault="00F64A6F" w:rsidP="00F64A6F">
      <w:pPr>
        <w:pStyle w:val="MDPI31text"/>
      </w:pPr>
      <w:r w:rsidRPr="00D94E6C">
        <w:rPr>
          <w:noProof/>
          <w:lang w:val="sv-SE" w:eastAsia="sv-SE" w:bidi="ar-SA"/>
        </w:rPr>
        <w:drawing>
          <wp:inline distT="0" distB="0" distL="0" distR="0" wp14:anchorId="492894C2" wp14:editId="34DFBB42">
            <wp:extent cx="4572638" cy="257210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572638" cy="2572109"/>
                    </a:xfrm>
                    <a:prstGeom prst="rect">
                      <a:avLst/>
                    </a:prstGeom>
                  </pic:spPr>
                </pic:pic>
              </a:graphicData>
            </a:graphic>
          </wp:inline>
        </w:drawing>
      </w:r>
    </w:p>
    <w:p w14:paraId="4C1BDB1A" w14:textId="77777777" w:rsidR="00F64A6F" w:rsidRPr="004E3C6D" w:rsidRDefault="00F64A6F" w:rsidP="00F64A6F">
      <w:pPr>
        <w:pStyle w:val="MDPI51figurecaption"/>
      </w:pPr>
      <w:r>
        <w:rPr>
          <w:snapToGrid w:val="0"/>
        </w:rPr>
        <w:t>Figure 1</w:t>
      </w:r>
      <w:r w:rsidRPr="004E3C6D">
        <w:rPr>
          <w:snapToGrid w:val="0"/>
        </w:rPr>
        <w:t xml:space="preserve">. The location of the 10 areas representing </w:t>
      </w:r>
      <w:proofErr w:type="spellStart"/>
      <w:r w:rsidRPr="004E3C6D">
        <w:rPr>
          <w:snapToGrid w:val="0"/>
        </w:rPr>
        <w:t>Kronoberg</w:t>
      </w:r>
      <w:proofErr w:type="spellEnd"/>
      <w:r w:rsidRPr="004E3C6D">
        <w:rPr>
          <w:snapToGrid w:val="0"/>
        </w:rPr>
        <w:t xml:space="preserve"> County.</w:t>
      </w:r>
    </w:p>
    <w:p w14:paraId="63B1497D" w14:textId="77777777" w:rsidR="00F64A6F" w:rsidRDefault="00F64A6F" w:rsidP="008A378D">
      <w:pPr>
        <w:ind w:firstLine="425"/>
      </w:pPr>
    </w:p>
    <w:p w14:paraId="235D2078" w14:textId="77777777" w:rsidR="002B5477" w:rsidRDefault="002B5477" w:rsidP="008A378D">
      <w:pPr>
        <w:ind w:firstLine="425"/>
      </w:pPr>
    </w:p>
    <w:p w14:paraId="46B37030" w14:textId="77777777" w:rsidR="009F461F" w:rsidRDefault="009F461F" w:rsidP="008A378D">
      <w:pPr>
        <w:ind w:firstLine="425"/>
      </w:pPr>
    </w:p>
    <w:p w14:paraId="6CE3BE0C" w14:textId="77777777" w:rsidR="009F461F" w:rsidRDefault="009F461F" w:rsidP="008A378D">
      <w:pPr>
        <w:ind w:firstLine="425"/>
      </w:pPr>
    </w:p>
    <w:p w14:paraId="77FEBFAD" w14:textId="77777777" w:rsidR="009F461F" w:rsidRDefault="009F461F" w:rsidP="008A378D">
      <w:pPr>
        <w:ind w:firstLine="425"/>
      </w:pPr>
    </w:p>
    <w:p w14:paraId="030C50A7" w14:textId="77777777" w:rsidR="009F461F" w:rsidRDefault="009F461F" w:rsidP="008A378D">
      <w:pPr>
        <w:ind w:firstLine="425"/>
      </w:pPr>
    </w:p>
    <w:p w14:paraId="0A7ED370" w14:textId="77777777" w:rsidR="009F461F" w:rsidRDefault="009F461F" w:rsidP="008A378D">
      <w:pPr>
        <w:ind w:firstLine="425"/>
      </w:pPr>
    </w:p>
    <w:p w14:paraId="3E822F14" w14:textId="77777777" w:rsidR="009F461F" w:rsidRDefault="009F461F" w:rsidP="008A378D">
      <w:pPr>
        <w:ind w:firstLine="425"/>
      </w:pPr>
    </w:p>
    <w:p w14:paraId="2354F65D" w14:textId="77777777" w:rsidR="009F461F" w:rsidRDefault="009F461F" w:rsidP="008A378D">
      <w:pPr>
        <w:ind w:firstLine="425"/>
      </w:pPr>
    </w:p>
    <w:p w14:paraId="0D7C0BC1" w14:textId="77777777" w:rsidR="009F461F" w:rsidRDefault="009F461F" w:rsidP="008A378D">
      <w:pPr>
        <w:ind w:firstLine="425"/>
      </w:pPr>
    </w:p>
    <w:p w14:paraId="6ADBA6E7" w14:textId="77777777" w:rsidR="009F461F" w:rsidRDefault="009F461F" w:rsidP="008A378D">
      <w:pPr>
        <w:ind w:firstLine="425"/>
      </w:pPr>
    </w:p>
    <w:p w14:paraId="079EEA2D" w14:textId="77777777" w:rsidR="009F461F" w:rsidRDefault="009F461F" w:rsidP="008A378D">
      <w:pPr>
        <w:ind w:firstLine="425"/>
      </w:pPr>
    </w:p>
    <w:p w14:paraId="768A765E" w14:textId="77777777" w:rsidR="009F461F" w:rsidRDefault="009F461F" w:rsidP="008A378D">
      <w:pPr>
        <w:ind w:firstLine="425"/>
      </w:pPr>
    </w:p>
    <w:p w14:paraId="38EBF2EE" w14:textId="77777777" w:rsidR="009F461F" w:rsidRDefault="009F461F" w:rsidP="008A378D">
      <w:pPr>
        <w:ind w:firstLine="425"/>
      </w:pPr>
    </w:p>
    <w:p w14:paraId="4ED354D3" w14:textId="77777777" w:rsidR="005338C5" w:rsidRPr="00E61610" w:rsidRDefault="005338C5" w:rsidP="002B5477">
      <w:pPr>
        <w:pStyle w:val="Heading2"/>
        <w:rPr>
          <w:color w:val="auto"/>
        </w:rPr>
      </w:pPr>
      <w:r w:rsidRPr="00E61610">
        <w:rPr>
          <w:color w:val="auto"/>
        </w:rPr>
        <w:lastRenderedPageBreak/>
        <w:t>Basic data</w:t>
      </w:r>
    </w:p>
    <w:p w14:paraId="1C69FD9E" w14:textId="4F326DFC" w:rsidR="005338C5" w:rsidRPr="00C83B22" w:rsidRDefault="005338C5" w:rsidP="005338C5">
      <w:r w:rsidRPr="00C83B22">
        <w:t xml:space="preserve">Table 1. Original GIS information. All original data is from </w:t>
      </w:r>
      <w:r w:rsidR="003E3FB9" w:rsidRPr="00C83B22">
        <w:t>Swedish Forest Agency (2018)</w:t>
      </w:r>
      <w:r w:rsidR="003E3FB9" w:rsidRPr="00C83B22" w:rsidDel="003E3FB9">
        <w:t xml:space="preserve"> </w:t>
      </w:r>
      <w:r w:rsidRPr="00C83B22">
        <w:t>if nothing else is stated.</w:t>
      </w:r>
    </w:p>
    <w:tbl>
      <w:tblPr>
        <w:tblStyle w:val="PlainTable2"/>
        <w:tblW w:w="7230" w:type="dxa"/>
        <w:jc w:val="center"/>
        <w:tblBorders>
          <w:top w:val="none" w:sz="0" w:space="0" w:color="auto"/>
          <w:bottom w:val="none" w:sz="0" w:space="0" w:color="auto"/>
        </w:tblBorders>
        <w:tblLook w:val="04A0" w:firstRow="1" w:lastRow="0" w:firstColumn="1" w:lastColumn="0" w:noHBand="0" w:noVBand="1"/>
      </w:tblPr>
      <w:tblGrid>
        <w:gridCol w:w="7230"/>
      </w:tblGrid>
      <w:tr w:rsidR="005338C5" w:rsidRPr="00C83B22" w14:paraId="3297062A" w14:textId="77777777" w:rsidTr="007E644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single" w:sz="4" w:space="0" w:color="auto"/>
              <w:bottom w:val="single" w:sz="4" w:space="0" w:color="auto"/>
            </w:tcBorders>
          </w:tcPr>
          <w:p w14:paraId="29335D82" w14:textId="77777777" w:rsidR="005338C5" w:rsidRPr="00C83B22" w:rsidRDefault="005338C5" w:rsidP="00B47DF5">
            <w:pPr>
              <w:jc w:val="center"/>
            </w:pPr>
            <w:r w:rsidRPr="00C83B22">
              <w:t>Data with pixel origin</w:t>
            </w:r>
          </w:p>
        </w:tc>
      </w:tr>
      <w:tr w:rsidR="005338C5" w:rsidRPr="00C83B22" w14:paraId="799EC219"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single" w:sz="4" w:space="0" w:color="auto"/>
              <w:bottom w:val="none" w:sz="0" w:space="0" w:color="auto"/>
            </w:tcBorders>
          </w:tcPr>
          <w:p w14:paraId="66D44D1A" w14:textId="77777777" w:rsidR="005338C5" w:rsidRPr="00C83B22" w:rsidRDefault="005338C5" w:rsidP="00B47DF5">
            <w:pPr>
              <w:jc w:val="center"/>
              <w:rPr>
                <w:b w:val="0"/>
              </w:rPr>
            </w:pPr>
            <w:r w:rsidRPr="00C83B22">
              <w:rPr>
                <w:b w:val="0"/>
              </w:rPr>
              <w:t>Basal area (m</w:t>
            </w:r>
            <w:r w:rsidRPr="00C83B22">
              <w:rPr>
                <w:b w:val="0"/>
                <w:vertAlign w:val="superscript"/>
              </w:rPr>
              <w:t>2</w:t>
            </w:r>
            <w:r w:rsidRPr="00C83B22">
              <w:rPr>
                <w:b w:val="0"/>
              </w:rPr>
              <w:t xml:space="preserve"> ha</w:t>
            </w:r>
            <w:r w:rsidRPr="00C83B22">
              <w:rPr>
                <w:b w:val="0"/>
                <w:vertAlign w:val="superscript"/>
              </w:rPr>
              <w:t>-1</w:t>
            </w:r>
            <w:r w:rsidRPr="00C83B22">
              <w:rPr>
                <w:b w:val="0"/>
              </w:rPr>
              <w:t>)</w:t>
            </w:r>
          </w:p>
        </w:tc>
      </w:tr>
      <w:tr w:rsidR="005338C5" w:rsidRPr="00C83B22" w14:paraId="5B0052F1"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5A892940" w14:textId="77777777" w:rsidR="005338C5" w:rsidRPr="00C83B22" w:rsidRDefault="005338C5" w:rsidP="00B47DF5">
            <w:pPr>
              <w:jc w:val="center"/>
              <w:rPr>
                <w:b w:val="0"/>
              </w:rPr>
            </w:pPr>
            <w:r w:rsidRPr="00C83B22">
              <w:rPr>
                <w:b w:val="0"/>
              </w:rPr>
              <w:t>Volume of pine trees (m</w:t>
            </w:r>
            <w:r w:rsidRPr="00C83B22">
              <w:rPr>
                <w:b w:val="0"/>
                <w:vertAlign w:val="superscript"/>
              </w:rPr>
              <w:t>3</w:t>
            </w:r>
            <w:r w:rsidRPr="00C83B22">
              <w:rPr>
                <w:b w:val="0"/>
              </w:rPr>
              <w:t xml:space="preserve"> ha</w:t>
            </w:r>
            <w:r w:rsidRPr="00C83B22">
              <w:rPr>
                <w:b w:val="0"/>
                <w:vertAlign w:val="superscript"/>
              </w:rPr>
              <w:t>-1</w:t>
            </w:r>
            <w:r w:rsidRPr="00C83B22">
              <w:rPr>
                <w:b w:val="0"/>
              </w:rPr>
              <w:t>)</w:t>
            </w:r>
          </w:p>
        </w:tc>
      </w:tr>
      <w:tr w:rsidR="005338C5" w:rsidRPr="00C83B22" w14:paraId="1F42C087"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none" w:sz="0" w:space="0" w:color="auto"/>
            </w:tcBorders>
          </w:tcPr>
          <w:p w14:paraId="367AC776" w14:textId="77777777" w:rsidR="005338C5" w:rsidRPr="00C83B22" w:rsidRDefault="005338C5" w:rsidP="00B47DF5">
            <w:pPr>
              <w:jc w:val="center"/>
              <w:rPr>
                <w:b w:val="0"/>
              </w:rPr>
            </w:pPr>
            <w:r w:rsidRPr="00C83B22">
              <w:rPr>
                <w:b w:val="0"/>
              </w:rPr>
              <w:t>Volume of spruce trees (m</w:t>
            </w:r>
            <w:r w:rsidRPr="00C83B22">
              <w:rPr>
                <w:b w:val="0"/>
                <w:vertAlign w:val="superscript"/>
              </w:rPr>
              <w:t>3</w:t>
            </w:r>
            <w:r w:rsidRPr="00C83B22">
              <w:rPr>
                <w:b w:val="0"/>
              </w:rPr>
              <w:t xml:space="preserve"> ha</w:t>
            </w:r>
            <w:r w:rsidRPr="00C83B22">
              <w:rPr>
                <w:b w:val="0"/>
                <w:vertAlign w:val="superscript"/>
              </w:rPr>
              <w:t>-1</w:t>
            </w:r>
            <w:r w:rsidRPr="00C83B22">
              <w:rPr>
                <w:b w:val="0"/>
              </w:rPr>
              <w:t>)</w:t>
            </w:r>
          </w:p>
        </w:tc>
      </w:tr>
      <w:tr w:rsidR="005338C5" w:rsidRPr="00C83B22" w14:paraId="6E3A82FA"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5EE0B988" w14:textId="77777777" w:rsidR="005338C5" w:rsidRPr="00C83B22" w:rsidRDefault="005338C5" w:rsidP="00B47DF5">
            <w:pPr>
              <w:jc w:val="center"/>
              <w:rPr>
                <w:b w:val="0"/>
              </w:rPr>
            </w:pPr>
            <w:r w:rsidRPr="00C83B22">
              <w:rPr>
                <w:b w:val="0"/>
              </w:rPr>
              <w:t>Volume of deciduous trees (m</w:t>
            </w:r>
            <w:r w:rsidRPr="00C83B22">
              <w:rPr>
                <w:b w:val="0"/>
                <w:vertAlign w:val="superscript"/>
              </w:rPr>
              <w:t>3</w:t>
            </w:r>
            <w:r w:rsidRPr="00C83B22">
              <w:rPr>
                <w:b w:val="0"/>
              </w:rPr>
              <w:t xml:space="preserve"> ha</w:t>
            </w:r>
            <w:r w:rsidRPr="00C83B22">
              <w:rPr>
                <w:b w:val="0"/>
                <w:vertAlign w:val="superscript"/>
              </w:rPr>
              <w:t>-1</w:t>
            </w:r>
            <w:r w:rsidRPr="00C83B22">
              <w:rPr>
                <w:b w:val="0"/>
              </w:rPr>
              <w:t>)</w:t>
            </w:r>
          </w:p>
        </w:tc>
      </w:tr>
      <w:tr w:rsidR="005338C5" w:rsidRPr="00C83B22" w14:paraId="31599A01"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none" w:sz="0" w:space="0" w:color="auto"/>
            </w:tcBorders>
          </w:tcPr>
          <w:p w14:paraId="55BF923A" w14:textId="77777777" w:rsidR="005338C5" w:rsidRPr="00C83B22" w:rsidRDefault="005338C5" w:rsidP="00B47DF5">
            <w:pPr>
              <w:jc w:val="center"/>
              <w:rPr>
                <w:b w:val="0"/>
              </w:rPr>
            </w:pPr>
            <w:r w:rsidRPr="00C83B22">
              <w:rPr>
                <w:b w:val="0"/>
              </w:rPr>
              <w:t>Average height, basal area weighted (</w:t>
            </w:r>
            <w:proofErr w:type="spellStart"/>
            <w:r w:rsidRPr="00C83B22">
              <w:rPr>
                <w:b w:val="0"/>
              </w:rPr>
              <w:t>dm</w:t>
            </w:r>
            <w:proofErr w:type="spellEnd"/>
            <w:r w:rsidRPr="00C83B22">
              <w:rPr>
                <w:b w:val="0"/>
              </w:rPr>
              <w:t>)</w:t>
            </w:r>
          </w:p>
        </w:tc>
        <w:bookmarkStart w:id="0" w:name="_GoBack"/>
        <w:bookmarkEnd w:id="0"/>
      </w:tr>
      <w:tr w:rsidR="005338C5" w:rsidRPr="00C83B22" w14:paraId="29A59D62"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5575F785" w14:textId="77777777" w:rsidR="005338C5" w:rsidRPr="00C83B22" w:rsidRDefault="005338C5" w:rsidP="00B47DF5">
            <w:pPr>
              <w:jc w:val="center"/>
              <w:rPr>
                <w:b w:val="0"/>
              </w:rPr>
            </w:pPr>
            <w:r w:rsidRPr="00C83B22">
              <w:rPr>
                <w:b w:val="0"/>
              </w:rPr>
              <w:t>Average diameter, basal area weighted (cm)</w:t>
            </w:r>
          </w:p>
        </w:tc>
      </w:tr>
      <w:tr w:rsidR="005338C5" w:rsidRPr="00C83B22" w14:paraId="21B9D504"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none" w:sz="0" w:space="0" w:color="auto"/>
            </w:tcBorders>
          </w:tcPr>
          <w:p w14:paraId="519379F0" w14:textId="77777777" w:rsidR="005338C5" w:rsidRPr="00C83B22" w:rsidRDefault="005338C5" w:rsidP="00B47DF5">
            <w:pPr>
              <w:jc w:val="center"/>
              <w:rPr>
                <w:b w:val="0"/>
              </w:rPr>
            </w:pPr>
            <w:r w:rsidRPr="00C83B22">
              <w:rPr>
                <w:b w:val="0"/>
              </w:rPr>
              <w:t>Soil moisture (topographic wetness index - TWI)</w:t>
            </w:r>
            <w:r w:rsidR="00B47DF5" w:rsidRPr="00C83B22">
              <w:rPr>
                <w:b w:val="0"/>
                <w:vertAlign w:val="superscript"/>
              </w:rPr>
              <w:t>(1</w:t>
            </w:r>
            <w:r w:rsidRPr="00C83B22">
              <w:rPr>
                <w:b w:val="0"/>
                <w:vertAlign w:val="superscript"/>
              </w:rPr>
              <w:t>)</w:t>
            </w:r>
          </w:p>
        </w:tc>
      </w:tr>
      <w:tr w:rsidR="005338C5" w:rsidRPr="00C83B22" w14:paraId="011FED82"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712DB259" w14:textId="77777777" w:rsidR="005338C5" w:rsidRPr="00C83B22" w:rsidRDefault="005338C5" w:rsidP="00B47DF5">
            <w:pPr>
              <w:jc w:val="center"/>
              <w:rPr>
                <w:b w:val="0"/>
              </w:rPr>
            </w:pPr>
            <w:r w:rsidRPr="00C83B22">
              <w:rPr>
                <w:b w:val="0"/>
              </w:rPr>
              <w:t>Data with vector or polygon origin</w:t>
            </w:r>
          </w:p>
        </w:tc>
      </w:tr>
      <w:tr w:rsidR="005338C5" w:rsidRPr="00C83B22" w14:paraId="01B6ED16"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none" w:sz="0" w:space="0" w:color="auto"/>
            </w:tcBorders>
          </w:tcPr>
          <w:p w14:paraId="40E73A5E" w14:textId="77777777" w:rsidR="005338C5" w:rsidRPr="00C83B22" w:rsidRDefault="005338C5" w:rsidP="00B47DF5">
            <w:pPr>
              <w:jc w:val="center"/>
              <w:rPr>
                <w:b w:val="0"/>
              </w:rPr>
            </w:pPr>
            <w:r w:rsidRPr="00C83B22">
              <w:rPr>
                <w:b w:val="0"/>
              </w:rPr>
              <w:t>Year of notification of final harvest (year)</w:t>
            </w:r>
          </w:p>
        </w:tc>
      </w:tr>
      <w:tr w:rsidR="005338C5" w:rsidRPr="00C83B22" w14:paraId="0ABA4A3E"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61B22820" w14:textId="77777777" w:rsidR="005338C5" w:rsidRPr="00C83B22" w:rsidRDefault="005338C5" w:rsidP="00B47DF5">
            <w:pPr>
              <w:jc w:val="center"/>
              <w:rPr>
                <w:b w:val="0"/>
                <w:vertAlign w:val="superscript"/>
              </w:rPr>
            </w:pPr>
            <w:r w:rsidRPr="00C83B22">
              <w:rPr>
                <w:b w:val="0"/>
              </w:rPr>
              <w:t>Cadastral unit number (no.)</w:t>
            </w:r>
            <w:r w:rsidR="00B47DF5" w:rsidRPr="00C83B22">
              <w:rPr>
                <w:b w:val="0"/>
                <w:vertAlign w:val="superscript"/>
              </w:rPr>
              <w:t>(2</w:t>
            </w:r>
            <w:r w:rsidRPr="00C83B22">
              <w:rPr>
                <w:b w:val="0"/>
                <w:vertAlign w:val="superscript"/>
              </w:rPr>
              <w:t>)</w:t>
            </w:r>
          </w:p>
        </w:tc>
      </w:tr>
      <w:tr w:rsidR="005338C5" w:rsidRPr="00C83B22" w14:paraId="616D689E"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none" w:sz="0" w:space="0" w:color="auto"/>
            </w:tcBorders>
          </w:tcPr>
          <w:p w14:paraId="27BEE53F" w14:textId="77777777" w:rsidR="005338C5" w:rsidRPr="00C83B22" w:rsidRDefault="005338C5" w:rsidP="00B47DF5">
            <w:pPr>
              <w:jc w:val="center"/>
              <w:rPr>
                <w:b w:val="0"/>
              </w:rPr>
            </w:pPr>
            <w:r w:rsidRPr="00C83B22">
              <w:rPr>
                <w:b w:val="0"/>
              </w:rPr>
              <w:t>Stand type, code used in ‘</w:t>
            </w:r>
            <w:proofErr w:type="spellStart"/>
            <w:r w:rsidRPr="00C83B22">
              <w:rPr>
                <w:b w:val="0"/>
              </w:rPr>
              <w:t>Marktäckedata</w:t>
            </w:r>
            <w:proofErr w:type="spellEnd"/>
            <w:r w:rsidRPr="00C83B22">
              <w:rPr>
                <w:b w:val="0"/>
              </w:rPr>
              <w:t xml:space="preserve">’ </w:t>
            </w:r>
            <w:r w:rsidR="00B47DF5" w:rsidRPr="00C83B22">
              <w:rPr>
                <w:b w:val="0"/>
                <w:vertAlign w:val="superscript"/>
              </w:rPr>
              <w:t>(3</w:t>
            </w:r>
            <w:r w:rsidRPr="00C83B22">
              <w:rPr>
                <w:b w:val="0"/>
                <w:vertAlign w:val="superscript"/>
              </w:rPr>
              <w:t>)</w:t>
            </w:r>
          </w:p>
        </w:tc>
      </w:tr>
      <w:tr w:rsidR="005338C5" w:rsidRPr="00C83B22" w14:paraId="42C589CB" w14:textId="77777777" w:rsidTr="007E6446">
        <w:trPr>
          <w:jc w:val="center"/>
        </w:trPr>
        <w:tc>
          <w:tcPr>
            <w:cnfStyle w:val="001000000000" w:firstRow="0" w:lastRow="0" w:firstColumn="1" w:lastColumn="0" w:oddVBand="0" w:evenVBand="0" w:oddHBand="0" w:evenHBand="0" w:firstRowFirstColumn="0" w:firstRowLastColumn="0" w:lastRowFirstColumn="0" w:lastRowLastColumn="0"/>
            <w:tcW w:w="7230" w:type="dxa"/>
          </w:tcPr>
          <w:p w14:paraId="3D536139" w14:textId="77777777" w:rsidR="005338C5" w:rsidRPr="00C83B22" w:rsidRDefault="005338C5" w:rsidP="00B47DF5">
            <w:pPr>
              <w:jc w:val="center"/>
              <w:rPr>
                <w:b w:val="0"/>
              </w:rPr>
            </w:pPr>
            <w:r w:rsidRPr="00C83B22">
              <w:rPr>
                <w:b w:val="0"/>
              </w:rPr>
              <w:t>Nature protection status (various layers on protection and agreements)</w:t>
            </w:r>
          </w:p>
        </w:tc>
      </w:tr>
      <w:tr w:rsidR="005338C5" w:rsidRPr="00C83B22" w14:paraId="6187A074" w14:textId="77777777" w:rsidTr="007E644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7230" w:type="dxa"/>
            <w:tcBorders>
              <w:top w:val="none" w:sz="0" w:space="0" w:color="auto"/>
              <w:bottom w:val="single" w:sz="4" w:space="0" w:color="auto"/>
            </w:tcBorders>
          </w:tcPr>
          <w:p w14:paraId="2F441287" w14:textId="4E822DC5" w:rsidR="005338C5" w:rsidRPr="00C83B22" w:rsidRDefault="005338C5" w:rsidP="00B47DF5">
            <w:pPr>
              <w:jc w:val="center"/>
              <w:rPr>
                <w:b w:val="0"/>
              </w:rPr>
            </w:pPr>
            <w:r w:rsidRPr="00C83B22">
              <w:rPr>
                <w:b w:val="0"/>
              </w:rPr>
              <w:t>Streams and lakes</w:t>
            </w:r>
            <w:r w:rsidRPr="00C83B22">
              <w:rPr>
                <w:b w:val="0"/>
                <w:vertAlign w:val="superscript"/>
              </w:rPr>
              <w:t xml:space="preserve"> (</w:t>
            </w:r>
            <w:r w:rsidR="007803A3">
              <w:rPr>
                <w:rFonts w:cs="Calibri"/>
                <w:b w:val="0"/>
                <w:vertAlign w:val="superscript"/>
              </w:rPr>
              <w:t>2</w:t>
            </w:r>
            <w:r w:rsidRPr="00C83B22">
              <w:rPr>
                <w:rFonts w:cs="Calibri"/>
                <w:b w:val="0"/>
                <w:vertAlign w:val="superscript"/>
              </w:rPr>
              <w:t>)</w:t>
            </w:r>
          </w:p>
        </w:tc>
      </w:tr>
    </w:tbl>
    <w:p w14:paraId="2B23730F" w14:textId="77777777" w:rsidR="005338C5" w:rsidRPr="00C83B22" w:rsidRDefault="00B47DF5" w:rsidP="005338C5">
      <w:r w:rsidRPr="00C83B22">
        <w:rPr>
          <w:vertAlign w:val="superscript"/>
        </w:rPr>
        <w:t>(1</w:t>
      </w:r>
      <w:r w:rsidR="005338C5" w:rsidRPr="00C83B22">
        <w:rPr>
          <w:vertAlign w:val="superscript"/>
        </w:rPr>
        <w:t xml:space="preserve">) </w:t>
      </w:r>
      <w:r w:rsidR="005338C5" w:rsidRPr="00C83B22">
        <w:t xml:space="preserve">Curtesy of William </w:t>
      </w:r>
      <w:proofErr w:type="spellStart"/>
      <w:r w:rsidR="005338C5" w:rsidRPr="00C83B22">
        <w:t>Lidberg</w:t>
      </w:r>
      <w:proofErr w:type="spellEnd"/>
      <w:r w:rsidR="005338C5" w:rsidRPr="00C83B22">
        <w:t>, Department of Forest Ecology and Management, SLU, providing the TWI data.</w:t>
      </w:r>
    </w:p>
    <w:p w14:paraId="0A01D607" w14:textId="5CB24BF7" w:rsidR="005338C5" w:rsidRPr="00C83B22" w:rsidRDefault="00B47DF5" w:rsidP="005338C5">
      <w:r w:rsidRPr="00C83B22">
        <w:rPr>
          <w:vertAlign w:val="superscript"/>
        </w:rPr>
        <w:t>(2</w:t>
      </w:r>
      <w:r w:rsidR="005338C5" w:rsidRPr="00C83B22">
        <w:rPr>
          <w:vertAlign w:val="superscript"/>
        </w:rPr>
        <w:t>)</w:t>
      </w:r>
      <w:r w:rsidR="005338C5" w:rsidRPr="00C83B22">
        <w:t xml:space="preserve"> </w:t>
      </w:r>
      <w:proofErr w:type="spellStart"/>
      <w:r w:rsidR="00512BDB" w:rsidRPr="00C83B22">
        <w:t>Lantmäteriet</w:t>
      </w:r>
      <w:proofErr w:type="spellEnd"/>
      <w:r w:rsidR="00512BDB" w:rsidRPr="00C83B22">
        <w:t xml:space="preserve"> 2018.</w:t>
      </w:r>
    </w:p>
    <w:p w14:paraId="10978145" w14:textId="1B0A7A3B" w:rsidR="005338C5" w:rsidRDefault="00B47DF5" w:rsidP="005338C5">
      <w:r w:rsidRPr="00C83B22">
        <w:rPr>
          <w:vertAlign w:val="superscript"/>
        </w:rPr>
        <w:t>(3</w:t>
      </w:r>
      <w:r w:rsidR="005338C5" w:rsidRPr="00C83B22">
        <w:rPr>
          <w:vertAlign w:val="superscript"/>
        </w:rPr>
        <w:t>)</w:t>
      </w:r>
      <w:r w:rsidR="005338C5" w:rsidRPr="00C83B22">
        <w:t xml:space="preserve"> </w:t>
      </w:r>
      <w:proofErr w:type="spellStart"/>
      <w:r w:rsidR="003E3FB9" w:rsidRPr="00C83B22">
        <w:t>Metria</w:t>
      </w:r>
      <w:proofErr w:type="spellEnd"/>
      <w:r w:rsidR="003E3FB9" w:rsidRPr="00C83B22">
        <w:t xml:space="preserve"> 2018.</w:t>
      </w:r>
    </w:p>
    <w:p w14:paraId="671639D0" w14:textId="77777777" w:rsidR="007803A3" w:rsidRPr="00C83B22" w:rsidRDefault="007803A3" w:rsidP="005338C5"/>
    <w:p w14:paraId="1F46EF90" w14:textId="77777777" w:rsidR="005338C5" w:rsidRPr="00C83B22" w:rsidRDefault="005338C5" w:rsidP="005338C5">
      <w:pPr>
        <w:rPr>
          <w:szCs w:val="24"/>
        </w:rPr>
      </w:pPr>
      <w:r w:rsidRPr="00C83B22">
        <w:rPr>
          <w:szCs w:val="24"/>
        </w:rPr>
        <w:t>Comments on the processing of the original data:</w:t>
      </w:r>
    </w:p>
    <w:p w14:paraId="7F612354" w14:textId="77777777" w:rsidR="005338C5" w:rsidRPr="00C83B22" w:rsidRDefault="005338C5" w:rsidP="005338C5">
      <w:pPr>
        <w:pStyle w:val="ListParagraph"/>
        <w:numPr>
          <w:ilvl w:val="0"/>
          <w:numId w:val="2"/>
        </w:numPr>
        <w:rPr>
          <w:rFonts w:ascii="Times New Roman" w:hAnsi="Times New Roman"/>
          <w:sz w:val="24"/>
          <w:szCs w:val="24"/>
          <w:lang w:val="en-US"/>
        </w:rPr>
      </w:pPr>
      <w:r w:rsidRPr="00C83B22">
        <w:rPr>
          <w:rFonts w:ascii="Times New Roman" w:hAnsi="Times New Roman"/>
          <w:sz w:val="24"/>
          <w:szCs w:val="24"/>
          <w:lang w:val="en-US"/>
        </w:rPr>
        <w:t xml:space="preserve">Owner ID was assigned to each point by linking cadastral number with owner </w:t>
      </w:r>
      <w:proofErr w:type="gramStart"/>
      <w:r w:rsidRPr="00C83B22">
        <w:rPr>
          <w:rFonts w:ascii="Times New Roman" w:hAnsi="Times New Roman"/>
          <w:sz w:val="24"/>
          <w:szCs w:val="24"/>
          <w:lang w:val="en-US"/>
        </w:rPr>
        <w:t>ID</w:t>
      </w:r>
      <w:r w:rsidRPr="00C83B22">
        <w:rPr>
          <w:rFonts w:ascii="Times New Roman" w:hAnsi="Times New Roman"/>
          <w:sz w:val="24"/>
          <w:szCs w:val="24"/>
          <w:vertAlign w:val="superscript"/>
          <w:lang w:val="en-US"/>
        </w:rPr>
        <w:t>(</w:t>
      </w:r>
      <w:proofErr w:type="gramEnd"/>
      <w:r w:rsidRPr="00C83B22">
        <w:rPr>
          <w:rFonts w:ascii="Times New Roman" w:hAnsi="Times New Roman"/>
          <w:sz w:val="24"/>
          <w:szCs w:val="24"/>
          <w:vertAlign w:val="superscript"/>
          <w:lang w:val="en-US"/>
        </w:rPr>
        <w:t>*)</w:t>
      </w:r>
      <w:r w:rsidRPr="00C83B22">
        <w:rPr>
          <w:rFonts w:ascii="Times New Roman" w:hAnsi="Times New Roman"/>
          <w:sz w:val="24"/>
          <w:szCs w:val="24"/>
          <w:lang w:val="en-US"/>
        </w:rPr>
        <w:t xml:space="preserve"> gives a common number for all cadastral units owned by the same owner.</w:t>
      </w:r>
    </w:p>
    <w:p w14:paraId="4C953A50" w14:textId="77777777" w:rsidR="005338C5" w:rsidRPr="005B283E" w:rsidRDefault="005338C5" w:rsidP="005338C5">
      <w:pPr>
        <w:pStyle w:val="ListParagraph"/>
        <w:numPr>
          <w:ilvl w:val="0"/>
          <w:numId w:val="2"/>
        </w:numPr>
        <w:rPr>
          <w:rFonts w:ascii="Times New Roman" w:hAnsi="Times New Roman"/>
          <w:sz w:val="24"/>
          <w:szCs w:val="24"/>
          <w:lang w:val="en-US"/>
        </w:rPr>
      </w:pPr>
      <w:r w:rsidRPr="00C83B22">
        <w:rPr>
          <w:rFonts w:ascii="Times New Roman" w:hAnsi="Times New Roman"/>
          <w:sz w:val="24"/>
          <w:szCs w:val="24"/>
          <w:lang w:val="en-US"/>
        </w:rPr>
        <w:t>Year of notification of final harvest is used to identify points that are barren (height 0 and few years since notification) and points that have zero height but more time</w:t>
      </w:r>
      <w:r w:rsidRPr="005B283E">
        <w:rPr>
          <w:rFonts w:ascii="Times New Roman" w:hAnsi="Times New Roman"/>
          <w:sz w:val="24"/>
          <w:szCs w:val="24"/>
          <w:lang w:val="en-US"/>
        </w:rPr>
        <w:t xml:space="preserve"> from notification and is assigned height, basal area and species based on a regression on NFI plots.</w:t>
      </w:r>
    </w:p>
    <w:p w14:paraId="13EADF04" w14:textId="77777777" w:rsidR="005338C5" w:rsidRPr="005B283E" w:rsidRDefault="005338C5" w:rsidP="005338C5">
      <w:pPr>
        <w:pStyle w:val="ListParagraph"/>
        <w:numPr>
          <w:ilvl w:val="0"/>
          <w:numId w:val="2"/>
        </w:numPr>
        <w:rPr>
          <w:rFonts w:ascii="Times New Roman" w:hAnsi="Times New Roman"/>
          <w:sz w:val="24"/>
          <w:szCs w:val="24"/>
          <w:lang w:val="en-US"/>
        </w:rPr>
      </w:pPr>
      <w:r w:rsidRPr="005B283E">
        <w:rPr>
          <w:rFonts w:ascii="Times New Roman" w:hAnsi="Times New Roman"/>
          <w:sz w:val="24"/>
          <w:szCs w:val="24"/>
          <w:lang w:val="en-US"/>
        </w:rPr>
        <w:t xml:space="preserve">Volume is not used as is, instead it is used to derive the relative share of each species/species group (volumes are all computed in the </w:t>
      </w:r>
      <w:proofErr w:type="spellStart"/>
      <w:r w:rsidRPr="005B283E">
        <w:rPr>
          <w:rFonts w:ascii="Times New Roman" w:hAnsi="Times New Roman"/>
          <w:sz w:val="24"/>
          <w:szCs w:val="24"/>
          <w:lang w:val="en-US"/>
        </w:rPr>
        <w:t>Heuerka</w:t>
      </w:r>
      <w:proofErr w:type="spellEnd"/>
      <w:r w:rsidRPr="005B283E">
        <w:rPr>
          <w:rFonts w:ascii="Times New Roman" w:hAnsi="Times New Roman"/>
          <w:sz w:val="24"/>
          <w:szCs w:val="24"/>
          <w:lang w:val="en-US"/>
        </w:rPr>
        <w:t xml:space="preserve"> system). </w:t>
      </w:r>
    </w:p>
    <w:p w14:paraId="347A48A9" w14:textId="77777777" w:rsidR="005338C5" w:rsidRPr="005B283E" w:rsidRDefault="005338C5" w:rsidP="005338C5">
      <w:pPr>
        <w:pStyle w:val="ListParagraph"/>
        <w:numPr>
          <w:ilvl w:val="0"/>
          <w:numId w:val="2"/>
        </w:numPr>
        <w:rPr>
          <w:rFonts w:ascii="Times New Roman" w:hAnsi="Times New Roman"/>
          <w:sz w:val="24"/>
          <w:szCs w:val="24"/>
          <w:lang w:val="en-US"/>
        </w:rPr>
      </w:pPr>
      <w:r w:rsidRPr="005B283E">
        <w:rPr>
          <w:rFonts w:ascii="Times New Roman" w:hAnsi="Times New Roman"/>
          <w:sz w:val="24"/>
          <w:szCs w:val="24"/>
          <w:lang w:val="en-US"/>
        </w:rPr>
        <w:t xml:space="preserve">Soil moisture TWI data is converted to classes dry, mesic, </w:t>
      </w:r>
      <w:proofErr w:type="spellStart"/>
      <w:r w:rsidRPr="005B283E">
        <w:rPr>
          <w:rFonts w:ascii="Times New Roman" w:hAnsi="Times New Roman"/>
          <w:sz w:val="24"/>
          <w:szCs w:val="24"/>
          <w:lang w:val="en-US"/>
        </w:rPr>
        <w:t>mesicmoist</w:t>
      </w:r>
      <w:proofErr w:type="spellEnd"/>
      <w:r w:rsidRPr="005B283E">
        <w:rPr>
          <w:rFonts w:ascii="Times New Roman" w:hAnsi="Times New Roman"/>
          <w:sz w:val="24"/>
          <w:szCs w:val="24"/>
          <w:lang w:val="en-US"/>
        </w:rPr>
        <w:t xml:space="preserve">, moist, and wet by setting breakpoints such that the distribution of area on classes coincide as close as possible with NFI data for </w:t>
      </w:r>
      <w:proofErr w:type="spellStart"/>
      <w:r w:rsidRPr="005B283E">
        <w:rPr>
          <w:rFonts w:ascii="Times New Roman" w:hAnsi="Times New Roman"/>
          <w:sz w:val="24"/>
          <w:szCs w:val="24"/>
          <w:lang w:val="en-US"/>
        </w:rPr>
        <w:t>Kronoberg</w:t>
      </w:r>
      <w:proofErr w:type="spellEnd"/>
      <w:r w:rsidRPr="005B283E">
        <w:rPr>
          <w:rFonts w:ascii="Times New Roman" w:hAnsi="Times New Roman"/>
          <w:sz w:val="24"/>
          <w:szCs w:val="24"/>
          <w:lang w:val="en-US"/>
        </w:rPr>
        <w:t>.</w:t>
      </w:r>
    </w:p>
    <w:p w14:paraId="52425BAD" w14:textId="77777777" w:rsidR="005338C5" w:rsidRDefault="005338C5" w:rsidP="005338C5"/>
    <w:p w14:paraId="56C3E558" w14:textId="77777777" w:rsidR="005338C5" w:rsidRDefault="005338C5" w:rsidP="005338C5">
      <w:r>
        <w:rPr>
          <w:vertAlign w:val="superscript"/>
        </w:rPr>
        <w:t xml:space="preserve">(*) </w:t>
      </w:r>
      <w:r>
        <w:t>Curtesy of David Alger, department of Forest Resource Management, SLU, providing the data register.</w:t>
      </w:r>
    </w:p>
    <w:p w14:paraId="34425795" w14:textId="77777777" w:rsidR="009F461F" w:rsidRDefault="009F461F" w:rsidP="005338C5"/>
    <w:p w14:paraId="7026B735" w14:textId="77777777" w:rsidR="005338C5" w:rsidRPr="00E61610" w:rsidRDefault="005338C5" w:rsidP="002B5477">
      <w:pPr>
        <w:pStyle w:val="Heading2"/>
        <w:rPr>
          <w:color w:val="auto"/>
        </w:rPr>
      </w:pPr>
      <w:r w:rsidRPr="00E61610">
        <w:rPr>
          <w:color w:val="auto"/>
        </w:rPr>
        <w:lastRenderedPageBreak/>
        <w:t>Stand delimitation</w:t>
      </w:r>
    </w:p>
    <w:p w14:paraId="184F626B" w14:textId="77777777" w:rsidR="005338C5" w:rsidRDefault="005338C5" w:rsidP="008A378D">
      <w:pPr>
        <w:ind w:firstLine="425"/>
      </w:pPr>
      <w:r>
        <w:t xml:space="preserve">Stands are delimited within sections. A section is defined as </w:t>
      </w:r>
      <w:r w:rsidR="00DF6104">
        <w:t>a contiguous</w:t>
      </w:r>
      <w:r>
        <w:t xml:space="preserve"> area that has the same owner, is either formally protected or not, and that does not cut across lakes</w:t>
      </w:r>
      <w:r w:rsidR="00C77AC8">
        <w:t xml:space="preserve">, </w:t>
      </w:r>
      <w:r w:rsidR="00DF6104">
        <w:t xml:space="preserve">major roads, and </w:t>
      </w:r>
      <w:r>
        <w:t>streams (</w:t>
      </w:r>
      <w:r w:rsidR="00DF6104">
        <w:t xml:space="preserve">&gt;6 m wide; smaller streams have no width registered and most of them can be passed by harvesting machinery). </w:t>
      </w:r>
    </w:p>
    <w:p w14:paraId="387F6795" w14:textId="77777777" w:rsidR="006E7149" w:rsidRPr="00C1275E" w:rsidRDefault="005338C5" w:rsidP="002F47C9">
      <w:pPr>
        <w:ind w:firstLine="425"/>
        <w:rPr>
          <w:color w:val="auto"/>
        </w:rPr>
      </w:pPr>
      <w:r w:rsidRPr="00C1275E">
        <w:rPr>
          <w:color w:val="auto"/>
        </w:rPr>
        <w:t xml:space="preserve">The stand formation algorithm is done in two steps. In the first step a range of potential stand delimitation alternatives are created and in the second step the sum of within stand standard deviation is minimized. The first step uses a region growing method </w:t>
      </w:r>
      <w:r w:rsidR="00B2255B" w:rsidRPr="00C1275E">
        <w:rPr>
          <w:color w:val="auto"/>
        </w:rPr>
        <w:t xml:space="preserve">(see e.g. </w:t>
      </w:r>
      <w:proofErr w:type="spellStart"/>
      <w:r w:rsidR="00B2255B" w:rsidRPr="00C1275E">
        <w:rPr>
          <w:rFonts w:cs="Calibri"/>
          <w:color w:val="auto"/>
        </w:rPr>
        <w:t>Grilli</w:t>
      </w:r>
      <w:proofErr w:type="spellEnd"/>
      <w:r w:rsidR="00B2255B" w:rsidRPr="00C1275E">
        <w:rPr>
          <w:rFonts w:cs="Calibri"/>
          <w:color w:val="auto"/>
        </w:rPr>
        <w:t xml:space="preserve"> et al. 2017) </w:t>
      </w:r>
      <w:r w:rsidRPr="00C1275E">
        <w:rPr>
          <w:color w:val="auto"/>
        </w:rPr>
        <w:t xml:space="preserve">to create alternative stands and the second step uses linear programming to </w:t>
      </w:r>
      <w:r w:rsidR="00B2255B" w:rsidRPr="00C1275E">
        <w:rPr>
          <w:color w:val="auto"/>
        </w:rPr>
        <w:t>combine the stand alternatives to a map of stands mapping the forest</w:t>
      </w:r>
      <w:r w:rsidRPr="00C1275E">
        <w:rPr>
          <w:color w:val="auto"/>
        </w:rPr>
        <w:t>.</w:t>
      </w:r>
      <w:r w:rsidR="00B2255B" w:rsidRPr="00C1275E">
        <w:rPr>
          <w:color w:val="auto"/>
        </w:rPr>
        <w:t xml:space="preserve"> </w:t>
      </w:r>
      <w:r w:rsidRPr="00C1275E">
        <w:rPr>
          <w:color w:val="auto"/>
        </w:rPr>
        <w:t xml:space="preserve">The criteria used to guide the growth of each stand alternative and the measure of standard deviation in linear programming objective function is the first principal component of variables (factor loadings in parenthesis) height (-0.53), basal area (-0.56), and the relative volume shares of pine (-0.35), spruce (-0.14) and deciduous species (0.50) accounting for 47% of the variation. Thus, at one end you would find old or well stocked pine and spruce forests </w:t>
      </w:r>
      <w:r w:rsidR="00B2255B" w:rsidRPr="00C1275E">
        <w:rPr>
          <w:color w:val="auto"/>
        </w:rPr>
        <w:t xml:space="preserve">with large negative principal component </w:t>
      </w:r>
      <w:r w:rsidR="006E7149" w:rsidRPr="00C1275E">
        <w:rPr>
          <w:color w:val="auto"/>
        </w:rPr>
        <w:t xml:space="preserve">values and </w:t>
      </w:r>
      <w:r w:rsidRPr="00C1275E">
        <w:rPr>
          <w:color w:val="auto"/>
        </w:rPr>
        <w:t xml:space="preserve">at the other </w:t>
      </w:r>
      <w:r w:rsidR="006E7149" w:rsidRPr="00C1275E">
        <w:rPr>
          <w:color w:val="auto"/>
        </w:rPr>
        <w:t xml:space="preserve">end you find </w:t>
      </w:r>
      <w:r w:rsidRPr="00C1275E">
        <w:rPr>
          <w:color w:val="auto"/>
        </w:rPr>
        <w:t>barren land or young stands with predominantly deciduous forests</w:t>
      </w:r>
      <w:r w:rsidR="006E7149" w:rsidRPr="00C1275E">
        <w:rPr>
          <w:color w:val="auto"/>
        </w:rPr>
        <w:t xml:space="preserve"> with large positive values.</w:t>
      </w:r>
    </w:p>
    <w:p w14:paraId="0AB58843" w14:textId="77777777" w:rsidR="002B5477" w:rsidRDefault="005338C5" w:rsidP="002F47C9">
      <w:pPr>
        <w:ind w:firstLine="425"/>
      </w:pPr>
      <w:r w:rsidRPr="007D51CC">
        <w:t>The algorithm was set for a minimum size of ½ ha and a maximum of 4 ha. However, due to “cleaning up” of pockets of unallocated points 23% of the area consists of stands larger than 4 ha, though none above 6.5 ha. The total number of stands is 50,721 with an average of 1.2 ha and median of 0.6 ha. Aggregation of point data to stand data is performed with the median function.</w:t>
      </w:r>
      <w:r>
        <w:t xml:space="preserve"> </w:t>
      </w:r>
    </w:p>
    <w:p w14:paraId="7139309A" w14:textId="77777777" w:rsidR="005338C5" w:rsidRPr="00E61610" w:rsidRDefault="005338C5" w:rsidP="002B5477">
      <w:pPr>
        <w:pStyle w:val="Heading2"/>
        <w:rPr>
          <w:color w:val="auto"/>
        </w:rPr>
      </w:pPr>
      <w:r w:rsidRPr="00E61610">
        <w:rPr>
          <w:color w:val="auto"/>
        </w:rPr>
        <w:t>Data for projecting stand development</w:t>
      </w:r>
    </w:p>
    <w:p w14:paraId="3A0A81FA" w14:textId="77777777" w:rsidR="00B47DF5" w:rsidRDefault="005338C5" w:rsidP="002B5477">
      <w:pPr>
        <w:ind w:firstLine="425"/>
      </w:pPr>
      <w:r w:rsidRPr="007A79A6">
        <w:rPr>
          <w:spacing w:val="-2"/>
        </w:rPr>
        <w:t>The data of the stands are not used directly. Instead each stand is link</w:t>
      </w:r>
      <w:r>
        <w:rPr>
          <w:spacing w:val="-2"/>
        </w:rPr>
        <w:t xml:space="preserve">ed to an NFI plot and the projected development of this plot is used as data for the stand, </w:t>
      </w:r>
      <w:r w:rsidRPr="007A79A6">
        <w:rPr>
          <w:spacing w:val="-2"/>
        </w:rPr>
        <w:t xml:space="preserve">i.e. an imputation method is applied. There are two reasons for that. Firstly, and the most important, the remote sensing data behind the stand data does not contain information on age and site index. Functions describing any of these variables are not available and tests of functions develop by the authors based on NFI data was discouraging. Secondly, making projections with the current growth simulator </w:t>
      </w:r>
      <w:r>
        <w:rPr>
          <w:spacing w:val="-2"/>
        </w:rPr>
        <w:t xml:space="preserve">for each stand (for the 10 areas </w:t>
      </w:r>
      <w:r w:rsidRPr="007A79A6">
        <w:rPr>
          <w:spacing w:val="-2"/>
        </w:rPr>
        <w:t>more than 50,000</w:t>
      </w:r>
      <w:r>
        <w:rPr>
          <w:spacing w:val="-2"/>
        </w:rPr>
        <w:t xml:space="preserve">), </w:t>
      </w:r>
      <w:r w:rsidRPr="007A79A6">
        <w:rPr>
          <w:spacing w:val="-2"/>
        </w:rPr>
        <w:t xml:space="preserve">would be computationally very demanding. A stand is linked to an NFI plot through the shortest Euclidean distance in a normalized space defined by the same variables used to define stands with the addition that the relative share of deciduous forest was differentiated on the sum of oak and beech and other deciduous species, </w:t>
      </w:r>
      <w:r w:rsidRPr="00C1275E">
        <w:rPr>
          <w:color w:val="auto"/>
          <w:spacing w:val="-2"/>
        </w:rPr>
        <w:t xml:space="preserve">respectively. The NFI plots are from </w:t>
      </w:r>
      <w:proofErr w:type="spellStart"/>
      <w:r w:rsidRPr="00C1275E">
        <w:rPr>
          <w:color w:val="auto"/>
          <w:spacing w:val="-2"/>
        </w:rPr>
        <w:t>Kronoberg</w:t>
      </w:r>
      <w:proofErr w:type="spellEnd"/>
      <w:r w:rsidRPr="00C1275E">
        <w:rPr>
          <w:color w:val="auto"/>
          <w:spacing w:val="-2"/>
        </w:rPr>
        <w:t xml:space="preserve"> and neighboring counties </w:t>
      </w:r>
      <w:r w:rsidR="0011081A" w:rsidRPr="00C1275E">
        <w:rPr>
          <w:color w:val="auto"/>
          <w:spacing w:val="-2"/>
        </w:rPr>
        <w:t>(</w:t>
      </w:r>
      <w:proofErr w:type="spellStart"/>
      <w:r w:rsidR="0011081A" w:rsidRPr="00C1275E">
        <w:rPr>
          <w:color w:val="auto"/>
          <w:spacing w:val="-2"/>
        </w:rPr>
        <w:t>Halland</w:t>
      </w:r>
      <w:proofErr w:type="spellEnd"/>
      <w:r w:rsidR="0011081A" w:rsidRPr="00C1275E">
        <w:rPr>
          <w:color w:val="auto"/>
          <w:spacing w:val="-2"/>
        </w:rPr>
        <w:t xml:space="preserve">, Jönköping, Kalmar, </w:t>
      </w:r>
      <w:proofErr w:type="spellStart"/>
      <w:r w:rsidR="0011081A" w:rsidRPr="00C1275E">
        <w:rPr>
          <w:color w:val="auto"/>
          <w:spacing w:val="-2"/>
        </w:rPr>
        <w:t>Blekinge</w:t>
      </w:r>
      <w:proofErr w:type="spellEnd"/>
      <w:r w:rsidR="0011081A" w:rsidRPr="00C1275E">
        <w:rPr>
          <w:color w:val="auto"/>
          <w:spacing w:val="-2"/>
        </w:rPr>
        <w:t xml:space="preserve">, </w:t>
      </w:r>
      <w:proofErr w:type="gramStart"/>
      <w:r w:rsidR="0011081A" w:rsidRPr="00C1275E">
        <w:rPr>
          <w:color w:val="auto"/>
          <w:spacing w:val="-2"/>
        </w:rPr>
        <w:t>Kristianstad</w:t>
      </w:r>
      <w:proofErr w:type="gramEnd"/>
      <w:r w:rsidR="0011081A" w:rsidRPr="00C1275E">
        <w:rPr>
          <w:color w:val="auto"/>
          <w:spacing w:val="-2"/>
        </w:rPr>
        <w:t xml:space="preserve">) </w:t>
      </w:r>
      <w:r w:rsidRPr="00C1275E">
        <w:rPr>
          <w:color w:val="auto"/>
          <w:spacing w:val="-2"/>
        </w:rPr>
        <w:t xml:space="preserve">from the years 2008 to 2013 and count to 6,318 in total. When the stand is projected it will be turned into barren land once final harvest </w:t>
      </w:r>
      <w:r w:rsidRPr="007A79A6">
        <w:rPr>
          <w:spacing w:val="-2"/>
        </w:rPr>
        <w:t>is simulated. Thus, each stand is, besides being linked to an NFI plot, linked to a barren land stand based on moisture (5 classes) and site index (6 classes). This also applies to stands that are barren already from the start of the simulation.</w:t>
      </w:r>
      <w:r w:rsidRPr="00D97DE5">
        <w:t xml:space="preserve"> </w:t>
      </w:r>
    </w:p>
    <w:p w14:paraId="40291B61" w14:textId="77777777" w:rsidR="002F47C9" w:rsidRPr="00E61610" w:rsidRDefault="002F47C9" w:rsidP="002F47C9">
      <w:pPr>
        <w:pStyle w:val="Heading2"/>
        <w:rPr>
          <w:color w:val="auto"/>
        </w:rPr>
      </w:pPr>
      <w:r w:rsidRPr="00E61610">
        <w:rPr>
          <w:color w:val="auto"/>
        </w:rPr>
        <w:lastRenderedPageBreak/>
        <w:t xml:space="preserve">Comparison of sampled area with NFI data for </w:t>
      </w:r>
      <w:proofErr w:type="spellStart"/>
      <w:r w:rsidRPr="00E61610">
        <w:rPr>
          <w:color w:val="auto"/>
        </w:rPr>
        <w:t>Kronoberg</w:t>
      </w:r>
      <w:proofErr w:type="spellEnd"/>
      <w:r w:rsidRPr="00E61610">
        <w:rPr>
          <w:color w:val="auto"/>
        </w:rPr>
        <w:t xml:space="preserve"> County</w:t>
      </w:r>
    </w:p>
    <w:p w14:paraId="040C1DA0" w14:textId="77777777" w:rsidR="002F47C9" w:rsidRDefault="002F47C9" w:rsidP="00C1275E">
      <w:r w:rsidRPr="003668A4">
        <w:t xml:space="preserve">To verify that the procedures reflect conditions in </w:t>
      </w:r>
      <w:proofErr w:type="spellStart"/>
      <w:r w:rsidRPr="003668A4">
        <w:t>Kronoberg</w:t>
      </w:r>
      <w:proofErr w:type="spellEnd"/>
      <w:r w:rsidRPr="003668A4">
        <w:t xml:space="preserve"> County, a number of stand variables </w:t>
      </w:r>
      <w:r>
        <w:t>from the 10 areas were</w:t>
      </w:r>
      <w:r w:rsidRPr="003668A4">
        <w:t xml:space="preserve"> compared with </w:t>
      </w:r>
      <w:r>
        <w:t xml:space="preserve">the </w:t>
      </w:r>
      <w:r w:rsidRPr="003668A4">
        <w:t xml:space="preserve">1,334 NFI data plots for </w:t>
      </w:r>
      <w:proofErr w:type="spellStart"/>
      <w:r w:rsidRPr="003668A4">
        <w:t>Kronoberg</w:t>
      </w:r>
      <w:proofErr w:type="spellEnd"/>
      <w:r w:rsidRPr="003668A4">
        <w:t xml:space="preserve"> County inventoried 2008-2013, i.e. during the period when remot</w:t>
      </w:r>
      <w:r>
        <w:t xml:space="preserve">e sensing data was acquired. </w:t>
      </w:r>
      <w:r w:rsidRPr="003668A4">
        <w:t>The most conspicuous indication of a deviation is probably that that there is too much pine and too little of deciduous species</w:t>
      </w:r>
      <w:r w:rsidR="005729AD">
        <w:t xml:space="preserve"> (Figure 2)</w:t>
      </w:r>
      <w:r w:rsidRPr="003668A4">
        <w:t xml:space="preserve">. </w:t>
      </w:r>
      <w:r>
        <w:t xml:space="preserve">The deviation of the 10 area data from the NFI data for the site index class 30 m appears more to be a sampling error of the NFI data than a real misclassification of the 10 area data. </w:t>
      </w:r>
      <w:r w:rsidRPr="003668A4">
        <w:t>Other distributions appear to follow similar trends for the two datasets. The average volume per ha is 144 m</w:t>
      </w:r>
      <w:r w:rsidRPr="008417DA">
        <w:rPr>
          <w:sz w:val="18"/>
          <w:vertAlign w:val="superscript"/>
        </w:rPr>
        <w:t>3</w:t>
      </w:r>
      <w:r w:rsidRPr="003668A4">
        <w:t xml:space="preserve"> in both materials whereas the average age is 51 and 44 years in the </w:t>
      </w:r>
      <w:r>
        <w:t>10 areas</w:t>
      </w:r>
      <w:r w:rsidRPr="003668A4">
        <w:t xml:space="preserve"> and NFI respectively.</w:t>
      </w:r>
    </w:p>
    <w:p w14:paraId="5FD93E3E" w14:textId="77777777" w:rsidR="002F47C9" w:rsidRDefault="002F47C9" w:rsidP="002F47C9">
      <w:pPr>
        <w:pStyle w:val="MDPI31text"/>
      </w:pPr>
    </w:p>
    <w:tbl>
      <w:tblPr>
        <w:tblStyle w:val="TableGrid"/>
        <w:tblW w:w="9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0"/>
        <w:gridCol w:w="4700"/>
      </w:tblGrid>
      <w:tr w:rsidR="002F47C9" w14:paraId="7169914A" w14:textId="77777777" w:rsidTr="00E4702E">
        <w:trPr>
          <w:trHeight w:val="283"/>
        </w:trPr>
        <w:tc>
          <w:tcPr>
            <w:tcW w:w="4700" w:type="dxa"/>
          </w:tcPr>
          <w:p w14:paraId="2C35B66D" w14:textId="77777777" w:rsidR="002F47C9" w:rsidRDefault="002F47C9" w:rsidP="00C77AC8">
            <w:pPr>
              <w:pStyle w:val="MDPI31text"/>
              <w:ind w:firstLine="0"/>
              <w:jc w:val="center"/>
            </w:pPr>
            <w:r>
              <w:t>(a)</w:t>
            </w:r>
          </w:p>
        </w:tc>
        <w:tc>
          <w:tcPr>
            <w:tcW w:w="4700" w:type="dxa"/>
          </w:tcPr>
          <w:p w14:paraId="23A44EA3" w14:textId="77777777" w:rsidR="002F47C9" w:rsidRDefault="002F47C9" w:rsidP="00C77AC8">
            <w:pPr>
              <w:pStyle w:val="MDPI31text"/>
              <w:ind w:firstLine="0"/>
              <w:jc w:val="center"/>
            </w:pPr>
            <w:r>
              <w:t>(b)</w:t>
            </w:r>
          </w:p>
        </w:tc>
      </w:tr>
      <w:tr w:rsidR="002F47C9" w14:paraId="24AFECFD" w14:textId="77777777" w:rsidTr="00E4702E">
        <w:tblPrEx>
          <w:tblCellMar>
            <w:left w:w="70" w:type="dxa"/>
            <w:right w:w="70" w:type="dxa"/>
          </w:tblCellMar>
        </w:tblPrEx>
        <w:trPr>
          <w:trHeight w:val="684"/>
        </w:trPr>
        <w:tc>
          <w:tcPr>
            <w:tcW w:w="4700" w:type="dxa"/>
          </w:tcPr>
          <w:p w14:paraId="79F7A80F" w14:textId="77777777" w:rsidR="002F47C9" w:rsidRDefault="002F47C9" w:rsidP="00C77AC8">
            <w:pPr>
              <w:pStyle w:val="MDPI31text"/>
              <w:ind w:firstLine="0"/>
            </w:pPr>
            <w:r>
              <w:rPr>
                <w:noProof/>
                <w:lang w:eastAsia="sv-SE" w:bidi="ar-SA"/>
              </w:rPr>
              <w:drawing>
                <wp:inline distT="0" distB="0" distL="0" distR="0" wp14:anchorId="592676C3" wp14:editId="33A6FB8B">
                  <wp:extent cx="2859066" cy="1800000"/>
                  <wp:effectExtent l="0" t="0" r="17780" b="1016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700" w:type="dxa"/>
          </w:tcPr>
          <w:p w14:paraId="2CF7421C" w14:textId="77777777" w:rsidR="002F47C9" w:rsidRDefault="002F47C9" w:rsidP="00C77AC8">
            <w:pPr>
              <w:pStyle w:val="MDPI31text"/>
              <w:ind w:firstLine="0"/>
            </w:pPr>
            <w:r>
              <w:rPr>
                <w:noProof/>
                <w:lang w:eastAsia="sv-SE" w:bidi="ar-SA"/>
              </w:rPr>
              <w:drawing>
                <wp:inline distT="0" distB="0" distL="0" distR="0" wp14:anchorId="280CE222" wp14:editId="114BF5A4">
                  <wp:extent cx="2880000" cy="1800000"/>
                  <wp:effectExtent l="0" t="0" r="15875" b="10160"/>
                  <wp:docPr id="19"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2F47C9" w14:paraId="5D380DEF" w14:textId="77777777" w:rsidTr="00E4702E">
        <w:trPr>
          <w:trHeight w:val="283"/>
        </w:trPr>
        <w:tc>
          <w:tcPr>
            <w:tcW w:w="4700" w:type="dxa"/>
          </w:tcPr>
          <w:p w14:paraId="0C235DF6" w14:textId="77777777" w:rsidR="002F47C9" w:rsidRDefault="002F47C9" w:rsidP="00C77AC8">
            <w:pPr>
              <w:pStyle w:val="MDPI31text"/>
              <w:ind w:firstLine="0"/>
              <w:jc w:val="center"/>
            </w:pPr>
            <w:r>
              <w:t>(c)</w:t>
            </w:r>
          </w:p>
        </w:tc>
        <w:tc>
          <w:tcPr>
            <w:tcW w:w="4700" w:type="dxa"/>
          </w:tcPr>
          <w:p w14:paraId="43D854BF" w14:textId="77777777" w:rsidR="002F47C9" w:rsidRDefault="002F47C9" w:rsidP="00C77AC8">
            <w:pPr>
              <w:pStyle w:val="MDPI31text"/>
              <w:ind w:firstLine="0"/>
              <w:jc w:val="center"/>
            </w:pPr>
            <w:r>
              <w:t>(d)</w:t>
            </w:r>
          </w:p>
        </w:tc>
      </w:tr>
      <w:tr w:rsidR="002F47C9" w14:paraId="34625AF3" w14:textId="77777777" w:rsidTr="00E4702E">
        <w:tblPrEx>
          <w:tblCellMar>
            <w:left w:w="70" w:type="dxa"/>
            <w:right w:w="70" w:type="dxa"/>
          </w:tblCellMar>
        </w:tblPrEx>
        <w:trPr>
          <w:trHeight w:val="684"/>
        </w:trPr>
        <w:tc>
          <w:tcPr>
            <w:tcW w:w="4700" w:type="dxa"/>
          </w:tcPr>
          <w:p w14:paraId="4A7B6EE7" w14:textId="77777777" w:rsidR="002F47C9" w:rsidRDefault="002F47C9" w:rsidP="00C77AC8">
            <w:pPr>
              <w:pStyle w:val="MDPI31text"/>
              <w:ind w:firstLine="0"/>
            </w:pPr>
            <w:r>
              <w:rPr>
                <w:noProof/>
                <w:lang w:eastAsia="sv-SE" w:bidi="ar-SA"/>
              </w:rPr>
              <w:drawing>
                <wp:inline distT="0" distB="0" distL="0" distR="0" wp14:anchorId="2A1B4C67" wp14:editId="744ECB41">
                  <wp:extent cx="2880000" cy="1800000"/>
                  <wp:effectExtent l="0" t="0" r="15875" b="10160"/>
                  <wp:docPr id="20"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c>
          <w:tcPr>
            <w:tcW w:w="4700" w:type="dxa"/>
          </w:tcPr>
          <w:p w14:paraId="7C5A6F07" w14:textId="77777777" w:rsidR="002F47C9" w:rsidRDefault="002F47C9" w:rsidP="00C77AC8">
            <w:pPr>
              <w:pStyle w:val="MDPI31text"/>
              <w:ind w:firstLine="0"/>
            </w:pPr>
            <w:r>
              <w:rPr>
                <w:noProof/>
                <w:lang w:eastAsia="sv-SE" w:bidi="ar-SA"/>
              </w:rPr>
              <w:drawing>
                <wp:inline distT="0" distB="0" distL="0" distR="0" wp14:anchorId="0DD87387" wp14:editId="43D4BFB6">
                  <wp:extent cx="2880000" cy="1800000"/>
                  <wp:effectExtent l="0" t="0" r="15875" b="10160"/>
                  <wp:docPr id="21" name="Chart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3C47FC69" w14:textId="77777777" w:rsidR="002F47C9" w:rsidRPr="00C1275E" w:rsidRDefault="002F47C9" w:rsidP="002F47C9">
      <w:pPr>
        <w:pStyle w:val="MDPI51figurecaption"/>
        <w:rPr>
          <w:color w:val="auto"/>
        </w:rPr>
      </w:pPr>
      <w:r w:rsidRPr="00C1275E">
        <w:rPr>
          <w:color w:val="auto"/>
        </w:rPr>
        <w:t xml:space="preserve">Figure </w:t>
      </w:r>
      <w:r w:rsidR="00E101E5">
        <w:rPr>
          <w:color w:val="auto"/>
        </w:rPr>
        <w:t>2</w:t>
      </w:r>
      <w:r w:rsidRPr="00C1275E">
        <w:rPr>
          <w:color w:val="auto"/>
        </w:rPr>
        <w:t xml:space="preserve">. The initial state for forest variables for the 10 areas and for the NFI data of </w:t>
      </w:r>
      <w:proofErr w:type="spellStart"/>
      <w:r w:rsidRPr="00C1275E">
        <w:rPr>
          <w:color w:val="auto"/>
        </w:rPr>
        <w:t>Kronoberg</w:t>
      </w:r>
      <w:proofErr w:type="spellEnd"/>
      <w:r w:rsidRPr="00C1275E">
        <w:rPr>
          <w:color w:val="auto"/>
        </w:rPr>
        <w:t xml:space="preserve"> County. (a) Species distribution in terms of average stocking ha</w:t>
      </w:r>
      <w:r w:rsidRPr="00C1275E">
        <w:rPr>
          <w:color w:val="auto"/>
          <w:vertAlign w:val="superscript"/>
        </w:rPr>
        <w:t>-1</w:t>
      </w:r>
      <w:r w:rsidRPr="00C1275E">
        <w:rPr>
          <w:color w:val="auto"/>
        </w:rPr>
        <w:t xml:space="preserve">. (b) Age class distribution based on area (age class designated with upper closed bound). (c) Site index in 2 m classes (designated with lower closed bound). (d) The average stocking in different age classes (age class designated with upper closed bound).         </w:t>
      </w:r>
    </w:p>
    <w:p w14:paraId="30AB23B5" w14:textId="77777777" w:rsidR="00F64A6F" w:rsidRPr="00E61610" w:rsidRDefault="00F55D63" w:rsidP="00F64A6F">
      <w:pPr>
        <w:pStyle w:val="Heading2"/>
        <w:rPr>
          <w:color w:val="auto"/>
        </w:rPr>
      </w:pPr>
      <w:r w:rsidRPr="00E61610">
        <w:rPr>
          <w:color w:val="auto"/>
        </w:rPr>
        <w:t>Example of r</w:t>
      </w:r>
      <w:r w:rsidR="00F64A6F" w:rsidRPr="00E61610">
        <w:rPr>
          <w:color w:val="auto"/>
        </w:rPr>
        <w:t>esult</w:t>
      </w:r>
      <w:r w:rsidRPr="00E61610">
        <w:rPr>
          <w:color w:val="auto"/>
        </w:rPr>
        <w:t>s</w:t>
      </w:r>
    </w:p>
    <w:p w14:paraId="3085AF3F" w14:textId="77777777" w:rsidR="002B5477" w:rsidRDefault="002B5477" w:rsidP="002B5477">
      <w:pPr>
        <w:ind w:firstLine="425"/>
      </w:pPr>
      <w:r w:rsidRPr="003668A4">
        <w:t xml:space="preserve">Several typical features can be observed in the cut-out area of 130 ha area in Figure </w:t>
      </w:r>
      <w:r w:rsidR="00E101E5">
        <w:t>3</w:t>
      </w:r>
      <w:r w:rsidRPr="003668A4">
        <w:t xml:space="preserve">. One feature is that there are several small properties cutting through the landscape. There are also signs that previous harvests in many cases follow the property boundaries. There are spots of darker grey in many of the white and light grey stands. This is most likely the retention trees that are left at the harvesting sites. Another feature is the heterogeneity of stand conditions, resulting in stand delimitations with an average size of 1.2 ha and a median </w:t>
      </w:r>
      <w:r w:rsidRPr="003668A4">
        <w:lastRenderedPageBreak/>
        <w:t>of 0.6 ha. The heterogeneity, in addition to small properties, result</w:t>
      </w:r>
      <w:r>
        <w:t>ed</w:t>
      </w:r>
      <w:r w:rsidRPr="003668A4">
        <w:t xml:space="preserve"> in small </w:t>
      </w:r>
      <w:r>
        <w:t xml:space="preserve">final felling </w:t>
      </w:r>
      <w:r w:rsidRPr="003668A4">
        <w:t>sites, often not more than 1 to 2 ha</w:t>
      </w:r>
      <w:r>
        <w:t xml:space="preserve">, which are in line with recent official statistics (average 2,1 ha in </w:t>
      </w:r>
      <w:proofErr w:type="spellStart"/>
      <w:r>
        <w:t>Kronoberg</w:t>
      </w:r>
      <w:proofErr w:type="spellEnd"/>
      <w:r>
        <w:t xml:space="preserve">) </w:t>
      </w:r>
      <w:r w:rsidR="00512BDB">
        <w:rPr>
          <w:color w:val="auto"/>
        </w:rPr>
        <w:t>(Swedish Forest Agency</w:t>
      </w:r>
      <w:r w:rsidR="00E101E5">
        <w:rPr>
          <w:color w:val="auto"/>
        </w:rPr>
        <w:t>,</w:t>
      </w:r>
      <w:r w:rsidR="00512BDB">
        <w:rPr>
          <w:color w:val="auto"/>
        </w:rPr>
        <w:t xml:space="preserve"> 2018)</w:t>
      </w:r>
      <w:r>
        <w:t xml:space="preserve">. </w:t>
      </w:r>
    </w:p>
    <w:p w14:paraId="1A397D02" w14:textId="497EC4D9" w:rsidR="00AA3D9E" w:rsidRDefault="00AA3D9E" w:rsidP="002B5477">
      <w:pPr>
        <w:ind w:firstLine="425"/>
      </w:pPr>
      <w:r w:rsidRPr="004D7FF2">
        <w:t xml:space="preserve">All GIS operations </w:t>
      </w:r>
      <w:r>
        <w:t>were</w:t>
      </w:r>
      <w:r w:rsidRPr="004D7FF2">
        <w:t xml:space="preserve"> done with </w:t>
      </w:r>
      <w:r w:rsidRPr="00207BFC">
        <w:rPr>
          <w:color w:val="auto"/>
        </w:rPr>
        <w:t xml:space="preserve">FME </w:t>
      </w:r>
      <w:r>
        <w:rPr>
          <w:color w:val="auto"/>
        </w:rPr>
        <w:t>(2018)</w:t>
      </w:r>
      <w:r w:rsidRPr="00207BFC">
        <w:rPr>
          <w:color w:val="auto"/>
        </w:rPr>
        <w:t xml:space="preserve"> </w:t>
      </w:r>
      <w:r w:rsidRPr="004D7FF2">
        <w:t xml:space="preserve">and GIS based illustrations </w:t>
      </w:r>
      <w:r>
        <w:t>were</w:t>
      </w:r>
      <w:r w:rsidRPr="004D7FF2">
        <w:t xml:space="preserve"> produced with QGIS </w:t>
      </w:r>
      <w:r>
        <w:rPr>
          <w:color w:val="auto"/>
        </w:rPr>
        <w:t>(2018)</w:t>
      </w:r>
      <w:r w:rsidRPr="004D7FF2">
        <w:t>.</w:t>
      </w:r>
    </w:p>
    <w:p w14:paraId="13A0CB39" w14:textId="77777777" w:rsidR="002B5477" w:rsidRDefault="002B5477" w:rsidP="002B5477">
      <w:pPr>
        <w:pStyle w:val="MDPI31text"/>
      </w:pPr>
      <w:r w:rsidRPr="003668A4">
        <w:t xml:space="preserve"> </w:t>
      </w:r>
    </w:p>
    <w:p w14:paraId="1AA0FA30" w14:textId="77777777" w:rsidR="002B5477" w:rsidRDefault="002B5477" w:rsidP="002B5477">
      <w:pPr>
        <w:pStyle w:val="MDPI31text"/>
      </w:pPr>
      <w:r w:rsidRPr="00D94E6C">
        <w:rPr>
          <w:noProof/>
          <w:lang w:val="sv-SE" w:eastAsia="sv-SE" w:bidi="ar-SA"/>
        </w:rPr>
        <w:drawing>
          <wp:inline distT="0" distB="0" distL="0" distR="0" wp14:anchorId="53CB6F66" wp14:editId="3E7D846E">
            <wp:extent cx="4572638" cy="257210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572638" cy="2572109"/>
                    </a:xfrm>
                    <a:prstGeom prst="rect">
                      <a:avLst/>
                    </a:prstGeom>
                  </pic:spPr>
                </pic:pic>
              </a:graphicData>
            </a:graphic>
          </wp:inline>
        </w:drawing>
      </w:r>
    </w:p>
    <w:p w14:paraId="2CAACAEC" w14:textId="77777777" w:rsidR="002B5477" w:rsidRPr="004D7FF2" w:rsidRDefault="002B5477" w:rsidP="002B5477">
      <w:pPr>
        <w:pStyle w:val="MDPI51figurecaption"/>
      </w:pPr>
      <w:r>
        <w:t xml:space="preserve">Figure </w:t>
      </w:r>
      <w:r w:rsidR="00E101E5">
        <w:t>3</w:t>
      </w:r>
      <w:r>
        <w:t>. A 130 ha e</w:t>
      </w:r>
      <w:r w:rsidRPr="00D94E6C">
        <w:t>xtract showing the resulting stand borders in white. Property borders a</w:t>
      </w:r>
      <w:r>
        <w:t>re</w:t>
      </w:r>
      <w:r w:rsidRPr="00D94E6C">
        <w:t xml:space="preserve"> in thick white. Square point theme color is distributed on 10 classes with equal number of points in each class based on the principal component (PC) values (light corresponds to large positive PC values and dark corresp</w:t>
      </w:r>
      <w:r>
        <w:t xml:space="preserve">onds to large negative values meaning that </w:t>
      </w:r>
      <w:r w:rsidRPr="00D94E6C">
        <w:t>barren land is white and the most highly stocked stands are black).</w:t>
      </w:r>
    </w:p>
    <w:p w14:paraId="2F377E27" w14:textId="77777777" w:rsidR="002B5477" w:rsidRPr="00E61610" w:rsidRDefault="00512BDB" w:rsidP="00512BDB">
      <w:pPr>
        <w:pStyle w:val="Heading2"/>
        <w:rPr>
          <w:color w:val="auto"/>
        </w:rPr>
      </w:pPr>
      <w:r w:rsidRPr="00E61610">
        <w:rPr>
          <w:color w:val="auto"/>
        </w:rPr>
        <w:t>References</w:t>
      </w:r>
    </w:p>
    <w:p w14:paraId="48ADF6C3" w14:textId="77777777" w:rsidR="00AA3D9E" w:rsidRDefault="00AA3D9E" w:rsidP="00AA3D9E">
      <w:pPr>
        <w:pStyle w:val="MDPI71References"/>
        <w:numPr>
          <w:ilvl w:val="0"/>
          <w:numId w:val="0"/>
        </w:numPr>
        <w:ind w:left="425" w:hanging="425"/>
        <w:jc w:val="left"/>
      </w:pPr>
      <w:r>
        <w:t xml:space="preserve">FME 2018. FME DESKTOP 2018.0. Safe Software. Available online: </w:t>
      </w:r>
      <w:hyperlink r:id="rId14" w:history="1">
        <w:r w:rsidRPr="009F2B95">
          <w:rPr>
            <w:rStyle w:val="Hyperlink"/>
          </w:rPr>
          <w:t>https://www.safe.com/</w:t>
        </w:r>
      </w:hyperlink>
      <w:r>
        <w:t xml:space="preserve"> (accessed 16 August 2019)</w:t>
      </w:r>
    </w:p>
    <w:p w14:paraId="7EEF5D67" w14:textId="77777777" w:rsidR="00B2255B" w:rsidRPr="009F461F" w:rsidRDefault="00B2255B" w:rsidP="00C1275E">
      <w:pPr>
        <w:pStyle w:val="MDPI71References"/>
        <w:numPr>
          <w:ilvl w:val="0"/>
          <w:numId w:val="0"/>
        </w:numPr>
        <w:ind w:left="425" w:hanging="425"/>
        <w:jc w:val="left"/>
      </w:pPr>
      <w:proofErr w:type="spellStart"/>
      <w:r w:rsidRPr="00AA3D9E">
        <w:rPr>
          <w:lang w:val="sv-SE"/>
        </w:rPr>
        <w:t>Grilli</w:t>
      </w:r>
      <w:proofErr w:type="spellEnd"/>
      <w:r w:rsidRPr="00AA3D9E">
        <w:rPr>
          <w:lang w:val="sv-SE"/>
        </w:rPr>
        <w:t xml:space="preserve">, E., </w:t>
      </w:r>
      <w:proofErr w:type="spellStart"/>
      <w:r w:rsidRPr="00AA3D9E">
        <w:rPr>
          <w:lang w:val="sv-SE"/>
        </w:rPr>
        <w:t>Menna</w:t>
      </w:r>
      <w:proofErr w:type="spellEnd"/>
      <w:r w:rsidRPr="00AA3D9E">
        <w:rPr>
          <w:lang w:val="sv-SE"/>
        </w:rPr>
        <w:t xml:space="preserve">, F., &amp; </w:t>
      </w:r>
      <w:proofErr w:type="spellStart"/>
      <w:r w:rsidRPr="00AA3D9E">
        <w:rPr>
          <w:lang w:val="sv-SE"/>
        </w:rPr>
        <w:t>Remondino</w:t>
      </w:r>
      <w:proofErr w:type="spellEnd"/>
      <w:r w:rsidRPr="00AA3D9E">
        <w:rPr>
          <w:lang w:val="sv-SE"/>
        </w:rPr>
        <w:t xml:space="preserve">, F. 2017. </w:t>
      </w:r>
      <w:r w:rsidRPr="00B2255B">
        <w:t>A review of point clouds segmentation and classification algorithms</w:t>
      </w:r>
      <w:r w:rsidRPr="009F461F">
        <w:t>. </w:t>
      </w:r>
      <w:r w:rsidRPr="00C1275E">
        <w:rPr>
          <w:i/>
        </w:rPr>
        <w:t>The International Archives of Photogrammetry, Remote Sensing and Spatial Information Sciences, 42, 339.</w:t>
      </w:r>
    </w:p>
    <w:p w14:paraId="3FDF444F" w14:textId="5508BF1E" w:rsidR="00512BDB" w:rsidRPr="007803A3" w:rsidRDefault="007803A3" w:rsidP="00512BDB">
      <w:pPr>
        <w:pStyle w:val="MDPI71References"/>
        <w:numPr>
          <w:ilvl w:val="0"/>
          <w:numId w:val="0"/>
        </w:numPr>
        <w:ind w:left="425" w:hanging="425"/>
        <w:jc w:val="left"/>
      </w:pPr>
      <w:proofErr w:type="spellStart"/>
      <w:r w:rsidRPr="00326D94">
        <w:t>Lantmäteriet</w:t>
      </w:r>
      <w:proofErr w:type="spellEnd"/>
      <w:r w:rsidRPr="00326D94">
        <w:t xml:space="preserve"> 2018</w:t>
      </w:r>
      <w:r w:rsidR="00512BDB" w:rsidRPr="00326D94">
        <w:t xml:space="preserve">. </w:t>
      </w:r>
      <w:r w:rsidRPr="00326D94">
        <w:t>GSD-</w:t>
      </w:r>
      <w:proofErr w:type="spellStart"/>
      <w:r w:rsidRPr="00326D94">
        <w:t>Fastighetskartan</w:t>
      </w:r>
      <w:proofErr w:type="spellEnd"/>
      <w:r w:rsidRPr="00326D94">
        <w:t xml:space="preserve"> </w:t>
      </w:r>
      <w:proofErr w:type="spellStart"/>
      <w:r w:rsidRPr="00326D94">
        <w:t>vektor</w:t>
      </w:r>
      <w:proofErr w:type="spellEnd"/>
      <w:r w:rsidR="00512BDB" w:rsidRPr="00326D94">
        <w:t xml:space="preserve">. </w:t>
      </w:r>
      <w:r w:rsidR="00512BDB" w:rsidRPr="007803A3">
        <w:t xml:space="preserve">Available online: </w:t>
      </w:r>
      <w:hyperlink r:id="rId15" w:history="1">
        <w:r>
          <w:rPr>
            <w:rStyle w:val="Hyperlink"/>
          </w:rPr>
          <w:t>https://www.lantmateriet.se/globalassets/kartor-och-geografisk-information/kartor/fastshmi.pdf</w:t>
        </w:r>
      </w:hyperlink>
      <w:r w:rsidRPr="007803A3">
        <w:t xml:space="preserve"> </w:t>
      </w:r>
      <w:r w:rsidR="00512BDB" w:rsidRPr="007803A3">
        <w:t>(accessed 1 March 2018)</w:t>
      </w:r>
    </w:p>
    <w:p w14:paraId="5571CB87" w14:textId="77777777" w:rsidR="00E101E5" w:rsidRDefault="00E101E5" w:rsidP="00512BDB">
      <w:pPr>
        <w:pStyle w:val="MDPI71References"/>
        <w:numPr>
          <w:ilvl w:val="0"/>
          <w:numId w:val="0"/>
        </w:numPr>
        <w:ind w:left="425" w:hanging="425"/>
        <w:jc w:val="left"/>
      </w:pPr>
      <w:proofErr w:type="spellStart"/>
      <w:r w:rsidRPr="00326D94">
        <w:t>Metria</w:t>
      </w:r>
      <w:proofErr w:type="spellEnd"/>
      <w:r w:rsidRPr="00326D94">
        <w:t xml:space="preserve"> 2018. </w:t>
      </w:r>
      <w:proofErr w:type="spellStart"/>
      <w:r w:rsidRPr="00326D94">
        <w:t>Svenska</w:t>
      </w:r>
      <w:proofErr w:type="spellEnd"/>
      <w:r w:rsidRPr="00326D94">
        <w:t xml:space="preserve"> </w:t>
      </w:r>
      <w:proofErr w:type="spellStart"/>
      <w:r w:rsidRPr="00326D94">
        <w:t>Marktäckedata</w:t>
      </w:r>
      <w:proofErr w:type="spellEnd"/>
      <w:r w:rsidRPr="00326D94">
        <w:t xml:space="preserve">. </w:t>
      </w:r>
      <w:r w:rsidRPr="00E101E5">
        <w:t>Available online: http://mdp.vic-metria.nu/miljodataportalen/GetMetaDataById?UUID=C14735E6-6DB3-4BE5-B99D-96FABB98CCAA (accessed 1 March 2018)</w:t>
      </w:r>
    </w:p>
    <w:p w14:paraId="6FABDA7B" w14:textId="77777777" w:rsidR="00AA3D9E" w:rsidRPr="00512BDB" w:rsidRDefault="00AA3D9E" w:rsidP="00AA3D9E">
      <w:pPr>
        <w:pStyle w:val="MDPI71References"/>
        <w:numPr>
          <w:ilvl w:val="0"/>
          <w:numId w:val="0"/>
        </w:numPr>
        <w:ind w:left="425" w:hanging="425"/>
        <w:jc w:val="left"/>
      </w:pPr>
      <w:r>
        <w:t xml:space="preserve">QGIS 2019. QGIS 3.6.0-Noosa. Available online: </w:t>
      </w:r>
      <w:hyperlink r:id="rId16" w:history="1">
        <w:r w:rsidRPr="009F2B95">
          <w:rPr>
            <w:rStyle w:val="Hyperlink"/>
          </w:rPr>
          <w:t>https://qgis.org/en/site/</w:t>
        </w:r>
      </w:hyperlink>
      <w:r>
        <w:t xml:space="preserve"> (accessed 16 August 2019)</w:t>
      </w:r>
    </w:p>
    <w:p w14:paraId="1645CBFF" w14:textId="34EA9415" w:rsidR="0057480B" w:rsidRDefault="003E3FB9" w:rsidP="00C83B22">
      <w:pPr>
        <w:pStyle w:val="MDPI71References"/>
        <w:numPr>
          <w:ilvl w:val="0"/>
          <w:numId w:val="0"/>
        </w:numPr>
        <w:ind w:left="425" w:hanging="425"/>
        <w:jc w:val="left"/>
      </w:pPr>
      <w:r w:rsidRPr="004F72B6">
        <w:t xml:space="preserve">Swedish Forest Agency 2018. Available online: </w:t>
      </w:r>
      <w:hyperlink r:id="rId17" w:history="1">
        <w:r w:rsidRPr="00DD2D78">
          <w:rPr>
            <w:rStyle w:val="Hyperlink"/>
          </w:rPr>
          <w:t>http://skogsdataportalen.skogsstyrelsen.se/Skogsdataportalen/</w:t>
        </w:r>
      </w:hyperlink>
      <w:r w:rsidRPr="004F72B6">
        <w:t xml:space="preserve"> (accessed 1 March 2018)</w:t>
      </w:r>
    </w:p>
    <w:sectPr w:rsidR="0057480B" w:rsidSect="001E04D5">
      <w:headerReference w:type="even" r:id="rId18"/>
      <w:headerReference w:type="default" r:id="rId19"/>
      <w:footerReference w:type="default" r:id="rId20"/>
      <w:headerReference w:type="first" r:id="rId21"/>
      <w:footerReference w:type="first" r:id="rId22"/>
      <w:pgSz w:w="11906" w:h="16838" w:code="9"/>
      <w:pgMar w:top="1417" w:right="1531" w:bottom="1077" w:left="1531"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62781" w14:textId="77777777" w:rsidR="00EF3854" w:rsidRDefault="00EF3854">
      <w:pPr>
        <w:spacing w:line="240" w:lineRule="auto"/>
      </w:pPr>
      <w:r>
        <w:separator/>
      </w:r>
    </w:p>
  </w:endnote>
  <w:endnote w:type="continuationSeparator" w:id="0">
    <w:p w14:paraId="64E28BF1" w14:textId="77777777" w:rsidR="00EF3854" w:rsidRDefault="00EF38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440A1" w14:textId="77777777" w:rsidR="00C77AC8" w:rsidRPr="0074274C" w:rsidRDefault="00C77AC8" w:rsidP="00B47DF5">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E416D3" w14:textId="6F40EC86" w:rsidR="00C77AC8" w:rsidRPr="008B308E" w:rsidRDefault="00C77AC8" w:rsidP="00B47DF5">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C77CAD" w14:textId="77777777" w:rsidR="00EF3854" w:rsidRDefault="00EF3854">
      <w:pPr>
        <w:spacing w:line="240" w:lineRule="auto"/>
      </w:pPr>
      <w:r>
        <w:separator/>
      </w:r>
    </w:p>
  </w:footnote>
  <w:footnote w:type="continuationSeparator" w:id="0">
    <w:p w14:paraId="4E66D9D1" w14:textId="77777777" w:rsidR="00EF3854" w:rsidRDefault="00EF385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CAB4F" w14:textId="77777777" w:rsidR="00C77AC8" w:rsidRDefault="00C77AC8" w:rsidP="00B47DF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56B31" w14:textId="6CBBB069" w:rsidR="00C77AC8" w:rsidRPr="00E439CF" w:rsidRDefault="00C77AC8" w:rsidP="00B47DF5">
    <w:pPr>
      <w:tabs>
        <w:tab w:val="right" w:pos="8844"/>
      </w:tabs>
      <w:adjustRightInd w:val="0"/>
      <w:snapToGrid w:val="0"/>
      <w:spacing w:after="240" w:line="240" w:lineRule="auto"/>
      <w:rPr>
        <w:rFonts w:ascii="Palatino Linotype" w:hAnsi="Palatino Linotype"/>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41D0A" w14:textId="77777777" w:rsidR="00C77AC8" w:rsidRDefault="00C77AC8" w:rsidP="00B47DF5">
    <w:pPr>
      <w:pStyle w:val="MDPIheaderjournallogo"/>
    </w:pPr>
    <w:r w:rsidRPr="00074C6B">
      <w:rPr>
        <w:i w:val="0"/>
        <w:noProof/>
        <w:szCs w:val="16"/>
        <w:lang w:val="sv-SE" w:eastAsia="sv-SE"/>
      </w:rPr>
      <mc:AlternateContent>
        <mc:Choice Requires="wps">
          <w:drawing>
            <wp:anchor distT="45720" distB="45720" distL="114300" distR="114300" simplePos="0" relativeHeight="251659264" behindDoc="1" locked="0" layoutInCell="1" allowOverlap="1" wp14:anchorId="097C9781" wp14:editId="0BCCF7DF">
              <wp:simplePos x="0" y="0"/>
              <wp:positionH relativeFrom="page">
                <wp:posOffset>6029960</wp:posOffset>
              </wp:positionH>
              <wp:positionV relativeFrom="page">
                <wp:posOffset>647700</wp:posOffset>
              </wp:positionV>
              <wp:extent cx="540385" cy="709295"/>
              <wp:effectExtent l="0" t="0" r="317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514DEED7" w14:textId="77777777" w:rsidR="00C77AC8" w:rsidRDefault="00C77AC8" w:rsidP="00B47DF5">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7C9781"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7216;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514DEED7" w14:textId="77777777" w:rsidR="00C77AC8" w:rsidRDefault="00C77AC8" w:rsidP="00B47DF5">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7325EF3"/>
    <w:multiLevelType w:val="hybridMultilevel"/>
    <w:tmpl w:val="A9C8DED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8C5"/>
    <w:rsid w:val="00014A43"/>
    <w:rsid w:val="000179DF"/>
    <w:rsid w:val="00091776"/>
    <w:rsid w:val="000C4EBA"/>
    <w:rsid w:val="0011081A"/>
    <w:rsid w:val="00110AB6"/>
    <w:rsid w:val="0013088F"/>
    <w:rsid w:val="00141446"/>
    <w:rsid w:val="001D21A5"/>
    <w:rsid w:val="001D34E0"/>
    <w:rsid w:val="001E04D5"/>
    <w:rsid w:val="002252C0"/>
    <w:rsid w:val="00255F31"/>
    <w:rsid w:val="002A75CD"/>
    <w:rsid w:val="002B5477"/>
    <w:rsid w:val="002C4E95"/>
    <w:rsid w:val="002D38AC"/>
    <w:rsid w:val="002F47C9"/>
    <w:rsid w:val="00304D22"/>
    <w:rsid w:val="00326D94"/>
    <w:rsid w:val="003E3FB9"/>
    <w:rsid w:val="004076E3"/>
    <w:rsid w:val="004D483E"/>
    <w:rsid w:val="004E314E"/>
    <w:rsid w:val="004E6678"/>
    <w:rsid w:val="00512BDB"/>
    <w:rsid w:val="00532FE3"/>
    <w:rsid w:val="005338C5"/>
    <w:rsid w:val="005729AD"/>
    <w:rsid w:val="0057480B"/>
    <w:rsid w:val="00586D36"/>
    <w:rsid w:val="005B283E"/>
    <w:rsid w:val="00616B66"/>
    <w:rsid w:val="00616F5C"/>
    <w:rsid w:val="006E0396"/>
    <w:rsid w:val="006E7149"/>
    <w:rsid w:val="006F48F3"/>
    <w:rsid w:val="007803A3"/>
    <w:rsid w:val="007E6446"/>
    <w:rsid w:val="008542DB"/>
    <w:rsid w:val="00867329"/>
    <w:rsid w:val="008877C7"/>
    <w:rsid w:val="008A378D"/>
    <w:rsid w:val="008E4D80"/>
    <w:rsid w:val="00910D15"/>
    <w:rsid w:val="009F461F"/>
    <w:rsid w:val="009F6628"/>
    <w:rsid w:val="00A34E6D"/>
    <w:rsid w:val="00A805D0"/>
    <w:rsid w:val="00AA3D9E"/>
    <w:rsid w:val="00B151B3"/>
    <w:rsid w:val="00B2255B"/>
    <w:rsid w:val="00B40CFE"/>
    <w:rsid w:val="00B47DF5"/>
    <w:rsid w:val="00B9090F"/>
    <w:rsid w:val="00C1275E"/>
    <w:rsid w:val="00C77AC8"/>
    <w:rsid w:val="00C83B22"/>
    <w:rsid w:val="00CA4C23"/>
    <w:rsid w:val="00D14427"/>
    <w:rsid w:val="00DF6104"/>
    <w:rsid w:val="00E101E5"/>
    <w:rsid w:val="00E4702E"/>
    <w:rsid w:val="00E61610"/>
    <w:rsid w:val="00EB115A"/>
    <w:rsid w:val="00ED03DE"/>
    <w:rsid w:val="00EF3854"/>
    <w:rsid w:val="00F12CCA"/>
    <w:rsid w:val="00F55D63"/>
    <w:rsid w:val="00F64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19AB9"/>
  <w15:chartTrackingRefBased/>
  <w15:docId w15:val="{B2C83953-C844-46B7-8D85-46EEF178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38C5"/>
    <w:pPr>
      <w:spacing w:after="0" w:line="340" w:lineRule="atLeast"/>
      <w:jc w:val="both"/>
    </w:pPr>
    <w:rPr>
      <w:rFonts w:ascii="Times New Roman" w:eastAsia="Times New Roman" w:hAnsi="Times New Roman" w:cs="Times New Roman"/>
      <w:color w:val="000000"/>
      <w:sz w:val="24"/>
      <w:szCs w:val="20"/>
      <w:lang w:eastAsia="de-DE"/>
    </w:rPr>
  </w:style>
  <w:style w:type="paragraph" w:styleId="Heading1">
    <w:name w:val="heading 1"/>
    <w:basedOn w:val="Normal"/>
    <w:next w:val="Normal"/>
    <w:link w:val="Heading1Char"/>
    <w:uiPriority w:val="9"/>
    <w:qFormat/>
    <w:rsid w:val="005338C5"/>
    <w:pPr>
      <w:keepNext/>
      <w:keepLines/>
      <w:suppressAutoHyphens/>
      <w:spacing w:before="360" w:after="100" w:line="259" w:lineRule="auto"/>
      <w:jc w:val="left"/>
      <w:outlineLvl w:val="0"/>
    </w:pPr>
    <w:rPr>
      <w:rFonts w:asciiTheme="majorHAnsi" w:eastAsiaTheme="majorEastAsia" w:hAnsiTheme="majorHAnsi" w:cstheme="majorBidi"/>
      <w:b/>
      <w:bCs/>
      <w:color w:val="365F91" w:themeColor="accent1" w:themeShade="BF"/>
      <w:sz w:val="30"/>
      <w:szCs w:val="28"/>
      <w:lang w:val="sv-SE" w:eastAsia="en-US"/>
    </w:rPr>
  </w:style>
  <w:style w:type="paragraph" w:styleId="Heading2">
    <w:name w:val="heading 2"/>
    <w:basedOn w:val="Normal"/>
    <w:next w:val="Normal"/>
    <w:link w:val="Heading2Char"/>
    <w:uiPriority w:val="9"/>
    <w:unhideWhenUsed/>
    <w:qFormat/>
    <w:rsid w:val="005338C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5338C5"/>
    <w:pPr>
      <w:keepNext/>
      <w:keepLines/>
      <w:suppressAutoHyphens/>
      <w:spacing w:before="240" w:after="80" w:line="259" w:lineRule="auto"/>
      <w:jc w:val="left"/>
      <w:outlineLvl w:val="2"/>
    </w:pPr>
    <w:rPr>
      <w:rFonts w:ascii="Calibri" w:eastAsiaTheme="majorEastAsia" w:hAnsi="Calibri" w:cstheme="majorBidi"/>
      <w:bCs/>
      <w:i/>
      <w:color w:val="4F81BD" w:themeColor="accent1"/>
      <w:sz w:val="22"/>
      <w:szCs w:val="22"/>
      <w:lang w:val="sv-S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38C5"/>
    <w:rPr>
      <w:rFonts w:asciiTheme="majorHAnsi" w:eastAsiaTheme="majorEastAsia" w:hAnsiTheme="majorHAnsi" w:cstheme="majorBidi"/>
      <w:b/>
      <w:bCs/>
      <w:color w:val="365F91" w:themeColor="accent1" w:themeShade="BF"/>
      <w:sz w:val="30"/>
      <w:szCs w:val="28"/>
      <w:lang w:val="sv-SE"/>
    </w:rPr>
  </w:style>
  <w:style w:type="character" w:customStyle="1" w:styleId="Heading2Char">
    <w:name w:val="Heading 2 Char"/>
    <w:basedOn w:val="DefaultParagraphFont"/>
    <w:link w:val="Heading2"/>
    <w:uiPriority w:val="9"/>
    <w:rsid w:val="005338C5"/>
    <w:rPr>
      <w:rFonts w:asciiTheme="majorHAnsi" w:eastAsiaTheme="majorEastAsia" w:hAnsiTheme="majorHAnsi" w:cstheme="majorBidi"/>
      <w:color w:val="365F91" w:themeColor="accent1" w:themeShade="BF"/>
      <w:sz w:val="26"/>
      <w:szCs w:val="26"/>
      <w:lang w:eastAsia="de-DE"/>
    </w:rPr>
  </w:style>
  <w:style w:type="character" w:customStyle="1" w:styleId="Heading3Char">
    <w:name w:val="Heading 3 Char"/>
    <w:basedOn w:val="DefaultParagraphFont"/>
    <w:link w:val="Heading3"/>
    <w:uiPriority w:val="9"/>
    <w:rsid w:val="005338C5"/>
    <w:rPr>
      <w:rFonts w:ascii="Calibri" w:eastAsiaTheme="majorEastAsia" w:hAnsi="Calibri" w:cstheme="majorBidi"/>
      <w:bCs/>
      <w:i/>
      <w:color w:val="4F81BD" w:themeColor="accent1"/>
      <w:lang w:val="sv-SE"/>
    </w:rPr>
  </w:style>
  <w:style w:type="table" w:styleId="TableGrid">
    <w:name w:val="Table Grid"/>
    <w:basedOn w:val="TableNormal"/>
    <w:uiPriority w:val="59"/>
    <w:rsid w:val="005338C5"/>
    <w:pPr>
      <w:spacing w:after="0" w:line="240" w:lineRule="auto"/>
    </w:pPr>
    <w:rPr>
      <w:rFonts w:ascii="Times New Roman" w:eastAsia="SimSun" w:hAnsi="Times New Roman" w:cs="Times New Roman"/>
      <w:sz w:val="20"/>
      <w:szCs w:val="20"/>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338C5"/>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5338C5"/>
    <w:rPr>
      <w:rFonts w:ascii="Times New Roman" w:eastAsia="Times New Roman" w:hAnsi="Times New Roman" w:cs="Times New Roman"/>
      <w:color w:val="000000"/>
      <w:sz w:val="18"/>
      <w:szCs w:val="18"/>
      <w:lang w:eastAsia="de-DE"/>
    </w:rPr>
  </w:style>
  <w:style w:type="paragraph" w:styleId="Header">
    <w:name w:val="header"/>
    <w:basedOn w:val="Normal"/>
    <w:link w:val="HeaderChar"/>
    <w:uiPriority w:val="99"/>
    <w:rsid w:val="005338C5"/>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5338C5"/>
    <w:rPr>
      <w:rFonts w:ascii="Times New Roman" w:eastAsia="Times New Roman" w:hAnsi="Times New Roman" w:cs="Times New Roman"/>
      <w:color w:val="000000"/>
      <w:sz w:val="18"/>
      <w:szCs w:val="18"/>
      <w:lang w:eastAsia="de-DE"/>
    </w:rPr>
  </w:style>
  <w:style w:type="paragraph" w:customStyle="1" w:styleId="MDPIheaderjournallogo">
    <w:name w:val="MDPI_header_journal_logo"/>
    <w:qFormat/>
    <w:rsid w:val="005338C5"/>
    <w:pPr>
      <w:adjustRightInd w:val="0"/>
      <w:snapToGrid w:val="0"/>
      <w:spacing w:after="0" w:line="240" w:lineRule="auto"/>
    </w:pPr>
    <w:rPr>
      <w:rFonts w:ascii="Palatino Linotype" w:eastAsia="Times New Roman" w:hAnsi="Palatino Linotype" w:cs="Times New Roman"/>
      <w:i/>
      <w:color w:val="000000"/>
      <w:sz w:val="24"/>
      <w:lang w:eastAsia="de-CH"/>
    </w:rPr>
  </w:style>
  <w:style w:type="paragraph" w:customStyle="1" w:styleId="MDPIfooterfirstpage">
    <w:name w:val="MDPI_footer_firstpage"/>
    <w:basedOn w:val="Normal"/>
    <w:qFormat/>
    <w:rsid w:val="005338C5"/>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71References">
    <w:name w:val="MDPI_7.1_References"/>
    <w:basedOn w:val="Normal"/>
    <w:qFormat/>
    <w:rsid w:val="005338C5"/>
    <w:pPr>
      <w:numPr>
        <w:numId w:val="1"/>
      </w:numPr>
      <w:adjustRightInd w:val="0"/>
      <w:snapToGrid w:val="0"/>
      <w:spacing w:line="260" w:lineRule="atLeast"/>
    </w:pPr>
    <w:rPr>
      <w:rFonts w:ascii="Palatino Linotype" w:hAnsi="Palatino Linotype"/>
      <w:snapToGrid w:val="0"/>
      <w:sz w:val="18"/>
      <w:lang w:bidi="en-US"/>
    </w:rPr>
  </w:style>
  <w:style w:type="paragraph" w:styleId="ListParagraph">
    <w:name w:val="List Paragraph"/>
    <w:basedOn w:val="Normal"/>
    <w:rsid w:val="005338C5"/>
    <w:pPr>
      <w:suppressAutoHyphens/>
      <w:autoSpaceDN w:val="0"/>
      <w:spacing w:line="276" w:lineRule="auto"/>
      <w:ind w:left="720"/>
      <w:jc w:val="left"/>
      <w:textAlignment w:val="baseline"/>
    </w:pPr>
    <w:rPr>
      <w:rFonts w:ascii="Arial" w:eastAsia="SimSun" w:hAnsi="Arial"/>
      <w:color w:val="auto"/>
      <w:kern w:val="3"/>
      <w:sz w:val="22"/>
      <w:szCs w:val="22"/>
      <w:lang w:val="sv-SE" w:eastAsia="en-US"/>
    </w:rPr>
  </w:style>
  <w:style w:type="paragraph" w:customStyle="1" w:styleId="Standard">
    <w:name w:val="Standard"/>
    <w:rsid w:val="005338C5"/>
    <w:pPr>
      <w:suppressAutoHyphens/>
      <w:autoSpaceDN w:val="0"/>
      <w:spacing w:after="0"/>
      <w:textAlignment w:val="baseline"/>
    </w:pPr>
    <w:rPr>
      <w:rFonts w:ascii="Arial" w:eastAsia="SimSun" w:hAnsi="Arial" w:cs="Times New Roman"/>
      <w:kern w:val="3"/>
      <w:lang w:val="sv-SE"/>
    </w:rPr>
  </w:style>
  <w:style w:type="character" w:styleId="LineNumber">
    <w:name w:val="line number"/>
    <w:basedOn w:val="DefaultParagraphFont"/>
    <w:uiPriority w:val="99"/>
    <w:semiHidden/>
    <w:unhideWhenUsed/>
    <w:rsid w:val="005338C5"/>
  </w:style>
  <w:style w:type="table" w:styleId="PlainTable2">
    <w:name w:val="Plain Table 2"/>
    <w:basedOn w:val="TableNormal"/>
    <w:uiPriority w:val="42"/>
    <w:rsid w:val="007E644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DPI51figurecaption">
    <w:name w:val="MDPI_5.1_figure_caption"/>
    <w:basedOn w:val="Normal"/>
    <w:qFormat/>
    <w:rsid w:val="002B5477"/>
    <w:pPr>
      <w:adjustRightInd w:val="0"/>
      <w:snapToGrid w:val="0"/>
      <w:spacing w:before="120" w:after="240" w:line="260" w:lineRule="atLeast"/>
      <w:ind w:left="425" w:right="425"/>
    </w:pPr>
    <w:rPr>
      <w:rFonts w:ascii="Palatino Linotype" w:hAnsi="Palatino Linotype"/>
      <w:sz w:val="18"/>
      <w:lang w:bidi="en-US"/>
    </w:rPr>
  </w:style>
  <w:style w:type="paragraph" w:customStyle="1" w:styleId="MDPI31text">
    <w:name w:val="MDPI_3.1_text"/>
    <w:qFormat/>
    <w:rsid w:val="002B5477"/>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eastAsia="de-DE" w:bidi="en-US"/>
    </w:rPr>
  </w:style>
  <w:style w:type="character" w:styleId="Hyperlink">
    <w:name w:val="Hyperlink"/>
    <w:uiPriority w:val="99"/>
    <w:unhideWhenUsed/>
    <w:rsid w:val="00512BDB"/>
    <w:rPr>
      <w:color w:val="0563C1"/>
      <w:u w:val="single"/>
    </w:rPr>
  </w:style>
  <w:style w:type="paragraph" w:styleId="BalloonText">
    <w:name w:val="Balloon Text"/>
    <w:basedOn w:val="Normal"/>
    <w:link w:val="BalloonTextChar"/>
    <w:uiPriority w:val="99"/>
    <w:semiHidden/>
    <w:unhideWhenUsed/>
    <w:rsid w:val="00B151B3"/>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51B3"/>
    <w:rPr>
      <w:rFonts w:ascii="Segoe UI" w:eastAsia="Times New Roman" w:hAnsi="Segoe UI" w:cs="Segoe UI"/>
      <w:color w:val="000000"/>
      <w:sz w:val="18"/>
      <w:szCs w:val="18"/>
      <w:lang w:eastAsia="de-DE"/>
    </w:rPr>
  </w:style>
  <w:style w:type="character" w:styleId="CommentReference">
    <w:name w:val="annotation reference"/>
    <w:basedOn w:val="DefaultParagraphFont"/>
    <w:uiPriority w:val="99"/>
    <w:semiHidden/>
    <w:unhideWhenUsed/>
    <w:rsid w:val="004E6678"/>
    <w:rPr>
      <w:sz w:val="16"/>
      <w:szCs w:val="16"/>
    </w:rPr>
  </w:style>
  <w:style w:type="paragraph" w:styleId="CommentText">
    <w:name w:val="annotation text"/>
    <w:basedOn w:val="Normal"/>
    <w:link w:val="CommentTextChar"/>
    <w:uiPriority w:val="99"/>
    <w:semiHidden/>
    <w:unhideWhenUsed/>
    <w:rsid w:val="004E6678"/>
    <w:pPr>
      <w:spacing w:line="240" w:lineRule="auto"/>
    </w:pPr>
    <w:rPr>
      <w:sz w:val="20"/>
    </w:rPr>
  </w:style>
  <w:style w:type="character" w:customStyle="1" w:styleId="CommentTextChar">
    <w:name w:val="Comment Text Char"/>
    <w:basedOn w:val="DefaultParagraphFont"/>
    <w:link w:val="CommentText"/>
    <w:uiPriority w:val="99"/>
    <w:semiHidden/>
    <w:rsid w:val="004E6678"/>
    <w:rPr>
      <w:rFonts w:ascii="Times New Roman" w:eastAsia="Times New Roman" w:hAnsi="Times New Roman" w:cs="Times New Roman"/>
      <w:color w:val="000000"/>
      <w:sz w:val="20"/>
      <w:szCs w:val="20"/>
      <w:lang w:eastAsia="de-DE"/>
    </w:rPr>
  </w:style>
  <w:style w:type="paragraph" w:styleId="CommentSubject">
    <w:name w:val="annotation subject"/>
    <w:basedOn w:val="CommentText"/>
    <w:next w:val="CommentText"/>
    <w:link w:val="CommentSubjectChar"/>
    <w:uiPriority w:val="99"/>
    <w:semiHidden/>
    <w:unhideWhenUsed/>
    <w:rsid w:val="004E6678"/>
    <w:rPr>
      <w:b/>
      <w:bCs/>
    </w:rPr>
  </w:style>
  <w:style w:type="character" w:customStyle="1" w:styleId="CommentSubjectChar">
    <w:name w:val="Comment Subject Char"/>
    <w:basedOn w:val="CommentTextChar"/>
    <w:link w:val="CommentSubject"/>
    <w:uiPriority w:val="99"/>
    <w:semiHidden/>
    <w:rsid w:val="004E6678"/>
    <w:rPr>
      <w:rFonts w:ascii="Times New Roman" w:eastAsia="Times New Roman" w:hAnsi="Times New Roman" w:cs="Times New Roman"/>
      <w:b/>
      <w:bCs/>
      <w:color w:val="000000"/>
      <w:sz w:val="20"/>
      <w:szCs w:val="20"/>
      <w:lang w:eastAsia="de-DE"/>
    </w:rPr>
  </w:style>
  <w:style w:type="character" w:styleId="FollowedHyperlink">
    <w:name w:val="FollowedHyperlink"/>
    <w:basedOn w:val="DefaultParagraphFont"/>
    <w:uiPriority w:val="99"/>
    <w:semiHidden/>
    <w:unhideWhenUsed/>
    <w:rsid w:val="00D144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3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kogsdataportalen.skogsstyrelsen.se/Skogsdataportalen/" TargetMode="External"/><Relationship Id="rId2" Type="http://schemas.openxmlformats.org/officeDocument/2006/relationships/numbering" Target="numbering.xml"/><Relationship Id="rId16" Type="http://schemas.openxmlformats.org/officeDocument/2006/relationships/hyperlink" Target="https://qgis.org/en/si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antmateriet.se/globalassets/kartor-och-geografisk-information/kartor/fastshmi.pdf" TargetMode="Externa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safe.com/" TargetMode="Externa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jola\Dropbox\KronobergCurrent\Table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ola\Dropbox\KronobergCurrent\Table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ola\Dropbox\KronobergCurrent\Table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ola\Dropbox\KronobergCurrent\Tables.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Tabs!$AO$6</c:f>
              <c:strCache>
                <c:ptCount val="1"/>
                <c:pt idx="0">
                  <c:v>Sample</c:v>
                </c:pt>
              </c:strCache>
            </c:strRef>
          </c:tx>
          <c:spPr>
            <a:pattFill prst="narHorz">
              <a:fgClr>
                <a:schemeClr val="tx1"/>
              </a:fgClr>
              <a:bgClr>
                <a:schemeClr val="bg1"/>
              </a:bgClr>
            </a:pattFill>
            <a:ln>
              <a:noFill/>
            </a:ln>
            <a:effectLst/>
          </c:spPr>
          <c:invertIfNegative val="0"/>
          <c:cat>
            <c:strRef>
              <c:f>Tabs!$AN$7:$AN$12</c:f>
              <c:strCache>
                <c:ptCount val="6"/>
                <c:pt idx="0">
                  <c:v>Pine</c:v>
                </c:pt>
                <c:pt idx="1">
                  <c:v>Spruce</c:v>
                </c:pt>
                <c:pt idx="2">
                  <c:v>Birch</c:v>
                </c:pt>
                <c:pt idx="3">
                  <c:v>Oak</c:v>
                </c:pt>
                <c:pt idx="4">
                  <c:v>Beech</c:v>
                </c:pt>
                <c:pt idx="5">
                  <c:v>Other Dec</c:v>
                </c:pt>
              </c:strCache>
            </c:strRef>
          </c:cat>
          <c:val>
            <c:numRef>
              <c:f>Tabs!$AO$7:$AO$12</c:f>
              <c:numCache>
                <c:formatCode>General</c:formatCode>
                <c:ptCount val="6"/>
                <c:pt idx="0">
                  <c:v>57.792999657358237</c:v>
                </c:pt>
                <c:pt idx="1">
                  <c:v>64.408046941922223</c:v>
                </c:pt>
                <c:pt idx="2">
                  <c:v>16.485754325852319</c:v>
                </c:pt>
                <c:pt idx="3">
                  <c:v>2.6238924104848378</c:v>
                </c:pt>
                <c:pt idx="4">
                  <c:v>1.4138713380161043</c:v>
                </c:pt>
                <c:pt idx="5">
                  <c:v>2.0359748158300497</c:v>
                </c:pt>
              </c:numCache>
            </c:numRef>
          </c:val>
          <c:extLst>
            <c:ext xmlns:c16="http://schemas.microsoft.com/office/drawing/2014/chart" uri="{C3380CC4-5D6E-409C-BE32-E72D297353CC}">
              <c16:uniqueId val="{00000000-6A24-4DE8-91DB-52B16B92155A}"/>
            </c:ext>
          </c:extLst>
        </c:ser>
        <c:ser>
          <c:idx val="1"/>
          <c:order val="1"/>
          <c:tx>
            <c:strRef>
              <c:f>Tabs!$AP$6</c:f>
              <c:strCache>
                <c:ptCount val="1"/>
                <c:pt idx="0">
                  <c:v>NFI</c:v>
                </c:pt>
              </c:strCache>
            </c:strRef>
          </c:tx>
          <c:spPr>
            <a:solidFill>
              <a:schemeClr val="tx1"/>
            </a:solidFill>
            <a:ln>
              <a:noFill/>
            </a:ln>
            <a:effectLst/>
          </c:spPr>
          <c:invertIfNegative val="0"/>
          <c:val>
            <c:numRef>
              <c:f>Tabs!$AP$7:$AP$12</c:f>
              <c:numCache>
                <c:formatCode>0.00</c:formatCode>
                <c:ptCount val="6"/>
                <c:pt idx="0">
                  <c:v>45.121337813739117</c:v>
                </c:pt>
                <c:pt idx="1">
                  <c:v>70.639630365271358</c:v>
                </c:pt>
                <c:pt idx="2">
                  <c:v>18.170651397407926</c:v>
                </c:pt>
                <c:pt idx="3">
                  <c:v>3.713279883586714</c:v>
                </c:pt>
                <c:pt idx="4">
                  <c:v>1.90501460342271</c:v>
                </c:pt>
                <c:pt idx="5">
                  <c:v>4.6500517099841829</c:v>
                </c:pt>
              </c:numCache>
            </c:numRef>
          </c:val>
          <c:extLst>
            <c:ext xmlns:c16="http://schemas.microsoft.com/office/drawing/2014/chart" uri="{C3380CC4-5D6E-409C-BE32-E72D297353CC}">
              <c16:uniqueId val="{00000001-6A24-4DE8-91DB-52B16B92155A}"/>
            </c:ext>
          </c:extLst>
        </c:ser>
        <c:dLbls>
          <c:showLegendKey val="0"/>
          <c:showVal val="0"/>
          <c:showCatName val="0"/>
          <c:showSerName val="0"/>
          <c:showPercent val="0"/>
          <c:showBubbleSize val="0"/>
        </c:dLbls>
        <c:gapWidth val="219"/>
        <c:overlap val="-27"/>
        <c:axId val="425421016"/>
        <c:axId val="425421800"/>
      </c:barChart>
      <c:catAx>
        <c:axId val="425421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7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25421800"/>
        <c:crosses val="autoZero"/>
        <c:auto val="1"/>
        <c:lblAlgn val="ctr"/>
        <c:lblOffset val="100"/>
        <c:noMultiLvlLbl val="0"/>
      </c:catAx>
      <c:valAx>
        <c:axId val="4254218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v-SE" sz="1000" b="0" i="0" u="none" strike="noStrike" baseline="0">
                    <a:effectLst/>
                  </a:rPr>
                  <a:t>m</a:t>
                </a:r>
                <a:r>
                  <a:rPr lang="sv-SE" sz="1000" b="0" i="0" u="none" strike="noStrike" baseline="30000">
                    <a:effectLst/>
                  </a:rPr>
                  <a:t>3 </a:t>
                </a:r>
                <a:r>
                  <a:rPr lang="sv-SE" sz="1000" b="0" i="0" u="none" strike="noStrike" baseline="0">
                    <a:effectLst/>
                  </a:rPr>
                  <a:t>ha</a:t>
                </a:r>
                <a:r>
                  <a:rPr lang="sv-SE" sz="1000" b="0" i="0" u="none" strike="noStrike" baseline="30000">
                    <a:effectLst/>
                  </a:rPr>
                  <a:t>-1</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v-S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25421016"/>
        <c:crosses val="autoZero"/>
        <c:crossBetween val="between"/>
      </c:valAx>
      <c:spPr>
        <a:noFill/>
        <a:ln>
          <a:noFill/>
        </a:ln>
        <a:effectLst/>
      </c:spPr>
    </c:plotArea>
    <c:legend>
      <c:legendPos val="r"/>
      <c:layout>
        <c:manualLayout>
          <c:xMode val="edge"/>
          <c:yMode val="edge"/>
          <c:x val="0.7008563888888889"/>
          <c:y val="0.25393666666666664"/>
          <c:w val="0.22204908875835674"/>
          <c:h val="0.23812666666666671"/>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legend>
    <c:plotVisOnly val="1"/>
    <c:dispBlanksAs val="gap"/>
    <c:showDLblsOverMax val="0"/>
  </c:chart>
  <c:spPr>
    <a:solidFill>
      <a:schemeClr val="bg1"/>
    </a:solidFill>
    <a:ln w="9525" cap="flat" cmpd="sng" algn="ctr">
      <a:noFill/>
      <a:round/>
    </a:ln>
    <a:effectLst/>
  </c:spPr>
  <c:txPr>
    <a:bodyPr/>
    <a:lstStyle/>
    <a:p>
      <a:pPr>
        <a:defRPr/>
      </a:pPr>
      <a:endParaRPr lang="sv-S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Tabs!$X$6</c:f>
              <c:strCache>
                <c:ptCount val="1"/>
                <c:pt idx="0">
                  <c:v>C02</c:v>
                </c:pt>
              </c:strCache>
            </c:strRef>
          </c:tx>
          <c:spPr>
            <a:pattFill prst="narHorz">
              <a:fgClr>
                <a:schemeClr val="tx1"/>
              </a:fgClr>
              <a:bgClr>
                <a:schemeClr val="bg1"/>
              </a:bgClr>
            </a:pattFill>
            <a:ln>
              <a:noFill/>
            </a:ln>
            <a:effectLst/>
          </c:spPr>
          <c:invertIfNegative val="0"/>
          <c:cat>
            <c:numRef>
              <c:f>Tabs!$W$8:$W$17</c:f>
              <c:numCache>
                <c:formatCode>General</c:formatCode>
                <c:ptCount val="10"/>
                <c:pt idx="0">
                  <c:v>0</c:v>
                </c:pt>
                <c:pt idx="1">
                  <c:v>15</c:v>
                </c:pt>
                <c:pt idx="2">
                  <c:v>30</c:v>
                </c:pt>
                <c:pt idx="3">
                  <c:v>45</c:v>
                </c:pt>
                <c:pt idx="4">
                  <c:v>60</c:v>
                </c:pt>
                <c:pt idx="5">
                  <c:v>75</c:v>
                </c:pt>
                <c:pt idx="6">
                  <c:v>90</c:v>
                </c:pt>
                <c:pt idx="7">
                  <c:v>105</c:v>
                </c:pt>
                <c:pt idx="8">
                  <c:v>120</c:v>
                </c:pt>
                <c:pt idx="9">
                  <c:v>999</c:v>
                </c:pt>
              </c:numCache>
            </c:numRef>
          </c:cat>
          <c:val>
            <c:numRef>
              <c:f>Tabs!$Y$8:$Y$17</c:f>
              <c:numCache>
                <c:formatCode>General</c:formatCode>
                <c:ptCount val="10"/>
                <c:pt idx="0">
                  <c:v>4.5321559544642946E-2</c:v>
                </c:pt>
                <c:pt idx="1">
                  <c:v>0.19710044215315309</c:v>
                </c:pt>
                <c:pt idx="2">
                  <c:v>0.12398628511576737</c:v>
                </c:pt>
                <c:pt idx="3">
                  <c:v>0.17589839939127414</c:v>
                </c:pt>
                <c:pt idx="4">
                  <c:v>0.10121869738283391</c:v>
                </c:pt>
                <c:pt idx="5">
                  <c:v>9.1201276818935598E-2</c:v>
                </c:pt>
                <c:pt idx="6">
                  <c:v>0.11564598806242143</c:v>
                </c:pt>
                <c:pt idx="7">
                  <c:v>6.276862665900193E-2</c:v>
                </c:pt>
                <c:pt idx="8">
                  <c:v>5.3757003143546457E-2</c:v>
                </c:pt>
                <c:pt idx="9">
                  <c:v>3.3101721728423135E-2</c:v>
                </c:pt>
              </c:numCache>
            </c:numRef>
          </c:val>
          <c:extLst>
            <c:ext xmlns:c16="http://schemas.microsoft.com/office/drawing/2014/chart" uri="{C3380CC4-5D6E-409C-BE32-E72D297353CC}">
              <c16:uniqueId val="{00000000-51A4-410E-923E-E2E2574F095D}"/>
            </c:ext>
          </c:extLst>
        </c:ser>
        <c:ser>
          <c:idx val="0"/>
          <c:order val="1"/>
          <c:tx>
            <c:strRef>
              <c:f>Tabs!$Z$6</c:f>
              <c:strCache>
                <c:ptCount val="1"/>
                <c:pt idx="0">
                  <c:v>NFI</c:v>
                </c:pt>
              </c:strCache>
            </c:strRef>
          </c:tx>
          <c:spPr>
            <a:solidFill>
              <a:schemeClr val="tx1"/>
            </a:solidFill>
            <a:ln>
              <a:noFill/>
            </a:ln>
            <a:effectLst/>
          </c:spPr>
          <c:invertIfNegative val="0"/>
          <c:cat>
            <c:numRef>
              <c:f>Tabs!$W$8:$W$17</c:f>
              <c:numCache>
                <c:formatCode>General</c:formatCode>
                <c:ptCount val="10"/>
                <c:pt idx="0">
                  <c:v>0</c:v>
                </c:pt>
                <c:pt idx="1">
                  <c:v>15</c:v>
                </c:pt>
                <c:pt idx="2">
                  <c:v>30</c:v>
                </c:pt>
                <c:pt idx="3">
                  <c:v>45</c:v>
                </c:pt>
                <c:pt idx="4">
                  <c:v>60</c:v>
                </c:pt>
                <c:pt idx="5">
                  <c:v>75</c:v>
                </c:pt>
                <c:pt idx="6">
                  <c:v>90</c:v>
                </c:pt>
                <c:pt idx="7">
                  <c:v>105</c:v>
                </c:pt>
                <c:pt idx="8">
                  <c:v>120</c:v>
                </c:pt>
                <c:pt idx="9">
                  <c:v>999</c:v>
                </c:pt>
              </c:numCache>
            </c:numRef>
          </c:cat>
          <c:val>
            <c:numRef>
              <c:f>Tabs!$AA$8:$AA$17</c:f>
              <c:numCache>
                <c:formatCode>General</c:formatCode>
                <c:ptCount val="10"/>
                <c:pt idx="0">
                  <c:v>4.6961776496972155E-2</c:v>
                </c:pt>
                <c:pt idx="1">
                  <c:v>0.13315997138576996</c:v>
                </c:pt>
                <c:pt idx="2">
                  <c:v>0.18858706760900704</c:v>
                </c:pt>
                <c:pt idx="3">
                  <c:v>0.19768930852023364</c:v>
                </c:pt>
                <c:pt idx="4">
                  <c:v>0.10638212960813234</c:v>
                </c:pt>
                <c:pt idx="5">
                  <c:v>9.5753718656245004E-2</c:v>
                </c:pt>
                <c:pt idx="6">
                  <c:v>0.10495941365554703</c:v>
                </c:pt>
                <c:pt idx="7">
                  <c:v>5.3806184477471812E-2</c:v>
                </c:pt>
                <c:pt idx="8">
                  <c:v>5.6963042323230254E-2</c:v>
                </c:pt>
                <c:pt idx="9">
                  <c:v>1.5737387267390761E-2</c:v>
                </c:pt>
              </c:numCache>
            </c:numRef>
          </c:val>
          <c:extLst>
            <c:ext xmlns:c16="http://schemas.microsoft.com/office/drawing/2014/chart" uri="{C3380CC4-5D6E-409C-BE32-E72D297353CC}">
              <c16:uniqueId val="{00000001-51A4-410E-923E-E2E2574F095D}"/>
            </c:ext>
          </c:extLst>
        </c:ser>
        <c:dLbls>
          <c:showLegendKey val="0"/>
          <c:showVal val="0"/>
          <c:showCatName val="0"/>
          <c:showSerName val="0"/>
          <c:showPercent val="0"/>
          <c:showBubbleSize val="0"/>
        </c:dLbls>
        <c:gapWidth val="219"/>
        <c:overlap val="-27"/>
        <c:axId val="425417488"/>
        <c:axId val="425417880"/>
      </c:barChart>
      <c:catAx>
        <c:axId val="42541748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Age class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v-SE"/>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25417880"/>
        <c:crosses val="autoZero"/>
        <c:auto val="1"/>
        <c:lblAlgn val="ctr"/>
        <c:lblOffset val="100"/>
        <c:noMultiLvlLbl val="0"/>
      </c:catAx>
      <c:valAx>
        <c:axId val="42541788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2541748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v-S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Tabs!$AH$6</c:f>
              <c:strCache>
                <c:ptCount val="1"/>
                <c:pt idx="0">
                  <c:v>NFI</c:v>
                </c:pt>
              </c:strCache>
            </c:strRef>
          </c:tx>
          <c:spPr>
            <a:solidFill>
              <a:schemeClr val="tx1"/>
            </a:solidFill>
            <a:ln>
              <a:noFill/>
            </a:ln>
            <a:effectLst/>
          </c:spPr>
          <c:invertIfNegative val="0"/>
          <c:cat>
            <c:numRef>
              <c:f>Tabs!$AE$7:$AE$17</c:f>
              <c:numCache>
                <c:formatCode>General</c:formatCode>
                <c:ptCount val="11"/>
                <c:pt idx="0">
                  <c:v>12</c:v>
                </c:pt>
                <c:pt idx="1">
                  <c:v>14</c:v>
                </c:pt>
                <c:pt idx="2">
                  <c:v>16</c:v>
                </c:pt>
                <c:pt idx="3">
                  <c:v>18</c:v>
                </c:pt>
                <c:pt idx="4">
                  <c:v>20</c:v>
                </c:pt>
                <c:pt idx="5">
                  <c:v>22</c:v>
                </c:pt>
                <c:pt idx="6">
                  <c:v>24</c:v>
                </c:pt>
                <c:pt idx="7">
                  <c:v>26</c:v>
                </c:pt>
                <c:pt idx="8">
                  <c:v>28</c:v>
                </c:pt>
                <c:pt idx="9">
                  <c:v>30</c:v>
                </c:pt>
                <c:pt idx="10">
                  <c:v>32</c:v>
                </c:pt>
              </c:numCache>
            </c:numRef>
          </c:cat>
          <c:val>
            <c:numRef>
              <c:f>Tabs!$AI$7:$AI$17</c:f>
              <c:numCache>
                <c:formatCode>General</c:formatCode>
                <c:ptCount val="11"/>
                <c:pt idx="0">
                  <c:v>6.6029894156596758E-4</c:v>
                </c:pt>
                <c:pt idx="1">
                  <c:v>1.9819507378486558E-2</c:v>
                </c:pt>
                <c:pt idx="2">
                  <c:v>2.6515748324635213E-2</c:v>
                </c:pt>
                <c:pt idx="3">
                  <c:v>2.1906905441421938E-2</c:v>
                </c:pt>
                <c:pt idx="4">
                  <c:v>1.9696837745666711E-2</c:v>
                </c:pt>
                <c:pt idx="5">
                  <c:v>5.5617304166621737E-2</c:v>
                </c:pt>
                <c:pt idx="6">
                  <c:v>0.10461727727153917</c:v>
                </c:pt>
                <c:pt idx="7">
                  <c:v>0.12647921284002692</c:v>
                </c:pt>
                <c:pt idx="8">
                  <c:v>0.14328750638732521</c:v>
                </c:pt>
                <c:pt idx="9">
                  <c:v>0.32629505449172908</c:v>
                </c:pt>
                <c:pt idx="10">
                  <c:v>0.15510434701098155</c:v>
                </c:pt>
              </c:numCache>
            </c:numRef>
          </c:val>
          <c:extLst>
            <c:ext xmlns:c16="http://schemas.microsoft.com/office/drawing/2014/chart" uri="{C3380CC4-5D6E-409C-BE32-E72D297353CC}">
              <c16:uniqueId val="{00000000-053F-4978-A6AC-D673AF960478}"/>
            </c:ext>
          </c:extLst>
        </c:ser>
        <c:ser>
          <c:idx val="1"/>
          <c:order val="1"/>
          <c:tx>
            <c:strRef>
              <c:f>Tabs!$AJ$6</c:f>
              <c:strCache>
                <c:ptCount val="1"/>
                <c:pt idx="0">
                  <c:v>Sample</c:v>
                </c:pt>
              </c:strCache>
            </c:strRef>
          </c:tx>
          <c:spPr>
            <a:pattFill prst="narHorz">
              <a:fgClr>
                <a:schemeClr val="tx1"/>
              </a:fgClr>
              <a:bgClr>
                <a:schemeClr val="bg1"/>
              </a:bgClr>
            </a:pattFill>
            <a:ln>
              <a:noFill/>
            </a:ln>
            <a:effectLst/>
          </c:spPr>
          <c:invertIfNegative val="0"/>
          <c:val>
            <c:numRef>
              <c:f>Tabs!$AK$7:$AK$17</c:f>
              <c:numCache>
                <c:formatCode>General</c:formatCode>
                <c:ptCount val="11"/>
                <c:pt idx="0">
                  <c:v>6.8166271636231699E-4</c:v>
                </c:pt>
                <c:pt idx="1">
                  <c:v>1.4579154107455168E-2</c:v>
                </c:pt>
                <c:pt idx="2">
                  <c:v>1.8118658608628865E-2</c:v>
                </c:pt>
                <c:pt idx="3">
                  <c:v>8.0842229800375129E-2</c:v>
                </c:pt>
                <c:pt idx="4">
                  <c:v>2.9422810310917178E-2</c:v>
                </c:pt>
                <c:pt idx="5">
                  <c:v>9.6586200252469639E-2</c:v>
                </c:pt>
                <c:pt idx="6">
                  <c:v>9.2875484975724384E-2</c:v>
                </c:pt>
                <c:pt idx="7">
                  <c:v>0.1213675023395714</c:v>
                </c:pt>
                <c:pt idx="8">
                  <c:v>0.16838712293543259</c:v>
                </c:pt>
                <c:pt idx="9">
                  <c:v>0.17237479681972009</c:v>
                </c:pt>
                <c:pt idx="10">
                  <c:v>0.20476437713334325</c:v>
                </c:pt>
              </c:numCache>
            </c:numRef>
          </c:val>
          <c:extLst>
            <c:ext xmlns:c16="http://schemas.microsoft.com/office/drawing/2014/chart" uri="{C3380CC4-5D6E-409C-BE32-E72D297353CC}">
              <c16:uniqueId val="{00000001-053F-4978-A6AC-D673AF960478}"/>
            </c:ext>
          </c:extLst>
        </c:ser>
        <c:dLbls>
          <c:showLegendKey val="0"/>
          <c:showVal val="0"/>
          <c:showCatName val="0"/>
          <c:showSerName val="0"/>
          <c:showPercent val="0"/>
          <c:showBubbleSize val="0"/>
        </c:dLbls>
        <c:gapWidth val="219"/>
        <c:overlap val="-27"/>
        <c:axId val="419791056"/>
        <c:axId val="419793016"/>
      </c:barChart>
      <c:catAx>
        <c:axId val="4197910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Site index class (m)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v-SE"/>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19793016"/>
        <c:crosses val="autoZero"/>
        <c:auto val="1"/>
        <c:lblAlgn val="ctr"/>
        <c:lblOffset val="100"/>
        <c:noMultiLvlLbl val="0"/>
      </c:catAx>
      <c:valAx>
        <c:axId val="41979301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1979105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v-S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Tabs!$Q$7</c:f>
              <c:strCache>
                <c:ptCount val="1"/>
                <c:pt idx="0">
                  <c:v>NFI</c:v>
                </c:pt>
              </c:strCache>
            </c:strRef>
          </c:tx>
          <c:spPr>
            <a:solidFill>
              <a:schemeClr val="tx1"/>
            </a:solidFill>
            <a:ln>
              <a:noFill/>
            </a:ln>
            <a:effectLst/>
          </c:spPr>
          <c:invertIfNegative val="0"/>
          <c:cat>
            <c:numRef>
              <c:f>Tabs!$N$9:$N$17</c:f>
              <c:numCache>
                <c:formatCode>General</c:formatCode>
                <c:ptCount val="9"/>
                <c:pt idx="0">
                  <c:v>15</c:v>
                </c:pt>
                <c:pt idx="1">
                  <c:v>30</c:v>
                </c:pt>
                <c:pt idx="2">
                  <c:v>45</c:v>
                </c:pt>
                <c:pt idx="3">
                  <c:v>60</c:v>
                </c:pt>
                <c:pt idx="4">
                  <c:v>75</c:v>
                </c:pt>
                <c:pt idx="5">
                  <c:v>90</c:v>
                </c:pt>
                <c:pt idx="6">
                  <c:v>105</c:v>
                </c:pt>
                <c:pt idx="7">
                  <c:v>120</c:v>
                </c:pt>
                <c:pt idx="8">
                  <c:v>999</c:v>
                </c:pt>
              </c:numCache>
            </c:numRef>
          </c:cat>
          <c:val>
            <c:numRef>
              <c:f>Tabs!$R$9:$R$17</c:f>
              <c:numCache>
                <c:formatCode>General</c:formatCode>
                <c:ptCount val="9"/>
                <c:pt idx="0">
                  <c:v>10.302671891177598</c:v>
                </c:pt>
                <c:pt idx="1">
                  <c:v>67.862410949291927</c:v>
                </c:pt>
                <c:pt idx="2">
                  <c:v>156.01182812319766</c:v>
                </c:pt>
                <c:pt idx="3">
                  <c:v>184.57056412144453</c:v>
                </c:pt>
                <c:pt idx="4">
                  <c:v>204.45057118092001</c:v>
                </c:pt>
                <c:pt idx="5">
                  <c:v>239.72023788907538</c:v>
                </c:pt>
                <c:pt idx="6">
                  <c:v>333.34609942014288</c:v>
                </c:pt>
                <c:pt idx="7">
                  <c:v>217.60085312459793</c:v>
                </c:pt>
                <c:pt idx="8">
                  <c:v>286.23009637329352</c:v>
                </c:pt>
              </c:numCache>
            </c:numRef>
          </c:val>
          <c:extLst>
            <c:ext xmlns:c16="http://schemas.microsoft.com/office/drawing/2014/chart" uri="{C3380CC4-5D6E-409C-BE32-E72D297353CC}">
              <c16:uniqueId val="{00000000-7496-4206-81C1-EDCF018EC3BF}"/>
            </c:ext>
          </c:extLst>
        </c:ser>
        <c:ser>
          <c:idx val="1"/>
          <c:order val="1"/>
          <c:tx>
            <c:strRef>
              <c:f>Tabs!$S$7</c:f>
              <c:strCache>
                <c:ptCount val="1"/>
                <c:pt idx="0">
                  <c:v>Sample</c:v>
                </c:pt>
              </c:strCache>
            </c:strRef>
          </c:tx>
          <c:spPr>
            <a:pattFill prst="narHorz">
              <a:fgClr>
                <a:schemeClr val="tx1"/>
              </a:fgClr>
              <a:bgClr>
                <a:schemeClr val="bg1"/>
              </a:bgClr>
            </a:pattFill>
            <a:ln>
              <a:solidFill>
                <a:schemeClr val="tx1"/>
              </a:solidFill>
            </a:ln>
            <a:effectLst/>
          </c:spPr>
          <c:invertIfNegative val="0"/>
          <c:val>
            <c:numRef>
              <c:f>Tabs!$U$9:$U$17</c:f>
              <c:numCache>
                <c:formatCode>General</c:formatCode>
                <c:ptCount val="9"/>
                <c:pt idx="0">
                  <c:v>14.554377189266962</c:v>
                </c:pt>
                <c:pt idx="1">
                  <c:v>68.078595003163642</c:v>
                </c:pt>
                <c:pt idx="2">
                  <c:v>179.0423738901018</c:v>
                </c:pt>
                <c:pt idx="3">
                  <c:v>188.72652528992356</c:v>
                </c:pt>
                <c:pt idx="4">
                  <c:v>183.0351569538002</c:v>
                </c:pt>
                <c:pt idx="5">
                  <c:v>243.53065793966729</c:v>
                </c:pt>
                <c:pt idx="6">
                  <c:v>294.14965756605892</c:v>
                </c:pt>
                <c:pt idx="7">
                  <c:v>254.33430622386999</c:v>
                </c:pt>
                <c:pt idx="8">
                  <c:v>260.83470379592785</c:v>
                </c:pt>
              </c:numCache>
            </c:numRef>
          </c:val>
          <c:extLst>
            <c:ext xmlns:c16="http://schemas.microsoft.com/office/drawing/2014/chart" uri="{C3380CC4-5D6E-409C-BE32-E72D297353CC}">
              <c16:uniqueId val="{00000001-7496-4206-81C1-EDCF018EC3BF}"/>
            </c:ext>
          </c:extLst>
        </c:ser>
        <c:dLbls>
          <c:showLegendKey val="0"/>
          <c:showVal val="0"/>
          <c:showCatName val="0"/>
          <c:showSerName val="0"/>
          <c:showPercent val="0"/>
          <c:showBubbleSize val="0"/>
        </c:dLbls>
        <c:gapWidth val="219"/>
        <c:overlap val="-27"/>
        <c:axId val="419793408"/>
        <c:axId val="419789880"/>
      </c:barChart>
      <c:catAx>
        <c:axId val="41979340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Age class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v-SE"/>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19789880"/>
        <c:crosses val="autoZero"/>
        <c:auto val="1"/>
        <c:lblAlgn val="ctr"/>
        <c:lblOffset val="100"/>
        <c:noMultiLvlLbl val="0"/>
      </c:catAx>
      <c:valAx>
        <c:axId val="4197898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sv-SE" sz="1000" b="0" i="0" u="none" strike="noStrike" baseline="0">
                    <a:effectLst/>
                  </a:rPr>
                  <a:t>m</a:t>
                </a:r>
                <a:r>
                  <a:rPr lang="sv-SE" sz="1000" b="0" i="0" u="none" strike="noStrike" baseline="30000">
                    <a:effectLst/>
                  </a:rPr>
                  <a:t>3 </a:t>
                </a:r>
                <a:r>
                  <a:rPr lang="sv-SE" sz="1000" b="0" i="0" u="none" strike="noStrike" baseline="0">
                    <a:effectLst/>
                  </a:rPr>
                  <a:t>ha</a:t>
                </a:r>
                <a:r>
                  <a:rPr lang="sv-SE" sz="1000" b="0" i="0" u="none" strike="noStrike" baseline="30000">
                    <a:effectLst/>
                  </a:rPr>
                  <a:t>-1</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sv-SE"/>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sv-SE"/>
          </a:p>
        </c:txPr>
        <c:crossAx val="41979340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sv-S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29FED-341F-4038-85EB-7B0306D2A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1528</Words>
  <Characters>8104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Petersson</dc:creator>
  <cp:keywords/>
  <dc:description/>
  <cp:lastModifiedBy>Isak Lodin</cp:lastModifiedBy>
  <cp:revision>10</cp:revision>
  <dcterms:created xsi:type="dcterms:W3CDTF">2020-01-25T06:00:00Z</dcterms:created>
  <dcterms:modified xsi:type="dcterms:W3CDTF">2020-03-16T09:15:00Z</dcterms:modified>
</cp:coreProperties>
</file>