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266E" w14:textId="77777777" w:rsidR="00D2543F" w:rsidRPr="00D2543F" w:rsidRDefault="00D2543F" w:rsidP="00D2543F">
      <w:pPr>
        <w:jc w:val="center"/>
        <w:rPr>
          <w:rFonts w:cstheme="minorHAnsi"/>
          <w:sz w:val="34"/>
          <w:szCs w:val="34"/>
        </w:rPr>
      </w:pPr>
      <w:r w:rsidRPr="00D2543F">
        <w:rPr>
          <w:rFonts w:cstheme="minorHAnsi"/>
          <w:sz w:val="34"/>
          <w:szCs w:val="34"/>
        </w:rPr>
        <w:t>Access to clean cooking services in energy and emission scenarios after COVID-19</w:t>
      </w:r>
    </w:p>
    <w:p w14:paraId="3A24542F" w14:textId="77777777" w:rsidR="00D2543F" w:rsidRPr="007663E3" w:rsidRDefault="00D2543F" w:rsidP="00B8577A">
      <w:pPr>
        <w:jc w:val="center"/>
        <w:rPr>
          <w:rFonts w:cstheme="minorHAnsi"/>
          <w:sz w:val="32"/>
          <w:szCs w:val="32"/>
        </w:rPr>
      </w:pPr>
    </w:p>
    <w:p w14:paraId="451DE5C2" w14:textId="2DFD3DCF" w:rsidR="00B8577A" w:rsidRPr="007663E3" w:rsidRDefault="00B8577A" w:rsidP="00B8577A">
      <w:pPr>
        <w:autoSpaceDE w:val="0"/>
        <w:autoSpaceDN w:val="0"/>
        <w:adjustRightInd w:val="0"/>
        <w:jc w:val="center"/>
        <w:rPr>
          <w:sz w:val="24"/>
          <w:szCs w:val="24"/>
        </w:rPr>
      </w:pPr>
      <w:r w:rsidRPr="3290E3FF">
        <w:rPr>
          <w:sz w:val="24"/>
          <w:szCs w:val="24"/>
        </w:rPr>
        <w:t>Shonali Pachauri</w:t>
      </w:r>
      <w:r w:rsidR="0009488A" w:rsidRPr="3290E3FF">
        <w:rPr>
          <w:rStyle w:val="FootnoteReference"/>
          <w:sz w:val="24"/>
          <w:szCs w:val="24"/>
        </w:rPr>
        <w:footnoteReference w:id="2"/>
      </w:r>
      <w:r w:rsidR="0009488A" w:rsidRPr="3290E3FF">
        <w:rPr>
          <w:sz w:val="24"/>
          <w:szCs w:val="24"/>
        </w:rPr>
        <w:t>*</w:t>
      </w:r>
      <w:r w:rsidRPr="3290E3FF">
        <w:rPr>
          <w:sz w:val="24"/>
          <w:szCs w:val="24"/>
        </w:rPr>
        <w:t>, Miguel Poblete-Cazenave</w:t>
      </w:r>
      <w:r w:rsidR="00B100EE" w:rsidRPr="3290E3FF">
        <w:rPr>
          <w:sz w:val="24"/>
          <w:szCs w:val="24"/>
          <w:vertAlign w:val="superscript"/>
        </w:rPr>
        <w:t>1</w:t>
      </w:r>
      <w:r w:rsidRPr="3290E3FF">
        <w:rPr>
          <w:sz w:val="24"/>
          <w:szCs w:val="24"/>
        </w:rPr>
        <w:t xml:space="preserve">, Arda </w:t>
      </w:r>
      <w:proofErr w:type="spellStart"/>
      <w:r w:rsidRPr="3290E3FF">
        <w:rPr>
          <w:sz w:val="24"/>
          <w:szCs w:val="24"/>
        </w:rPr>
        <w:t>Akta</w:t>
      </w:r>
      <w:r w:rsidR="62875651" w:rsidRPr="3290E3FF">
        <w:rPr>
          <w:sz w:val="24"/>
          <w:szCs w:val="24"/>
        </w:rPr>
        <w:t>s</w:t>
      </w:r>
      <w:proofErr w:type="spellEnd"/>
      <w:r w:rsidR="00B100EE" w:rsidRPr="3290E3FF">
        <w:rPr>
          <w:rStyle w:val="FootnoteReference"/>
          <w:sz w:val="24"/>
          <w:szCs w:val="24"/>
        </w:rPr>
        <w:footnoteReference w:id="3"/>
      </w:r>
      <w:r w:rsidRPr="3290E3FF">
        <w:rPr>
          <w:sz w:val="24"/>
          <w:szCs w:val="24"/>
        </w:rPr>
        <w:t xml:space="preserve">, and Matthew </w:t>
      </w:r>
      <w:r w:rsidR="0027772D">
        <w:rPr>
          <w:sz w:val="24"/>
          <w:szCs w:val="24"/>
        </w:rPr>
        <w:t>J.</w:t>
      </w:r>
      <w:r w:rsidRPr="3290E3FF">
        <w:rPr>
          <w:sz w:val="24"/>
          <w:szCs w:val="24"/>
        </w:rPr>
        <w:t xml:space="preserve"> Gidden</w:t>
      </w:r>
      <w:r w:rsidR="004D1AB4" w:rsidRPr="3290E3FF">
        <w:rPr>
          <w:rStyle w:val="FootnoteReference"/>
          <w:sz w:val="24"/>
          <w:szCs w:val="24"/>
        </w:rPr>
        <w:footnoteReference w:id="4"/>
      </w:r>
    </w:p>
    <w:p w14:paraId="311E22DD" w14:textId="77777777" w:rsidR="00B8577A" w:rsidRPr="007663E3" w:rsidRDefault="00B8577A" w:rsidP="00B8577A">
      <w:pPr>
        <w:autoSpaceDE w:val="0"/>
        <w:autoSpaceDN w:val="0"/>
        <w:adjustRightInd w:val="0"/>
        <w:jc w:val="center"/>
        <w:rPr>
          <w:rFonts w:cstheme="minorHAnsi"/>
          <w:sz w:val="24"/>
          <w:szCs w:val="24"/>
        </w:rPr>
      </w:pPr>
    </w:p>
    <w:p w14:paraId="2B0D6256" w14:textId="6C2C483C" w:rsidR="00B8577A" w:rsidRPr="007663E3" w:rsidRDefault="00B8577A" w:rsidP="00B8577A">
      <w:pPr>
        <w:autoSpaceDE w:val="0"/>
        <w:autoSpaceDN w:val="0"/>
        <w:adjustRightInd w:val="0"/>
        <w:jc w:val="center"/>
        <w:rPr>
          <w:rFonts w:cstheme="minorHAnsi"/>
          <w:sz w:val="24"/>
          <w:szCs w:val="24"/>
        </w:rPr>
      </w:pPr>
      <w:r w:rsidRPr="007663E3">
        <w:rPr>
          <w:rFonts w:cstheme="minorHAnsi"/>
          <w:sz w:val="24"/>
          <w:szCs w:val="24"/>
        </w:rPr>
        <w:t>August 2021</w:t>
      </w:r>
    </w:p>
    <w:p w14:paraId="79DC0F5E" w14:textId="0A4686CF" w:rsidR="00B8577A" w:rsidRPr="007663E3" w:rsidRDefault="00B8577A" w:rsidP="00B8577A">
      <w:pPr>
        <w:autoSpaceDE w:val="0"/>
        <w:autoSpaceDN w:val="0"/>
        <w:adjustRightInd w:val="0"/>
        <w:jc w:val="center"/>
        <w:rPr>
          <w:rFonts w:cstheme="minorHAnsi"/>
          <w:sz w:val="24"/>
          <w:szCs w:val="24"/>
        </w:rPr>
      </w:pPr>
    </w:p>
    <w:p w14:paraId="4EAE57D7" w14:textId="116CA621" w:rsidR="00B8577A" w:rsidRPr="007663E3" w:rsidRDefault="00B8577A" w:rsidP="00B8577A">
      <w:pPr>
        <w:autoSpaceDE w:val="0"/>
        <w:autoSpaceDN w:val="0"/>
        <w:adjustRightInd w:val="0"/>
        <w:jc w:val="center"/>
        <w:rPr>
          <w:rFonts w:cstheme="minorHAnsi"/>
          <w:sz w:val="24"/>
          <w:szCs w:val="24"/>
        </w:rPr>
      </w:pPr>
    </w:p>
    <w:p w14:paraId="1A879077" w14:textId="77777777" w:rsidR="00B8577A" w:rsidRPr="007663E3" w:rsidRDefault="00B8577A" w:rsidP="00B8577A">
      <w:pPr>
        <w:autoSpaceDE w:val="0"/>
        <w:autoSpaceDN w:val="0"/>
        <w:adjustRightInd w:val="0"/>
        <w:jc w:val="center"/>
        <w:rPr>
          <w:rFonts w:cstheme="minorHAnsi"/>
          <w:b/>
          <w:bCs/>
        </w:rPr>
      </w:pPr>
      <w:r w:rsidRPr="007663E3">
        <w:rPr>
          <w:rFonts w:cstheme="minorHAnsi"/>
          <w:b/>
          <w:bCs/>
        </w:rPr>
        <w:t>Abstract</w:t>
      </w:r>
    </w:p>
    <w:p w14:paraId="102DFD5C" w14:textId="57BE9557" w:rsidR="00B8577A" w:rsidRPr="007663E3" w:rsidRDefault="00B8577A" w:rsidP="00B8577A">
      <w:pPr>
        <w:autoSpaceDE w:val="0"/>
        <w:autoSpaceDN w:val="0"/>
        <w:adjustRightInd w:val="0"/>
        <w:jc w:val="both"/>
        <w:rPr>
          <w:rFonts w:cstheme="minorHAnsi"/>
        </w:rPr>
      </w:pPr>
      <w:r w:rsidRPr="007663E3">
        <w:rPr>
          <w:rFonts w:cstheme="minorHAnsi"/>
        </w:rPr>
        <w:t xml:space="preserve">Slow progress in expanding clean cooking access is hindering progress on health, gender, equity, climate, and air quality goals globally. Despite a rising population share with clean cooking access, the number of </w:t>
      </w:r>
      <w:r w:rsidR="00DA1190">
        <w:rPr>
          <w:rFonts w:cstheme="minorHAnsi"/>
        </w:rPr>
        <w:t>cooking poor</w:t>
      </w:r>
      <w:r w:rsidR="00A8093A" w:rsidRPr="007663E3">
        <w:rPr>
          <w:rFonts w:cstheme="minorHAnsi"/>
        </w:rPr>
        <w:t xml:space="preserve"> </w:t>
      </w:r>
      <w:r w:rsidR="00E83500" w:rsidRPr="007663E3">
        <w:rPr>
          <w:rFonts w:cstheme="minorHAnsi"/>
        </w:rPr>
        <w:t>remain</w:t>
      </w:r>
      <w:r w:rsidR="006C5978">
        <w:rPr>
          <w:rFonts w:cstheme="minorHAnsi"/>
        </w:rPr>
        <w:t>s</w:t>
      </w:r>
      <w:r w:rsidRPr="007663E3">
        <w:rPr>
          <w:rFonts w:cstheme="minorHAnsi"/>
        </w:rPr>
        <w:t xml:space="preserve"> stagnant. Here, we explore clean cooking access till 2050 under three reference, a COVID-19 recovery, and ambitious climate mitigation policy scenarios. We find universal access may not be achieved even in 2050. A </w:t>
      </w:r>
      <w:r w:rsidR="000606B4">
        <w:rPr>
          <w:rFonts w:cstheme="minorHAnsi"/>
        </w:rPr>
        <w:t>protracted recession after</w:t>
      </w:r>
      <w:r w:rsidRPr="007663E3">
        <w:rPr>
          <w:rFonts w:cstheme="minorHAnsi"/>
        </w:rPr>
        <w:t xml:space="preserve"> the pandemic could leave an additional 470 million people unable to afford clean cooking services in 2030 relative to a reference scenario. </w:t>
      </w:r>
      <w:r w:rsidR="00D75060">
        <w:rPr>
          <w:rFonts w:cstheme="minorHAnsi"/>
        </w:rPr>
        <w:t>We find</w:t>
      </w:r>
      <w:r w:rsidRPr="007663E3">
        <w:rPr>
          <w:rFonts w:cstheme="minorHAnsi"/>
        </w:rPr>
        <w:t xml:space="preserve"> </w:t>
      </w:r>
      <w:r w:rsidR="00CB0688">
        <w:rPr>
          <w:rFonts w:cstheme="minorHAnsi"/>
        </w:rPr>
        <w:t>populations</w:t>
      </w:r>
      <w:r w:rsidRPr="007663E3">
        <w:rPr>
          <w:rFonts w:cstheme="minorHAnsi"/>
        </w:rPr>
        <w:t xml:space="preserve"> in sub-Saharan Africa and Asia</w:t>
      </w:r>
      <w:r w:rsidR="00331154" w:rsidRPr="00331154">
        <w:rPr>
          <w:rFonts w:cstheme="minorHAnsi"/>
        </w:rPr>
        <w:t xml:space="preserve"> </w:t>
      </w:r>
      <w:r w:rsidR="00331154" w:rsidRPr="007663E3">
        <w:rPr>
          <w:rFonts w:cstheme="minorHAnsi"/>
        </w:rPr>
        <w:t>worst affected</w:t>
      </w:r>
      <w:r w:rsidRPr="007663E3">
        <w:rPr>
          <w:rFonts w:cstheme="minorHAnsi"/>
        </w:rPr>
        <w:t>. Ambitious climate mitigation needs to be twinned with robust energy access policies to prevent an additional 200 million people being unable to transition to clean cooking in 2030. Our findings underline the need for immediate acceleration in efforts to make clean cooking accessible and affordable for all.</w:t>
      </w:r>
    </w:p>
    <w:p w14:paraId="6188842A" w14:textId="2FDEA80A" w:rsidR="00B8577A" w:rsidRDefault="00B8577A" w:rsidP="00B8577A">
      <w:pPr>
        <w:autoSpaceDE w:val="0"/>
        <w:autoSpaceDN w:val="0"/>
        <w:adjustRightInd w:val="0"/>
        <w:jc w:val="both"/>
        <w:rPr>
          <w:rFonts w:cstheme="minorHAnsi"/>
        </w:rPr>
      </w:pPr>
    </w:p>
    <w:p w14:paraId="0FF18428" w14:textId="77777777" w:rsidR="00B17DE6" w:rsidRPr="008D065A" w:rsidRDefault="00B17DE6" w:rsidP="00B17DE6">
      <w:pPr>
        <w:autoSpaceDE w:val="0"/>
        <w:autoSpaceDN w:val="0"/>
        <w:adjustRightInd w:val="0"/>
        <w:rPr>
          <w:rFonts w:cstheme="minorHAnsi"/>
          <w:b/>
          <w:bCs/>
          <w:sz w:val="29"/>
          <w:szCs w:val="29"/>
        </w:rPr>
      </w:pPr>
      <w:r w:rsidRPr="008D065A">
        <w:rPr>
          <w:rFonts w:cstheme="minorHAnsi"/>
          <w:b/>
          <w:bCs/>
          <w:sz w:val="29"/>
          <w:szCs w:val="29"/>
        </w:rPr>
        <w:t>Main</w:t>
      </w:r>
    </w:p>
    <w:p w14:paraId="0BE16393" w14:textId="2B86EB0C" w:rsidR="00B17DE6" w:rsidRDefault="00B17DE6" w:rsidP="00C86867">
      <w:pPr>
        <w:autoSpaceDE w:val="0"/>
        <w:autoSpaceDN w:val="0"/>
        <w:adjustRightInd w:val="0"/>
        <w:jc w:val="both"/>
        <w:rPr>
          <w:sz w:val="24"/>
          <w:szCs w:val="24"/>
        </w:rPr>
      </w:pPr>
      <w:r w:rsidRPr="2B0694CE">
        <w:rPr>
          <w:sz w:val="24"/>
          <w:szCs w:val="24"/>
        </w:rPr>
        <w:t xml:space="preserve">Energy for cooking is a most fundamental need. Yet today, over three billion people still cook </w:t>
      </w:r>
      <w:r w:rsidR="001C635E" w:rsidRPr="2B0694CE">
        <w:rPr>
          <w:sz w:val="24"/>
          <w:szCs w:val="24"/>
        </w:rPr>
        <w:t xml:space="preserve">by </w:t>
      </w:r>
      <w:r w:rsidRPr="2B0694CE">
        <w:rPr>
          <w:sz w:val="24"/>
          <w:szCs w:val="24"/>
        </w:rPr>
        <w:t xml:space="preserve">burning wood on open </w:t>
      </w:r>
      <w:r w:rsidR="00C86867" w:rsidRPr="2B0694CE">
        <w:rPr>
          <w:sz w:val="24"/>
          <w:szCs w:val="24"/>
        </w:rPr>
        <w:t>fi</w:t>
      </w:r>
      <w:r w:rsidRPr="2B0694CE">
        <w:rPr>
          <w:sz w:val="24"/>
          <w:szCs w:val="24"/>
        </w:rPr>
        <w:t xml:space="preserve">res and in smoky stoves. The enormous social, public health, and environmental </w:t>
      </w:r>
      <w:r w:rsidR="00E100D5" w:rsidRPr="2B0694CE">
        <w:rPr>
          <w:sz w:val="24"/>
          <w:szCs w:val="24"/>
        </w:rPr>
        <w:t>benefits</w:t>
      </w:r>
      <w:r w:rsidRPr="2B0694CE">
        <w:rPr>
          <w:sz w:val="24"/>
          <w:szCs w:val="24"/>
        </w:rPr>
        <w:t xml:space="preserve"> of transitioning to cleaner cooking underpin</w:t>
      </w:r>
      <w:r w:rsidR="00E100D5" w:rsidRPr="2B0694CE">
        <w:rPr>
          <w:sz w:val="24"/>
          <w:szCs w:val="24"/>
        </w:rPr>
        <w:t xml:space="preserve"> </w:t>
      </w:r>
      <w:r w:rsidRPr="2B0694CE">
        <w:rPr>
          <w:sz w:val="24"/>
          <w:szCs w:val="24"/>
        </w:rPr>
        <w:t>the inclusion of a universal access target for this under the UN Sustainable Development Goal 7</w:t>
      </w:r>
      <w:r w:rsidR="00E100D5" w:rsidRPr="2B0694CE">
        <w:rPr>
          <w:sz w:val="24"/>
          <w:szCs w:val="24"/>
        </w:rPr>
        <w:t xml:space="preserve"> </w:t>
      </w:r>
      <w:r w:rsidRPr="2B0694CE">
        <w:rPr>
          <w:sz w:val="24"/>
          <w:szCs w:val="24"/>
        </w:rPr>
        <w:t>(SDG 7)</w:t>
      </w:r>
      <w:r w:rsidR="0076466A" w:rsidRPr="2B0694CE">
        <w:rPr>
          <w:sz w:val="24"/>
          <w:szCs w:val="24"/>
        </w:rPr>
        <w:fldChar w:fldCharType="begin" w:fldLock="1"/>
      </w:r>
      <w:r w:rsidR="00D80A04">
        <w:rPr>
          <w:sz w:val="24"/>
          <w:szCs w:val="24"/>
        </w:rPr>
        <w:instrText>ADDIN CSL_CITATION {"citationItems":[{"id":"ITEM-1","itemData":{"author":[{"dropping-particle":"","family":"Rosenthal","given":"Joshua","non-dropping-particle":"","parse-names":false,"suffix":""},{"dropping-particle":"","family":"Quinn","given":"Ashlinn","non-dropping-particle":"","parse-names":false,"suffix":""},{"dropping-particle":"","family":"Grieshop","given":"Andrew P","non-dropping-particle":"","parse-names":false,"suffix":""},{"dropping-particle":"","family":"Pillarisetti","given":"Ajay","non-dropping-particle":"","parse-names":false,"suffix":""},{"dropping-particle":"","family":"Glass","given":"Roger I","non-dropping-particle":"","parse-names":false,"suffix":""}],"container-title":"Energy for Sustainable Development","id":"ITEM-1","issued":{"date-parts":[["2018"]]},"page":"152-159","publisher":"Elsevier","title":"Clean cooking and the SDGs: Integrated analytical approaches to guide energy interventions for health and environment goals","type":"article-journal","volume":"42"},"uris":["http://www.mendeley.com/documents/?uuid=73a54fa5-8a4e-32e7-85c4-fb00f808c386"]},{"id":"ITEM-2","itemData":{"author":[{"dropping-particle":"","family":"Maji","given":"Poushali","non-dropping-particle":"","parse-names":false,"suffix":""},{"dropping-particle":"","family":"Kandlikar","given":"Milind","non-dropping-particle":"","parse-names":false,"suffix":""}],"container-title":"Energy for Sustainable Development","id":"ITEM-2","issued":{"date-parts":[["2020"]]},"page":"37-47","publisher":"Elsevier","title":"Quantifying the air quality, climate and equity implications of India's household energy transition","type":"article-journal","volume":"55"},"uris":["http://www.mendeley.com/documents/?uuid=16210a21-797e-343a-b7d5-5c027e547e92"]},{"id":"ITEM-3","itemData":{"author":[{"dropping-particle":"","family":"Watts","given":"Nick","non-dropping-particle":"","parse-names":false,"suffix":""},{"dropping-particle":"","family":"Amann","given":"Markus","non-dropping-particle":"","parse-names":false,"suffix":""},{"dropping-particle":"","family":"Arnell","given":"Nigel","non-dropping-particle":"","parse-names":false,"suffix":""},{"dropping-particle":"","family":"Ayeb-Karlsson","given":"Sonja","non-dropping-particle":"","parse-names":false,"suffix":""},{"dropping-particle":"","family":"Beagley","given":"Jessica","non-dropping-particle":"","parse-names":false,"suffix":""},{"dropping-particle":"","family":"Belesova","given":"Kristine","non-dropping-particle":"","parse-names":false,"suffix":""},{"dropping-particle":"","family":"Boykoff","given":"Maxwell","non-dropping-particle":"","parse-names":false,"suffix":""},{"dropping-particle":"","family":"Byass","given":"Peter","non-dropping-particle":"","parse-names":false,"suffix":""},{"dropping-particle":"","family":"Cai","given":"Wenjia","non-dropping-particle":"","parse-names":false,"suffix":""},{"dropping-particle":"","family":"Campbell-Lendrum","given":"Diarmid","non-dropping-particle":"","parse-names":false,"suffix":""},{"dropping-particle":"","family":"others","given":"","non-dropping-particle":"","parse-names":false,"suffix":""}],"container-title":"The Lancet","id":"ITEM-3","issue":"10269","issued":{"date-parts":[["2020"]]},"page":"129-170","publisher":"Elsevier","title":"The 2020 report of The Lancet Countdown on health and climate change: responding to converging crises | Elsevier Enhanced Reader","type":"article-journal","volume":"397"},"uris":["http://www.mendeley.com/documents/?uuid=67e7d24d-7a15-38d5-8fc5-a47fe0970702"]}],"mendeley":{"formattedCitation":"&lt;sup&gt;1–3&lt;/sup&gt;","plainTextFormattedCitation":"1–3","previouslyFormattedCitation":"&lt;sup&gt;1–3&lt;/sup&gt;"},"properties":{"noteIndex":0},"schema":"https://github.com/citation-style-language/schema/raw/master/csl-citation.json"}</w:instrText>
      </w:r>
      <w:r w:rsidR="0076466A" w:rsidRPr="2B0694CE">
        <w:rPr>
          <w:sz w:val="24"/>
          <w:szCs w:val="24"/>
        </w:rPr>
        <w:fldChar w:fldCharType="separate"/>
      </w:r>
      <w:r w:rsidR="00CE47D8" w:rsidRPr="00CE47D8">
        <w:rPr>
          <w:noProof/>
          <w:sz w:val="24"/>
          <w:szCs w:val="24"/>
          <w:vertAlign w:val="superscript"/>
        </w:rPr>
        <w:t>1–3</w:t>
      </w:r>
      <w:r w:rsidR="0076466A" w:rsidRPr="2B0694CE">
        <w:rPr>
          <w:sz w:val="24"/>
          <w:szCs w:val="24"/>
        </w:rPr>
        <w:fldChar w:fldCharType="end"/>
      </w:r>
      <w:r w:rsidRPr="2B0694CE">
        <w:rPr>
          <w:sz w:val="24"/>
          <w:szCs w:val="24"/>
        </w:rPr>
        <w:t>. Even before the COVID-19 pandemic, data showed that e</w:t>
      </w:r>
      <w:r w:rsidR="00E100D5" w:rsidRPr="2B0694CE">
        <w:rPr>
          <w:sz w:val="24"/>
          <w:szCs w:val="24"/>
        </w:rPr>
        <w:t>ff</w:t>
      </w:r>
      <w:r w:rsidRPr="2B0694CE">
        <w:rPr>
          <w:sz w:val="24"/>
          <w:szCs w:val="24"/>
        </w:rPr>
        <w:t>orts to provide clean fuels</w:t>
      </w:r>
      <w:r w:rsidR="00E100D5" w:rsidRPr="2B0694CE">
        <w:rPr>
          <w:sz w:val="24"/>
          <w:szCs w:val="24"/>
        </w:rPr>
        <w:t xml:space="preserve"> </w:t>
      </w:r>
      <w:r w:rsidRPr="2B0694CE">
        <w:rPr>
          <w:sz w:val="24"/>
          <w:szCs w:val="24"/>
        </w:rPr>
        <w:t>and stoves have been lagging far behind those aimed at extending electricity access</w:t>
      </w:r>
      <w:r w:rsidR="000C45A7">
        <w:rPr>
          <w:sz w:val="24"/>
          <w:szCs w:val="24"/>
        </w:rPr>
        <w:fldChar w:fldCharType="begin" w:fldLock="1"/>
      </w:r>
      <w:r w:rsidR="006C5E78">
        <w:rPr>
          <w:sz w:val="24"/>
          <w:szCs w:val="24"/>
        </w:rPr>
        <w:instrText>ADDIN CSL_CITATION {"citationItems":[{"id":"ITEM-1","itemData":{"author":[{"dropping-particle":"","family":"IEA","given":"","non-dropping-particle":"","parse-names":false,"suffix":""},{"dropping-particle":"","family":"IRENA","given":"","non-dropping-particle":"","parse-names":false,"suffix":""},{"dropping-particle":"","family":"UNSD","given":"","non-dropping-particle":"","parse-names":false,"suffix":""},{"dropping-particle":"","family":"WB","given":"","non-dropping-particle":"","parse-names":false,"suffix":""},{"dropping-particle":"","family":"WHO","given":"","non-dropping-particle":"","parse-names":false,"suffix":""}],"id":"ITEM-1","issued":{"date-parts":[["2020"]]},"publisher":"World Bank","title":"Tracking SDG 7 : The Energy Progress Report 2020","type":"report"},"uris":["http://www.mendeley.com/documents/?uuid=d47a8619-89d2-3c77-b1b8-c33ff876a58f"]}],"mendeley":{"formattedCitation":"&lt;sup&gt;4&lt;/sup&gt;","plainTextFormattedCitation":"4","previouslyFormattedCitation":"&lt;sup&gt;4&lt;/sup&gt;"},"properties":{"noteIndex":0},"schema":"https://github.com/citation-style-language/schema/raw/master/csl-citation.json"}</w:instrText>
      </w:r>
      <w:r w:rsidR="000C45A7">
        <w:rPr>
          <w:sz w:val="24"/>
          <w:szCs w:val="24"/>
        </w:rPr>
        <w:fldChar w:fldCharType="separate"/>
      </w:r>
      <w:r w:rsidR="00CE47D8" w:rsidRPr="00CE47D8">
        <w:rPr>
          <w:noProof/>
          <w:sz w:val="24"/>
          <w:szCs w:val="24"/>
          <w:vertAlign w:val="superscript"/>
        </w:rPr>
        <w:t>4</w:t>
      </w:r>
      <w:r w:rsidR="000C45A7">
        <w:rPr>
          <w:sz w:val="24"/>
          <w:szCs w:val="24"/>
        </w:rPr>
        <w:fldChar w:fldCharType="end"/>
      </w:r>
      <w:r w:rsidRPr="2B0694CE">
        <w:rPr>
          <w:sz w:val="24"/>
          <w:szCs w:val="24"/>
        </w:rPr>
        <w:t>. A recent</w:t>
      </w:r>
      <w:r w:rsidR="00E100D5" w:rsidRPr="2B0694CE">
        <w:rPr>
          <w:sz w:val="24"/>
          <w:szCs w:val="24"/>
        </w:rPr>
        <w:t xml:space="preserve"> </w:t>
      </w:r>
      <w:r w:rsidRPr="2B0694CE">
        <w:rPr>
          <w:sz w:val="24"/>
          <w:szCs w:val="24"/>
        </w:rPr>
        <w:t>report claims that this sluggish progress in providing clean cooking access is costing</w:t>
      </w:r>
      <w:r w:rsidR="00E100D5" w:rsidRPr="2B0694CE">
        <w:rPr>
          <w:sz w:val="24"/>
          <w:szCs w:val="24"/>
        </w:rPr>
        <w:t xml:space="preserve"> </w:t>
      </w:r>
      <w:r w:rsidRPr="2B0694CE">
        <w:rPr>
          <w:sz w:val="24"/>
          <w:szCs w:val="24"/>
        </w:rPr>
        <w:t>the world more than US$2 trillion each year from health impacts, productivity losses and environmental degradation</w:t>
      </w:r>
      <w:r w:rsidR="00316694">
        <w:rPr>
          <w:sz w:val="24"/>
          <w:szCs w:val="24"/>
        </w:rPr>
        <w:fldChar w:fldCharType="begin" w:fldLock="1"/>
      </w:r>
      <w:r w:rsidR="000136ED">
        <w:rPr>
          <w:sz w:val="24"/>
          <w:szCs w:val="24"/>
        </w:rPr>
        <w:instrText>ADDIN CSL_CITATION {"citationItems":[{"id":"ITEM-1","itemData":{"author":[{"dropping-particle":"","family":"Energy Sector Management Assistance Program","given":"","non-dropping-particle":"","parse-names":false,"suffix":""}],"id":"ITEM-1","issued":{"date-parts":[["2020"]]},"publisher":"World Bank","title":"The State of Access to Modern Energy Cooking Services","type":"report"},"uris":["http://www.mendeley.com/documents/?uuid=d6923c86-eb2e-3434-8d9b-b940956bc501"]}],"mendeley":{"formattedCitation":"&lt;sup&gt;5&lt;/sup&gt;","plainTextFormattedCitation":"5","previouslyFormattedCitation":"&lt;sup&gt;5&lt;/sup&gt;"},"properties":{"noteIndex":0},"schema":"https://github.com/citation-style-language/schema/raw/master/csl-citation.json"}</w:instrText>
      </w:r>
      <w:r w:rsidR="00316694">
        <w:rPr>
          <w:sz w:val="24"/>
          <w:szCs w:val="24"/>
        </w:rPr>
        <w:fldChar w:fldCharType="separate"/>
      </w:r>
      <w:r w:rsidR="00CE47D8" w:rsidRPr="00CE47D8">
        <w:rPr>
          <w:noProof/>
          <w:sz w:val="24"/>
          <w:szCs w:val="24"/>
          <w:vertAlign w:val="superscript"/>
        </w:rPr>
        <w:t>5</w:t>
      </w:r>
      <w:r w:rsidR="00316694">
        <w:rPr>
          <w:sz w:val="24"/>
          <w:szCs w:val="24"/>
        </w:rPr>
        <w:fldChar w:fldCharType="end"/>
      </w:r>
      <w:r w:rsidRPr="2B0694CE">
        <w:rPr>
          <w:sz w:val="24"/>
          <w:szCs w:val="24"/>
        </w:rPr>
        <w:t>. Mounting evidence of the COVID-19 mortality impacts of air pollution</w:t>
      </w:r>
      <w:r w:rsidR="00E100D5" w:rsidRPr="2B0694CE">
        <w:rPr>
          <w:sz w:val="24"/>
          <w:szCs w:val="24"/>
        </w:rPr>
        <w:t xml:space="preserve"> </w:t>
      </w:r>
      <w:r w:rsidRPr="2B0694CE">
        <w:rPr>
          <w:sz w:val="24"/>
          <w:szCs w:val="24"/>
        </w:rPr>
        <w:t>exposures</w:t>
      </w:r>
      <w:r w:rsidR="00EB54FA">
        <w:rPr>
          <w:sz w:val="24"/>
          <w:szCs w:val="24"/>
        </w:rPr>
        <w:t xml:space="preserve"> </w:t>
      </w:r>
      <w:r w:rsidR="0052364D">
        <w:rPr>
          <w:sz w:val="24"/>
          <w:szCs w:val="24"/>
        </w:rPr>
        <w:t>makes universal</w:t>
      </w:r>
      <w:r w:rsidRPr="2B0694CE">
        <w:rPr>
          <w:sz w:val="24"/>
          <w:szCs w:val="24"/>
        </w:rPr>
        <w:t xml:space="preserve"> access to clean cooking services </w:t>
      </w:r>
      <w:r w:rsidR="0052364D">
        <w:rPr>
          <w:sz w:val="24"/>
          <w:szCs w:val="24"/>
        </w:rPr>
        <w:t>more urgent</w:t>
      </w:r>
      <w:r w:rsidR="00EB54FA">
        <w:rPr>
          <w:sz w:val="24"/>
          <w:szCs w:val="24"/>
        </w:rPr>
        <w:fldChar w:fldCharType="begin" w:fldLock="1"/>
      </w:r>
      <w:r w:rsidR="00EB54FA">
        <w:rPr>
          <w:sz w:val="24"/>
          <w:szCs w:val="24"/>
        </w:rPr>
        <w:instrText>ADDIN CSL_CITATION {"citationItems":[{"id":"ITEM-1","itemData":{"author":[{"dropping-particle":"","family":"Fattorini","given":"Daniele","non-dropping-particle":"","parse-names":false,"suffix":""},{"dropping-particle":"","family":"Regoli","given":"Francesco","non-dropping-particle":"","parse-names":false,"suffix":""}],"container-title":"Environmental Pollution","id":"ITEM-1","issued":{"date-parts":[["2020"]]},"page":"114732","publisher":"Elsevier","title":"Role of the chronic air pollution levels in the Covid-19 outbreak risk in Italy","type":"article-journal","volume":"264"},"uris":["http://www.mendeley.com/documents/?uuid=80d718cb-621a-3b52-8b69-3660bd9119fc"]},{"id":"ITEM-2","itemData":{"author":[{"dropping-particle":"","family":"Pozzer","given":"Andrea","non-dropping-particle":"","parse-names":false,"suffix":""},{"dropping-particle":"","family":"Dominici","given":"Francesca","non-dropping-particle":"","parse-names":false,"suffix":""},{"dropping-particle":"","family":"Haines","given":"Andy","non-dropping-particle":"","parse-names":false,"suffix":""},{"dropping-particle":"","family":"Witt","given":"Christian","non-dropping-particle":"","parse-names":false,"suffix":""},{"dropping-particle":"","family":"Münzel","given":"Thomas","non-dropping-particle":"","parse-names":false,"suffix":""},{"dropping-particle":"","family":"Lelieveld","given":"Jos","non-dropping-particle":"","parse-names":false,"suffix":""}],"container-title":"Cardiovascular research","id":"ITEM-2","issue":"14","issued":{"date-parts":[["2020"]]},"page":"2247-2253","publisher":"Oxford University Press","title":"Regional and global contributions of air pollution to risk of death from COVID-19","type":"article-journal","volume":"116"},"uris":["http://www.mendeley.com/documents/?uuid=21f1a1b8-35cd-3c18-ad9d-f4312eadc39f"]}],"mendeley":{"formattedCitation":"&lt;sup&gt;6,7&lt;/sup&gt;","plainTextFormattedCitation":"6,7","previouslyFormattedCitation":"&lt;sup&gt;6,7&lt;/sup&gt;"},"properties":{"noteIndex":0},"schema":"https://github.com/citation-style-language/schema/raw/master/csl-citation.json"}</w:instrText>
      </w:r>
      <w:r w:rsidR="00EB54FA">
        <w:rPr>
          <w:sz w:val="24"/>
          <w:szCs w:val="24"/>
        </w:rPr>
        <w:fldChar w:fldCharType="separate"/>
      </w:r>
      <w:r w:rsidR="00EB54FA" w:rsidRPr="00CE47D8">
        <w:rPr>
          <w:noProof/>
          <w:sz w:val="24"/>
          <w:szCs w:val="24"/>
          <w:vertAlign w:val="superscript"/>
        </w:rPr>
        <w:t>6,7</w:t>
      </w:r>
      <w:r w:rsidR="00EB54FA">
        <w:rPr>
          <w:sz w:val="24"/>
          <w:szCs w:val="24"/>
        </w:rPr>
        <w:fldChar w:fldCharType="end"/>
      </w:r>
      <w:r w:rsidRPr="2B0694CE">
        <w:rPr>
          <w:sz w:val="24"/>
          <w:szCs w:val="24"/>
        </w:rPr>
        <w:t>. Despite</w:t>
      </w:r>
      <w:r w:rsidR="00E100D5" w:rsidRPr="2B0694CE">
        <w:rPr>
          <w:sz w:val="24"/>
          <w:szCs w:val="24"/>
        </w:rPr>
        <w:t xml:space="preserve"> </w:t>
      </w:r>
      <w:r w:rsidRPr="2B0694CE">
        <w:rPr>
          <w:sz w:val="24"/>
          <w:szCs w:val="24"/>
        </w:rPr>
        <w:t>this, emerging evidence suggests that the economic fallout of the pandemic might pose a further</w:t>
      </w:r>
      <w:r w:rsidR="00E100D5" w:rsidRPr="2B0694CE">
        <w:rPr>
          <w:sz w:val="24"/>
          <w:szCs w:val="24"/>
        </w:rPr>
        <w:t xml:space="preserve"> </w:t>
      </w:r>
      <w:r w:rsidRPr="2B0694CE">
        <w:rPr>
          <w:sz w:val="24"/>
          <w:szCs w:val="24"/>
        </w:rPr>
        <w:t>setback to e</w:t>
      </w:r>
      <w:r w:rsidR="00E100D5" w:rsidRPr="2B0694CE">
        <w:rPr>
          <w:sz w:val="24"/>
          <w:szCs w:val="24"/>
        </w:rPr>
        <w:t>ff</w:t>
      </w:r>
      <w:r w:rsidRPr="2B0694CE">
        <w:rPr>
          <w:sz w:val="24"/>
          <w:szCs w:val="24"/>
        </w:rPr>
        <w:t>orts to reach this goal</w:t>
      </w:r>
      <w:r w:rsidR="00581623">
        <w:rPr>
          <w:sz w:val="24"/>
          <w:szCs w:val="24"/>
        </w:rPr>
        <w:t>, as many are</w:t>
      </w:r>
      <w:r w:rsidRPr="2B0694CE">
        <w:rPr>
          <w:sz w:val="24"/>
          <w:szCs w:val="24"/>
        </w:rPr>
        <w:t xml:space="preserve"> forced to climb down the energy ladder</w:t>
      </w:r>
      <w:r w:rsidR="00563E00" w:rsidRPr="2B0694CE">
        <w:rPr>
          <w:sz w:val="24"/>
          <w:szCs w:val="24"/>
        </w:rPr>
        <w:fldChar w:fldCharType="begin" w:fldLock="1"/>
      </w:r>
      <w:r w:rsidR="001D0F7D">
        <w:rPr>
          <w:sz w:val="24"/>
          <w:szCs w:val="24"/>
        </w:rPr>
        <w:instrText>ADDIN CSL_CITATION {"citationItems":[{"id":"ITEM-1","itemData":{"author":[{"dropping-particle":"","family":"IEA","given":"","non-dropping-particle":"","parse-names":false,"suffix":""}],"id":"ITEM-1","issued":{"date-parts":[["2020"]]},"publisher":"IEA","title":"The Covid-19 crisis is reversing progress on energy access in Africa","type":"report"},"uris":["http://www.mendeley.com/documents/?uuid=e9f0e568-40dd-31c8-ba61-aa6d53e6b561"]},{"id":"ITEM-2","itemData":{"DOI":"10.3389/frsc.2021.645914","ISSN":"2624-9634","author":[{"dropping-particle":"","family":"Boza-Kiss","given":"Benigna","non-dropping-particle":"","parse-names":false,"suffix":""},{"dropping-particle":"","family":"Pachauri","given":"Shonali","non-dropping-particle":"","parse-names":false,"suffix":""},{"dropping-particle":"","family":"Zimm","given":"Caroline","non-dropping-particle":"","parse-names":false,"suffix":""}],"container-title":"Frontiers in Sustainable Cities","id":"ITEM-2","issued":{"date-parts":[["2021"]]},"page":"15","title":"Deprivations and Inequities in Cities Viewed Through a Pandemic Lens","type":"article-journal","volume":"3"},"uris":["http://www.mendeley.com/documents/?uuid=0b50e61f-0cc7-3792-808d-f400f2f19d3e"]},{"id":"ITEM-3","itemData":{"DOI":"10.1016/j.rser.2021.111018","ISSN":"1364-0321","author":[{"dropping-particle":"","family":"Shupler","given":"Matthew","non-dropping-particle":"","parse-names":false,"suffix":""},{"dropping-particle":"","family":"Mwitari","given":"James","non-dropping-particle":"","parse-names":false,"suffix":""},{"dropping-particle":"","family":"Gohole","given":"Arthur","non-dropping-particle":"","parse-names":false,"suffix":""},{"dropping-particle":"","family":"Anderson de Cuevas","given":"Rachel","non-dropping-particle":"","parse-names":false,"suffix":""},{"dropping-particle":"","family":"Puzzolo","given":"Elisa","non-dropping-particle":"","parse-names":false,"suffix":""},{"dropping-particle":"","family":"Čukić","given":"Iva","non-dropping-particle":"","parse-names":false,"suffix":""},{"dropping-particle":"","family":"Nix","given":"Emily","non-dropping-particle":"","parse-names":false,"suffix":""},{"dropping-particle":"","family":"Pope","given":"Daniel","non-dropping-particle":"","parse-names":false,"suffix":""}],"container-title":"Renewable and Sustainable Energy Reviews","id":"ITEM-3","issued":{"date-parts":[["2021"]]},"page":"111018","title":"COVID-19 impacts on household energy &amp; food security in a Kenyan informal settlement: The need for integrated approaches to the SDGs","type":"article-journal","volume":"144"},"uris":["http://www.mendeley.com/documents/?uuid=7556bb08-e705-3c08-b29b-cc484fa95448"]}],"mendeley":{"formattedCitation":"&lt;sup&gt;8–10&lt;/sup&gt;","plainTextFormattedCitation":"8–10","previouslyFormattedCitation":"&lt;sup&gt;8–10&lt;/sup&gt;"},"properties":{"noteIndex":0},"schema":"https://github.com/citation-style-language/schema/raw/master/csl-citation.json"}</w:instrText>
      </w:r>
      <w:r w:rsidR="00563E00" w:rsidRPr="2B0694CE">
        <w:rPr>
          <w:sz w:val="24"/>
          <w:szCs w:val="24"/>
        </w:rPr>
        <w:fldChar w:fldCharType="separate"/>
      </w:r>
      <w:r w:rsidR="00CE47D8" w:rsidRPr="00CE47D8">
        <w:rPr>
          <w:noProof/>
          <w:sz w:val="24"/>
          <w:szCs w:val="24"/>
          <w:vertAlign w:val="superscript"/>
        </w:rPr>
        <w:t>8–10</w:t>
      </w:r>
      <w:r w:rsidR="00563E00" w:rsidRPr="2B0694CE">
        <w:rPr>
          <w:sz w:val="24"/>
          <w:szCs w:val="24"/>
        </w:rPr>
        <w:fldChar w:fldCharType="end"/>
      </w:r>
      <w:r w:rsidRPr="2B0694CE">
        <w:rPr>
          <w:sz w:val="24"/>
          <w:szCs w:val="24"/>
        </w:rPr>
        <w:t>.</w:t>
      </w:r>
    </w:p>
    <w:p w14:paraId="62F5B382" w14:textId="17E793C0" w:rsidR="0073161E" w:rsidRDefault="0073161E" w:rsidP="00C86867">
      <w:pPr>
        <w:autoSpaceDE w:val="0"/>
        <w:autoSpaceDN w:val="0"/>
        <w:adjustRightInd w:val="0"/>
        <w:jc w:val="both"/>
        <w:rPr>
          <w:rFonts w:cstheme="minorHAnsi"/>
          <w:sz w:val="24"/>
          <w:szCs w:val="24"/>
        </w:rPr>
      </w:pPr>
    </w:p>
    <w:p w14:paraId="2A1BE5C6" w14:textId="4E03F5BE" w:rsidR="00A36C89" w:rsidRDefault="00A36C89" w:rsidP="00267FF2">
      <w:pPr>
        <w:autoSpaceDE w:val="0"/>
        <w:autoSpaceDN w:val="0"/>
        <w:adjustRightInd w:val="0"/>
        <w:jc w:val="both"/>
        <w:rPr>
          <w:rFonts w:cstheme="minorHAnsi"/>
          <w:sz w:val="24"/>
          <w:szCs w:val="24"/>
        </w:rPr>
      </w:pPr>
      <w:r w:rsidRPr="00A36C89">
        <w:rPr>
          <w:rFonts w:cstheme="minorHAnsi"/>
          <w:sz w:val="24"/>
          <w:szCs w:val="24"/>
        </w:rPr>
        <w:t>Previous literature analyzing scenarios for achieving universal access to modern energy services</w:t>
      </w:r>
      <w:r>
        <w:rPr>
          <w:rFonts w:cstheme="minorHAnsi"/>
          <w:sz w:val="24"/>
          <w:szCs w:val="24"/>
        </w:rPr>
        <w:t xml:space="preserve"> </w:t>
      </w:r>
      <w:r w:rsidRPr="00A36C89">
        <w:rPr>
          <w:rFonts w:cstheme="minorHAnsi"/>
          <w:sz w:val="24"/>
          <w:szCs w:val="24"/>
        </w:rPr>
        <w:t>have focused predominantly on electricity supply to assess the cost-e</w:t>
      </w:r>
      <w:r>
        <w:rPr>
          <w:rFonts w:cstheme="minorHAnsi"/>
          <w:sz w:val="24"/>
          <w:szCs w:val="24"/>
        </w:rPr>
        <w:t>ff</w:t>
      </w:r>
      <w:r w:rsidRPr="00A36C89">
        <w:rPr>
          <w:rFonts w:cstheme="minorHAnsi"/>
          <w:sz w:val="24"/>
          <w:szCs w:val="24"/>
        </w:rPr>
        <w:t xml:space="preserve">ectiveness of alternative </w:t>
      </w:r>
      <w:r w:rsidR="00451CCD">
        <w:rPr>
          <w:rFonts w:cstheme="minorHAnsi"/>
          <w:sz w:val="24"/>
          <w:szCs w:val="24"/>
        </w:rPr>
        <w:t xml:space="preserve">options </w:t>
      </w:r>
      <w:r w:rsidR="0018670B">
        <w:rPr>
          <w:rFonts w:cstheme="minorHAnsi"/>
          <w:sz w:val="24"/>
          <w:szCs w:val="24"/>
        </w:rPr>
        <w:t>to provide</w:t>
      </w:r>
      <w:r w:rsidRPr="00A36C89">
        <w:rPr>
          <w:rFonts w:cstheme="minorHAnsi"/>
          <w:sz w:val="24"/>
          <w:szCs w:val="24"/>
        </w:rPr>
        <w:t xml:space="preserve"> connections</w:t>
      </w:r>
      <w:r w:rsidR="000A6A13">
        <w:rPr>
          <w:rFonts w:cstheme="minorHAnsi"/>
          <w:sz w:val="24"/>
          <w:szCs w:val="24"/>
        </w:rPr>
        <w:fldChar w:fldCharType="begin" w:fldLock="1"/>
      </w:r>
      <w:r w:rsidR="00D80A04">
        <w:rPr>
          <w:rFonts w:cstheme="minorHAnsi"/>
          <w:sz w:val="24"/>
          <w:szCs w:val="24"/>
        </w:rPr>
        <w:instrText>ADDIN CSL_CITATION {"citationItems":[{"id":"ITEM-1","itemData":{"DOI":"10.1016/j.energy.2017.07.144","ISSN":"03605442","abstract":"Poverty and lack of access to electricity are highly correlated. In Sub-Saharan Africa, one of the poorest regions in the world, two in every three people have no access to electricity. This paper describes a purpose designed model to explore and project the development in the Sub-Saharan African electricity sector in Baseline and Universal access scenarios. The results provide insight into the role of different systems and technologies in providing access to electricity in the region and associated investment requirements. We project that Baseline developments do not lead to universal access to electricity, especially in Eastern Africa and the rural areas. The results show that central grid extension should be complemented with off-grid systems (mini-grid and stand-alone) to increase access in Sub-Saharan Africa. At the same time, the targeted level of consumption has large implications on the preferred electrification technology and associated investment requirements. For low levels of consumption, off-grid technologies are the most important technologies to increase access rate, while for high levels of consumption, extending the central grid is more economical. Total cumulative investment in the period 2010-2030 amount to 22 billion USD for low levels of consumption and exceed 2.5 trillion USD for high levels of consumption.","author":[{"dropping-particle":"","family":"Dagnachew","given":"Anteneh G.","non-dropping-particle":"","parse-names":false,"suffix":""},{"dropping-particle":"","family":"Lucas","given":"Paul L.","non-dropping-particle":"","parse-names":false,"suffix":""},{"dropping-particle":"","family":"Hof","given":"Andries F.","non-dropping-particle":"","parse-names":false,"suffix":""},{"dropping-particle":"","family":"Gernaat","given":"David E.H.J.","non-dropping-particle":"","parse-names":false,"suffix":""},{"dropping-particle":"","family":"Boer","given":"Harmen Sytze","non-dropping-particle":"de","parse-names":false,"suffix":""},{"dropping-particle":"","family":"Vuuren","given":"Detlef P.","non-dropping-particle":"van","parse-names":false,"suffix":""}],"container-title":"Energy","id":"ITEM-1","issued":{"date-parts":[["2017","11"]]},"page":"184-195","publisher":"Elsevier Ltd","title":"The role of decentralized systems in providing universal electricity access in Sub-Saharan Africa – A model-based approach","type":"article-journal","volume":"139"},"uris":["http://www.mendeley.com/documents/?uuid=c6003d0c-6f6c-3b6d-9d29-ce23dead6616"]},{"id":"ITEM-2","itemData":{"author":[{"dropping-particle":"","family":"Dagnachew","given":"Anteneh G","non-dropping-particle":"","parse-names":false,"suffix":""},{"dropping-particle":"","family":"Lucas","given":"Paul L","non-dropping-particle":"","parse-names":false,"suffix":""},{"dropping-particle":"","family":"Hof","given":"Andries F","non-dropping-particle":"","parse-names":false,"suffix":""},{"dropping-particle":"","family":"Vuuren","given":"Detlef P","non-dropping-particle":"van","parse-names":false,"suffix":""}],"container-title":"Energy Policy","id":"ITEM-2","issued":{"date-parts":[["2018"]]},"page":"355-366","publisher":"Elsevier","title":"Trade-offs and synergies between universal electricity access and climate change mitigation in Sub-Saharan Africa","type":"article-journal","volume":"114"},"uris":["http://www.mendeley.com/documents/?uuid=dfe6db30-842d-3124-9dac-f3567a5b9519"]},{"id":"ITEM-3","itemData":{"DOI":"10.1016/j.esr.2015.11.003","ISSN":"2211467X","abstract":"Approximately 2 out of 10 people in the world still live without access to electricity. The UN \"Sustainable Energy to All - SE4All\" initiative aims at eradicating this electricity access deficit by 2030. To estimate the financial effort required to achieve this target we analyse two long-term scenarios developed by the Paul Scherrer Institute and the World Energy Council, which describe two alternative economic and energy system developments. We focus on developing Asia, Latin America and Sub-Saharan Africa, which currently have the largest percentage of population without access to electricity. We couple a long-term energy system model with regional econometric models that forecast population electrification rates. We find that establishing universal electricity access by 2030 requires significant, but attainable investments in power generation infrastructure, and results in low impacts on primary energy demand and CO2 emissions.","author":[{"dropping-particle":"","family":"Panos","given":"Evangelos","non-dropping-particle":"","parse-names":false,"suffix":""},{"dropping-particle":"","family":"Densing","given":"Martin","non-dropping-particle":"","parse-names":false,"suffix":""},{"dropping-particle":"","family":"Volkart","given":"Kathrin","non-dropping-particle":"","parse-names":false,"suffix":""}],"container-title":"Energy Strategy Reviews","id":"ITEM-3","issued":{"date-parts":[["2016","3"]]},"page":"28-49","publisher":"Elsevier Ltd","title":"Access to electricity in the World Energy Council's global energy scenarios: An outlook for developing regions until 2030","type":"article-journal","volume":"9"},"uris":["http://www.mendeley.com/documents/?uuid=e78f84b8-836f-3f58-9916-8c2d2742fe00"]},{"id":"ITEM-4","itemData":{"author":[{"dropping-particle":"","family":"Moksnes","given":"Nandi","non-dropping-particle":"","parse-names":false,"suffix":""},{"dropping-particle":"","family":"Korkovelos","given":"Alexandros","non-dropping-particle":"","parse-names":false,"suffix":""},{"dropping-particle":"","family":"Mentis","given":"Dimitrios","non-dropping-particle":"","parse-names":false,"suffix":""},{"dropping-particle":"","family":"Howells","given":"Mark","non-dropping-particle":"","parse-names":false,"suffix":""}],"container-title":"Environmental Research Letters","id":"ITEM-4","issue":"9","issued":{"date-parts":[["2017"]]},"page":"95008","publisher":"IOP Publishing","title":"Electrification pathways for Kenya--linking spatial electrification analysis and medium to long term energy planning","type":"article-journal","volume":"12"},"uris":["http://www.mendeley.com/documents/?uuid=e5adb2f9-d1f7-3f5c-8910-55dd9d57480b"]}],"mendeley":{"formattedCitation":"&lt;sup&gt;11–14&lt;/sup&gt;","plainTextFormattedCitation":"11–14","previouslyFormattedCitation":"&lt;sup&gt;11–14&lt;/sup&gt;"},"properties":{"noteIndex":0},"schema":"https://github.com/citation-style-language/schema/raw/master/csl-citation.json"}</w:instrText>
      </w:r>
      <w:r w:rsidR="000A6A13">
        <w:rPr>
          <w:rFonts w:cstheme="minorHAnsi"/>
          <w:sz w:val="24"/>
          <w:szCs w:val="24"/>
        </w:rPr>
        <w:fldChar w:fldCharType="separate"/>
      </w:r>
      <w:r w:rsidR="00CE47D8" w:rsidRPr="00CE47D8">
        <w:rPr>
          <w:rFonts w:cstheme="minorHAnsi"/>
          <w:noProof/>
          <w:sz w:val="24"/>
          <w:szCs w:val="24"/>
          <w:vertAlign w:val="superscript"/>
        </w:rPr>
        <w:t>11–14</w:t>
      </w:r>
      <w:r w:rsidR="000A6A13">
        <w:rPr>
          <w:rFonts w:cstheme="minorHAnsi"/>
          <w:sz w:val="24"/>
          <w:szCs w:val="24"/>
        </w:rPr>
        <w:fldChar w:fldCharType="end"/>
      </w:r>
      <w:r w:rsidRPr="00A36C89">
        <w:rPr>
          <w:rFonts w:cstheme="minorHAnsi"/>
          <w:sz w:val="24"/>
          <w:szCs w:val="24"/>
        </w:rPr>
        <w:t>.</w:t>
      </w:r>
      <w:r w:rsidR="00F10A1B">
        <w:rPr>
          <w:rFonts w:cstheme="minorHAnsi"/>
          <w:sz w:val="24"/>
          <w:szCs w:val="24"/>
        </w:rPr>
        <w:t xml:space="preserve"> </w:t>
      </w:r>
      <w:r w:rsidRPr="00A36C89">
        <w:rPr>
          <w:rFonts w:cstheme="minorHAnsi"/>
          <w:sz w:val="24"/>
          <w:szCs w:val="24"/>
        </w:rPr>
        <w:t>There is a paucity of studies</w:t>
      </w:r>
      <w:r>
        <w:rPr>
          <w:rFonts w:cstheme="minorHAnsi"/>
          <w:sz w:val="24"/>
          <w:szCs w:val="24"/>
        </w:rPr>
        <w:t xml:space="preserve"> </w:t>
      </w:r>
      <w:r w:rsidRPr="00A36C89">
        <w:rPr>
          <w:rFonts w:cstheme="minorHAnsi"/>
          <w:sz w:val="24"/>
          <w:szCs w:val="24"/>
        </w:rPr>
        <w:t xml:space="preserve">analyzing </w:t>
      </w:r>
      <w:r w:rsidR="00E16C86" w:rsidRPr="00A36C89">
        <w:rPr>
          <w:rFonts w:cstheme="minorHAnsi"/>
          <w:sz w:val="24"/>
          <w:szCs w:val="24"/>
        </w:rPr>
        <w:t xml:space="preserve">clean cooking </w:t>
      </w:r>
      <w:r w:rsidRPr="00A36C89">
        <w:rPr>
          <w:rFonts w:cstheme="minorHAnsi"/>
          <w:sz w:val="24"/>
          <w:szCs w:val="24"/>
        </w:rPr>
        <w:t>scenarios, particularly at a global</w:t>
      </w:r>
      <w:r>
        <w:rPr>
          <w:rFonts w:cstheme="minorHAnsi"/>
          <w:sz w:val="24"/>
          <w:szCs w:val="24"/>
        </w:rPr>
        <w:t xml:space="preserve"> </w:t>
      </w:r>
      <w:r w:rsidRPr="00A36C89">
        <w:rPr>
          <w:rFonts w:cstheme="minorHAnsi"/>
          <w:sz w:val="24"/>
          <w:szCs w:val="24"/>
        </w:rPr>
        <w:t>scale</w:t>
      </w:r>
      <w:r w:rsidR="00B53E8D">
        <w:rPr>
          <w:rFonts w:cstheme="minorHAnsi"/>
          <w:sz w:val="24"/>
          <w:szCs w:val="24"/>
        </w:rPr>
        <w:fldChar w:fldCharType="begin" w:fldLock="1"/>
      </w:r>
      <w:r w:rsidR="005C328A">
        <w:rPr>
          <w:rFonts w:cstheme="minorHAnsi"/>
          <w:sz w:val="24"/>
          <w:szCs w:val="24"/>
        </w:rPr>
        <w:instrText>ADDIN CSL_CITATION {"citationItems":[{"id":"ITEM-1","itemData":{"DOI":"10.1016/j.energy.2019.116641","ISSN":"03605442","author":[{"dropping-particle":"","family":"Dagnachew","given":"Anteneh G.","non-dropping-particle":"","parse-names":false,"suffix":""},{"dropping-particle":"","family":"Hof","given":"Andries F.","non-dropping-particle":"","parse-names":false,"suffix":""},{"dropping-particle":"","family":"Lucas","given":"Paul L.","non-dropping-particle":"","parse-names":false,"suffix":""},{"dropping-particle":"","family":"Vuuren","given":"Detlef P.","non-dropping-particle":"van","parse-names":false,"suffix":""}],"container-title":"Energy","id":"ITEM-1","issued":{"date-parts":[["2020","2"]]},"page":"116641","publisher":"Elsevier Ltd","title":"Scenario analysis for promoting clean cooking in Sub-Saharan Africa: Costs and benefits","type":"article-journal","volume":"192"},"uris":["http://www.mendeley.com/documents/?uuid=4327f729-369b-3fb6-9f5b-be9a69f694d0"]},{"id":"ITEM-2","itemData":{"DOI":"10.1371/journal.pone.0197974","ISSN":"19326203","PMID":"29883457","abstract":"The Central American nations of Guatemala, Honduras and Nicaragua are among the poorest in the Americas. While the fraction of population dependent on solid fuels has declined in these nations over the last 25 years, the number of people using them has risen. Here, we first assess current patterns of cooking energy use in these nations. We then apply a discrete model of household cooking choices and demand to simulate future pathways of clean cooking uptake and the outlook for achieving target 7.1 of the Sustainable Development Goals (SDG), which aims to ensure universal access to affordable, reliable and modern energy services by 2030. We find that by 2030, ensuing income growth is likely to enable 90% of urban populations in these nations to switch to using modern cooking energy services. However, without supporting policies, between 40% to 50% of rural Guatemalans and Hondurans, while over two-thirds of rural Nicaraguans, are likely to find clean fuels or stoves unaffordable in 2030. A targeted subsidy on modern fuels, like liquid petroleum gas (LPG), is the most effective policy mechanism we studied that could provide such support. A 50% subsidy policy on LPG targeted to the rural and urban poor population could, by 2030, make cooking with LPG affordable to an additional 7.3 million people in these countries. We estimate that such a policy would cost about $250 million per year and would have negligible greenhouse gas emissions impacts. Such a policy could also have significant health benefits, preventing about 8,890 premature deaths annually from reduced exposure to cooking-related household pollution in 2030.","author":[{"dropping-particle":"","family":"Pachauri","given":"Shonali","non-dropping-particle":"","parse-names":false,"suffix":""},{"dropping-particle":"","family":"Rao","given":"Narasimha D","non-dropping-particle":"","parse-names":false,"suffix":""},{"dropping-particle":"","family":"Cameron","given":"Colin","non-dropping-particle":"","parse-names":false,"suffix":""}],"container-title":"PLoS ONE","id":"ITEM-2","issue":"6","issued":{"date-parts":[["2018","6"]]},"page":"e0197974","title":"Outlook for modern cooking energy access in Central America","type":"article-journal","volume":"13"},"uris":["http://www.mendeley.com/documents/?uuid=265a032f-1887-3582-a876-ec071426dbf2"]}],"mendeley":{"formattedCitation":"&lt;sup&gt;15,16&lt;/sup&gt;","plainTextFormattedCitation":"15,16","previouslyFormattedCitation":"&lt;sup&gt;15,16&lt;/sup&gt;"},"properties":{"noteIndex":0},"schema":"https://github.com/citation-style-language/schema/raw/master/csl-citation.json"}</w:instrText>
      </w:r>
      <w:r w:rsidR="00B53E8D">
        <w:rPr>
          <w:rFonts w:cstheme="minorHAnsi"/>
          <w:sz w:val="24"/>
          <w:szCs w:val="24"/>
        </w:rPr>
        <w:fldChar w:fldCharType="separate"/>
      </w:r>
      <w:r w:rsidR="00CE47D8" w:rsidRPr="00CE47D8">
        <w:rPr>
          <w:rFonts w:cstheme="minorHAnsi"/>
          <w:noProof/>
          <w:sz w:val="24"/>
          <w:szCs w:val="24"/>
          <w:vertAlign w:val="superscript"/>
        </w:rPr>
        <w:t>15,16</w:t>
      </w:r>
      <w:r w:rsidR="00B53E8D">
        <w:rPr>
          <w:rFonts w:cstheme="minorHAnsi"/>
          <w:sz w:val="24"/>
          <w:szCs w:val="24"/>
        </w:rPr>
        <w:fldChar w:fldCharType="end"/>
      </w:r>
      <w:r w:rsidRPr="00A36C89">
        <w:rPr>
          <w:rFonts w:cstheme="minorHAnsi"/>
          <w:sz w:val="24"/>
          <w:szCs w:val="24"/>
        </w:rPr>
        <w:t xml:space="preserve">. Existing studies that focus on cooking </w:t>
      </w:r>
      <w:r w:rsidR="001F0A2B">
        <w:rPr>
          <w:rFonts w:cstheme="minorHAnsi"/>
          <w:sz w:val="24"/>
          <w:szCs w:val="24"/>
        </w:rPr>
        <w:t xml:space="preserve">access </w:t>
      </w:r>
      <w:r w:rsidRPr="00A36C89">
        <w:rPr>
          <w:rFonts w:cstheme="minorHAnsi"/>
          <w:sz w:val="24"/>
          <w:szCs w:val="24"/>
        </w:rPr>
        <w:t>scenarios are limited in their representation of multiple cooking fuel use (fuel stacking), population heterogeneity, and</w:t>
      </w:r>
      <w:r w:rsidR="00267FF2">
        <w:rPr>
          <w:rFonts w:cstheme="minorHAnsi"/>
          <w:sz w:val="24"/>
          <w:szCs w:val="24"/>
        </w:rPr>
        <w:t xml:space="preserve"> </w:t>
      </w:r>
      <w:r w:rsidRPr="00A36C89">
        <w:rPr>
          <w:rFonts w:cstheme="minorHAnsi"/>
          <w:sz w:val="24"/>
          <w:szCs w:val="24"/>
        </w:rPr>
        <w:t>a</w:t>
      </w:r>
      <w:r w:rsidR="00267FF2">
        <w:rPr>
          <w:rFonts w:cstheme="minorHAnsi"/>
          <w:sz w:val="24"/>
          <w:szCs w:val="24"/>
        </w:rPr>
        <w:t>ff</w:t>
      </w:r>
      <w:r w:rsidRPr="00A36C89">
        <w:rPr>
          <w:rFonts w:cstheme="minorHAnsi"/>
          <w:sz w:val="24"/>
          <w:szCs w:val="24"/>
        </w:rPr>
        <w:t>ordability constraints that</w:t>
      </w:r>
      <w:r w:rsidR="00267FF2">
        <w:rPr>
          <w:rFonts w:cstheme="minorHAnsi"/>
          <w:sz w:val="24"/>
          <w:szCs w:val="24"/>
        </w:rPr>
        <w:t xml:space="preserve"> </w:t>
      </w:r>
      <w:r w:rsidRPr="00A36C89">
        <w:rPr>
          <w:rFonts w:cstheme="minorHAnsi"/>
          <w:sz w:val="24"/>
          <w:szCs w:val="24"/>
        </w:rPr>
        <w:t xml:space="preserve">are critical to understanding if people will regularly use new fuels or stoves after they </w:t>
      </w:r>
      <w:r w:rsidR="001520D2">
        <w:rPr>
          <w:rFonts w:cstheme="minorHAnsi"/>
          <w:sz w:val="24"/>
          <w:szCs w:val="24"/>
        </w:rPr>
        <w:t>acquir</w:t>
      </w:r>
      <w:r w:rsidR="00196EFF">
        <w:rPr>
          <w:rFonts w:cstheme="minorHAnsi"/>
          <w:sz w:val="24"/>
          <w:szCs w:val="24"/>
        </w:rPr>
        <w:t>e</w:t>
      </w:r>
      <w:r w:rsidR="00267FF2" w:rsidRPr="00267FF2">
        <w:rPr>
          <w:rFonts w:cstheme="minorHAnsi"/>
          <w:sz w:val="24"/>
          <w:szCs w:val="24"/>
        </w:rPr>
        <w:t xml:space="preserve"> these</w:t>
      </w:r>
      <w:r w:rsidR="004E2660">
        <w:rPr>
          <w:rFonts w:cstheme="minorHAnsi"/>
          <w:sz w:val="24"/>
          <w:szCs w:val="24"/>
        </w:rPr>
        <w:fldChar w:fldCharType="begin" w:fldLock="1"/>
      </w:r>
      <w:r w:rsidR="00D80A04">
        <w:rPr>
          <w:rFonts w:cstheme="minorHAnsi"/>
          <w:sz w:val="24"/>
          <w:szCs w:val="24"/>
        </w:rPr>
        <w:instrText>ADDIN CSL_CITATION {"citationItems":[{"id":"ITEM-1","itemData":{"author":[{"dropping-particle":"V","family":"Shankar","given":"Anita","non-dropping-particle":"","parse-names":false,"suffix":""},{"dropping-particle":"","family":"Quinn","given":"Ashlinn K","non-dropping-particle":"","parse-names":false,"suffix":""},{"dropping-particle":"","family":"Dickinson","given":"Katherine L","non-dropping-particle":"","parse-names":false,"suffix":""},{"dropping-particle":"","family":"Williams","given":"Kendra N","non-dropping-particle":"","parse-names":false,"suffix":""},{"dropping-particle":"","family":"Masera","given":"Omar","non-dropping-particle":"","parse-names":false,"suffix":""},{"dropping-particle":"","family":"Charron","given":"Dana","non-dropping-particle":"","parse-names":false,"suffix":""},{"dropping-particle":"","family":"Jack","given":"Darby","non-dropping-particle":"","parse-names":false,"suffix":""},{"dropping-particle":"","family":"Hyman","given":"Jasmine","non-dropping-particle":"","parse-names":false,"suffix":""},{"dropping-particle":"","family":"Pillarisetti","given":"Ajay","non-dropping-particle":"","parse-names":false,"suffix":""},{"dropping-particle":"","family":"Bailis","given":"Rob","non-dropping-particle":"","parse-names":false,"suffix":""},{"dropping-particle":"","family":"others","given":"","non-dropping-particle":"","parse-names":false,"suffix":""}],"container-title":"Energy Policy","id":"ITEM-1","issued":{"date-parts":[["2020"]]},"page":"111468","publisher":"Elsevier","title":"Everybody stacks: Lessons from household energy case studies to inform design principles for clean energy transitions","type":"article-journal","volume":"141"},"uris":["http://www.mendeley.com/documents/?uuid=91a9e73b-da3f-37fa-8abe-55b01b2f78b5"]},{"id":"ITEM-2","itemData":{"author":[{"dropping-particle":"","family":"Gould","given":"Carlos F","non-dropping-particle":"","parse-names":false,"suffix":""},{"dropping-particle":"","family":"Hou","given":"Xiaoxue","non-dropping-particle":"","parse-names":false,"suffix":""},{"dropping-particle":"","family":"Richmond","given":"Jennifer","non-dropping-particle":"","parse-names":false,"suffix":""},{"dropping-particle":"","family":"Sharma","given":"Anjali","non-dropping-particle":"","parse-names":false,"suffix":""},{"dropping-particle":"","family":"Urpelainen","given":"Johannes","non-dropping-particle":"","parse-names":false,"suffix":""}],"container-title":"Environmental Research Communications","id":"ITEM-2","issue":"8","issued":{"date-parts":[["2020"]]},"page":"85004","publisher":"IOP Publishing","title":"Jointly modeling the adoption and use of clean cooking fuels in rural India","type":"article-journal","volume":"2"},"uris":["http://www.mendeley.com/documents/?uuid=a6216c78-182f-3a06-b330-3782edb22b93"]},{"id":"ITEM-3","itemData":{"author":[{"dropping-particle":"","family":"Jeuland","given":"Marc","non-dropping-particle":"","parse-names":false,"suffix":""},{"dropping-particle":"","family":"Soo","given":"Jie-Sheng Tan","non-dropping-particle":"","parse-names":false,"suffix":""},{"dropping-particle":"","family":"Shindell","given":"Drew","non-dropping-particle":"","parse-names":false,"suffix":""}],"container-title":"Energy policy","id":"ITEM-3","issued":{"date-parts":[["2018"]]},"page":"275-285","publisher":"Elsevier","title":"The need for policies to reduce the costs of cleaner cooking in low income settings: Implications from systematic analysis of costs and benefits","type":"article-journal","volume":"121"},"uris":["http://www.mendeley.com/documents/?uuid=3f6a5301-98bc-3e21-be5a-9c1c20911dae"]}],"mendeley":{"formattedCitation":"&lt;sup&gt;17–19&lt;/sup&gt;","plainTextFormattedCitation":"17–19","previouslyFormattedCitation":"&lt;sup&gt;17–19&lt;/sup&gt;"},"properties":{"noteIndex":0},"schema":"https://github.com/citation-style-language/schema/raw/master/csl-citation.json"}</w:instrText>
      </w:r>
      <w:r w:rsidR="004E2660">
        <w:rPr>
          <w:rFonts w:cstheme="minorHAnsi"/>
          <w:sz w:val="24"/>
          <w:szCs w:val="24"/>
        </w:rPr>
        <w:fldChar w:fldCharType="separate"/>
      </w:r>
      <w:r w:rsidR="00CE47D8" w:rsidRPr="00CE47D8">
        <w:rPr>
          <w:rFonts w:cstheme="minorHAnsi"/>
          <w:noProof/>
          <w:sz w:val="24"/>
          <w:szCs w:val="24"/>
          <w:vertAlign w:val="superscript"/>
        </w:rPr>
        <w:t>17–19</w:t>
      </w:r>
      <w:r w:rsidR="004E2660">
        <w:rPr>
          <w:rFonts w:cstheme="minorHAnsi"/>
          <w:sz w:val="24"/>
          <w:szCs w:val="24"/>
        </w:rPr>
        <w:fldChar w:fldCharType="end"/>
      </w:r>
      <w:r w:rsidR="00267FF2" w:rsidRPr="00267FF2">
        <w:rPr>
          <w:rFonts w:cstheme="minorHAnsi"/>
          <w:sz w:val="24"/>
          <w:szCs w:val="24"/>
        </w:rPr>
        <w:t>. The limited existing evidence, preceding the pandemic, suggests that the world</w:t>
      </w:r>
      <w:r w:rsidR="00267FF2">
        <w:rPr>
          <w:rFonts w:cstheme="minorHAnsi"/>
          <w:sz w:val="24"/>
          <w:szCs w:val="24"/>
        </w:rPr>
        <w:t xml:space="preserve"> </w:t>
      </w:r>
      <w:r w:rsidR="00267FF2" w:rsidRPr="00267FF2">
        <w:rPr>
          <w:rFonts w:cstheme="minorHAnsi"/>
          <w:sz w:val="24"/>
          <w:szCs w:val="24"/>
        </w:rPr>
        <w:t>is far o</w:t>
      </w:r>
      <w:r w:rsidR="00267FF2">
        <w:rPr>
          <w:rFonts w:cstheme="minorHAnsi"/>
          <w:sz w:val="24"/>
          <w:szCs w:val="24"/>
        </w:rPr>
        <w:t>ff</w:t>
      </w:r>
      <w:r w:rsidR="00267FF2" w:rsidRPr="00267FF2">
        <w:rPr>
          <w:rFonts w:cstheme="minorHAnsi"/>
          <w:sz w:val="24"/>
          <w:szCs w:val="24"/>
        </w:rPr>
        <w:t xml:space="preserve"> the mark of the SDG 7 goal</w:t>
      </w:r>
      <w:r w:rsidR="001E03F2">
        <w:rPr>
          <w:rFonts w:cstheme="minorHAnsi"/>
          <w:sz w:val="24"/>
          <w:szCs w:val="24"/>
        </w:rPr>
        <w:t xml:space="preserve">, with nations in </w:t>
      </w:r>
      <w:r w:rsidR="00267FF2" w:rsidRPr="00267FF2">
        <w:rPr>
          <w:rFonts w:cstheme="minorHAnsi"/>
          <w:sz w:val="24"/>
          <w:szCs w:val="24"/>
        </w:rPr>
        <w:t>sub-Saharan Africa projected to not</w:t>
      </w:r>
      <w:r w:rsidR="00211C84">
        <w:rPr>
          <w:rFonts w:cstheme="minorHAnsi"/>
          <w:sz w:val="24"/>
          <w:szCs w:val="24"/>
        </w:rPr>
        <w:t xml:space="preserve"> </w:t>
      </w:r>
      <w:r w:rsidR="00267FF2" w:rsidRPr="00267FF2">
        <w:rPr>
          <w:rFonts w:cstheme="minorHAnsi"/>
          <w:sz w:val="24"/>
          <w:szCs w:val="24"/>
        </w:rPr>
        <w:t>achieve this target even in 2050</w:t>
      </w:r>
      <w:r w:rsidR="00510281">
        <w:rPr>
          <w:rFonts w:cstheme="minorHAnsi"/>
          <w:sz w:val="24"/>
          <w:szCs w:val="24"/>
        </w:rPr>
        <w:fldChar w:fldCharType="begin" w:fldLock="1"/>
      </w:r>
      <w:r w:rsidR="002C6C81">
        <w:rPr>
          <w:rFonts w:cstheme="minorHAnsi"/>
          <w:sz w:val="24"/>
          <w:szCs w:val="24"/>
        </w:rPr>
        <w:instrText>ADDIN CSL_CITATION {"citationItems":[{"id":"ITEM-1","itemData":{"author":[{"dropping-particle":"","family":"Dagnachew","given":"Anteneh Getnet","non-dropping-particle":"","parse-names":false,"suffix":""},{"dropping-particle":"","family":"Poblete-Cazenave","given":"Miguel","non-dropping-particle":"","parse-names":false,"suffix":""},{"dropping-particle":"","family":"Pachauri","given":"Shonali","non-dropping-particle":"","parse-names":false,"suffix":""},{"dropping-particle":"","family":"Hof","given":"Andries F","non-dropping-particle":"","parse-names":false,"suffix":""},{"dropping-particle":"","family":"Ruijven","given":"Bas","non-dropping-particle":"van","parse-names":false,"suffix":""},{"dropping-particle":"","family":"Vuuren","given":"Detlef P","non-dropping-particle":"van","parse-names":false,"suffix":""}],"container-title":"Environmental Research Letters","id":"ITEM-1","issued":{"date-parts":[["2020"]]},"page":"125010","publisher":"IOP Publishing","title":"Integrating energy access, efficiency and renewable energy policies in Sub-Saharan Africa: a model-based analysis","type":"article-journal","volume":"15"},"uris":["http://www.mendeley.com/documents/?uuid=6d7fc319-a9b0-3c41-8646-1b69a7130ef6"]},{"id":"ITEM-2","itemData":{"author":[{"dropping-particle":"","family":"Energy Sector Management Assistance Program","given":"","non-dropping-particle":"","parse-names":false,"suffix":""}],"id":"ITEM-2","issued":{"date-parts":[["2020"]]},"publisher":"World Bank","title":"The State of Access to Modern Energy Cooking Services","type":"report"},"uris":["http://www.mendeley.com/documents/?uuid=d6923c86-eb2e-3434-8d9b-b940956bc501"]}],"mendeley":{"formattedCitation":"&lt;sup&gt;5,20&lt;/sup&gt;","plainTextFormattedCitation":"5,20","previouslyFormattedCitation":"&lt;sup&gt;5,20&lt;/sup&gt;"},"properties":{"noteIndex":0},"schema":"https://github.com/citation-style-language/schema/raw/master/csl-citation.json"}</w:instrText>
      </w:r>
      <w:r w:rsidR="00510281">
        <w:rPr>
          <w:rFonts w:cstheme="minorHAnsi"/>
          <w:sz w:val="24"/>
          <w:szCs w:val="24"/>
        </w:rPr>
        <w:fldChar w:fldCharType="separate"/>
      </w:r>
      <w:r w:rsidR="00CE47D8" w:rsidRPr="00CE47D8">
        <w:rPr>
          <w:rFonts w:cstheme="minorHAnsi"/>
          <w:noProof/>
          <w:sz w:val="24"/>
          <w:szCs w:val="24"/>
          <w:vertAlign w:val="superscript"/>
        </w:rPr>
        <w:t>5,20</w:t>
      </w:r>
      <w:r w:rsidR="00510281">
        <w:rPr>
          <w:rFonts w:cstheme="minorHAnsi"/>
          <w:sz w:val="24"/>
          <w:szCs w:val="24"/>
        </w:rPr>
        <w:fldChar w:fldCharType="end"/>
      </w:r>
      <w:r w:rsidR="00267FF2" w:rsidRPr="00267FF2">
        <w:rPr>
          <w:rFonts w:cstheme="minorHAnsi"/>
          <w:sz w:val="24"/>
          <w:szCs w:val="24"/>
        </w:rPr>
        <w:t>.</w:t>
      </w:r>
    </w:p>
    <w:p w14:paraId="50E3DAB1" w14:textId="5049A938" w:rsidR="0041403E" w:rsidRDefault="0041403E" w:rsidP="00267FF2">
      <w:pPr>
        <w:autoSpaceDE w:val="0"/>
        <w:autoSpaceDN w:val="0"/>
        <w:adjustRightInd w:val="0"/>
        <w:jc w:val="both"/>
        <w:rPr>
          <w:rFonts w:cstheme="minorHAnsi"/>
          <w:sz w:val="24"/>
          <w:szCs w:val="24"/>
        </w:rPr>
      </w:pPr>
    </w:p>
    <w:p w14:paraId="34ED98EB" w14:textId="47D171B1" w:rsidR="0041403E" w:rsidRPr="00C86867" w:rsidRDefault="00DF268C" w:rsidP="00A56084">
      <w:pPr>
        <w:autoSpaceDE w:val="0"/>
        <w:autoSpaceDN w:val="0"/>
        <w:adjustRightInd w:val="0"/>
        <w:jc w:val="both"/>
        <w:rPr>
          <w:rFonts w:cstheme="minorHAnsi"/>
          <w:sz w:val="24"/>
          <w:szCs w:val="24"/>
        </w:rPr>
      </w:pPr>
      <w:r w:rsidRPr="00DF268C">
        <w:rPr>
          <w:rFonts w:cstheme="minorHAnsi"/>
          <w:sz w:val="24"/>
          <w:szCs w:val="24"/>
        </w:rPr>
        <w:t>Here we explore clean cooking access till 2050 under reference scenarios of socioeconomic and demographic change</w:t>
      </w:r>
      <w:r w:rsidR="00F46D6A">
        <w:rPr>
          <w:rFonts w:cstheme="minorHAnsi"/>
          <w:sz w:val="24"/>
          <w:szCs w:val="24"/>
        </w:rPr>
        <w:t>,</w:t>
      </w:r>
      <w:r w:rsidRPr="00DF268C">
        <w:rPr>
          <w:rFonts w:cstheme="minorHAnsi"/>
          <w:sz w:val="24"/>
          <w:szCs w:val="24"/>
        </w:rPr>
        <w:t xml:space="preserve"> ambitious climate mitigation policy scenarios</w:t>
      </w:r>
      <w:r w:rsidR="008453D5">
        <w:rPr>
          <w:rFonts w:cstheme="minorHAnsi"/>
          <w:sz w:val="24"/>
          <w:szCs w:val="24"/>
        </w:rPr>
        <w:t>, and</w:t>
      </w:r>
      <w:r w:rsidRPr="00DF268C">
        <w:rPr>
          <w:rFonts w:cstheme="minorHAnsi"/>
          <w:sz w:val="24"/>
          <w:szCs w:val="24"/>
        </w:rPr>
        <w:t xml:space="preserve"> a slow economic recovery from the COVID-19 pandemic scenario (see Methods for scenario details). We </w:t>
      </w:r>
      <w:r w:rsidR="00E264F2">
        <w:rPr>
          <w:rFonts w:cstheme="minorHAnsi"/>
          <w:sz w:val="24"/>
          <w:szCs w:val="24"/>
        </w:rPr>
        <w:t>apply</w:t>
      </w:r>
      <w:r w:rsidRPr="00DF268C">
        <w:rPr>
          <w:rFonts w:cstheme="minorHAnsi"/>
          <w:sz w:val="24"/>
          <w:szCs w:val="24"/>
        </w:rPr>
        <w:t xml:space="preserve"> an existing </w:t>
      </w:r>
      <w:r w:rsidR="00E264F2" w:rsidRPr="00DF268C">
        <w:rPr>
          <w:rFonts w:cstheme="minorHAnsi"/>
          <w:sz w:val="24"/>
          <w:szCs w:val="24"/>
        </w:rPr>
        <w:t>microdata-based</w:t>
      </w:r>
      <w:r w:rsidRPr="00DF268C">
        <w:rPr>
          <w:rFonts w:cstheme="minorHAnsi"/>
          <w:sz w:val="24"/>
          <w:szCs w:val="24"/>
        </w:rPr>
        <w:t xml:space="preserve"> cooking choice and demand model that explicitly consider</w:t>
      </w:r>
      <w:r w:rsidR="00420B52">
        <w:rPr>
          <w:rFonts w:cstheme="minorHAnsi"/>
          <w:sz w:val="24"/>
          <w:szCs w:val="24"/>
        </w:rPr>
        <w:t>s</w:t>
      </w:r>
      <w:r w:rsidRPr="00DF268C">
        <w:rPr>
          <w:rFonts w:cstheme="minorHAnsi"/>
          <w:sz w:val="24"/>
          <w:szCs w:val="24"/>
        </w:rPr>
        <w:t xml:space="preserve"> fuel stacking and represent</w:t>
      </w:r>
      <w:r w:rsidR="00420B52">
        <w:rPr>
          <w:rFonts w:cstheme="minorHAnsi"/>
          <w:sz w:val="24"/>
          <w:szCs w:val="24"/>
        </w:rPr>
        <w:t>s</w:t>
      </w:r>
      <w:r w:rsidRPr="00DF268C">
        <w:rPr>
          <w:rFonts w:cstheme="minorHAnsi"/>
          <w:sz w:val="24"/>
          <w:szCs w:val="24"/>
        </w:rPr>
        <w:t xml:space="preserve"> affordability constraints for urban and rural populations</w:t>
      </w:r>
      <w:r w:rsidR="00FF2F5E">
        <w:rPr>
          <w:rFonts w:cstheme="minorHAnsi"/>
          <w:sz w:val="24"/>
          <w:szCs w:val="24"/>
        </w:rPr>
        <w:t>,</w:t>
      </w:r>
      <w:r w:rsidRPr="00DF268C">
        <w:rPr>
          <w:rFonts w:cstheme="minorHAnsi"/>
          <w:sz w:val="24"/>
          <w:szCs w:val="24"/>
        </w:rPr>
        <w:t xml:space="preserve"> representing heterogeneity in </w:t>
      </w:r>
      <w:r w:rsidR="008467CB">
        <w:rPr>
          <w:rFonts w:cstheme="minorHAnsi"/>
          <w:sz w:val="24"/>
          <w:szCs w:val="24"/>
        </w:rPr>
        <w:t>hous</w:t>
      </w:r>
      <w:r w:rsidR="00334382">
        <w:rPr>
          <w:rFonts w:cstheme="minorHAnsi"/>
          <w:sz w:val="24"/>
          <w:szCs w:val="24"/>
        </w:rPr>
        <w:t>ehold</w:t>
      </w:r>
      <w:r w:rsidR="00783493">
        <w:rPr>
          <w:rFonts w:cstheme="minorHAnsi"/>
          <w:sz w:val="24"/>
          <w:szCs w:val="24"/>
        </w:rPr>
        <w:t xml:space="preserve"> </w:t>
      </w:r>
      <w:r w:rsidR="00BE408E" w:rsidRPr="00DF268C">
        <w:rPr>
          <w:rFonts w:cstheme="minorHAnsi"/>
          <w:sz w:val="24"/>
          <w:szCs w:val="24"/>
        </w:rPr>
        <w:t>preferences across</w:t>
      </w:r>
      <w:r w:rsidRPr="00DF268C">
        <w:rPr>
          <w:rFonts w:cstheme="minorHAnsi"/>
          <w:sz w:val="24"/>
          <w:szCs w:val="24"/>
        </w:rPr>
        <w:t xml:space="preserve"> the entire income distribution</w:t>
      </w:r>
      <w:r w:rsidR="00934406">
        <w:rPr>
          <w:rFonts w:cstheme="minorHAnsi"/>
          <w:sz w:val="24"/>
          <w:szCs w:val="24"/>
        </w:rPr>
        <w:fldChar w:fldCharType="begin" w:fldLock="1"/>
      </w:r>
      <w:r w:rsidR="00D80A04">
        <w:rPr>
          <w:rFonts w:cstheme="minorHAnsi"/>
          <w:sz w:val="24"/>
          <w:szCs w:val="24"/>
        </w:rPr>
        <w:instrText>ADDIN CSL_CITATION {"citationItems":[{"id":"ITEM-1","itemData":{"DOI":"10.1016/j.eneco.2018.09.003","ISSN":"01409883","abstract":"Access to cleaning cooking fuels and stoves is an important indicator of well-being, as this enables several improvements in quality of life. In many developing countries, a big proportion of the population still depends on biomass for cooking, and the adoption of clean cooking fuels is still limited. Here, we propose a structural model to estimate household demand and choices for cooking fuel using micro-datasets from nationally representative surveys for a subset of developing countries. We test the model by estimating the demand response to simulated changes in fuel prices and income. We find that the model provides a close approximation to the observed patterns in the data from the surveys. We also find that as long as incomes rise and the relative difference between the prices of biomass and cleaner fuels decreases, households will transition to cleaner cooking fuels. We discuss potential applications of the method for constructing and analyzing future scenarios of cooking energy transitions.","author":[{"dropping-particle":"","family":"Poblete-Cazenave","given":"Miguel","non-dropping-particle":"","parse-names":false,"suffix":""},{"dropping-particle":"","family":"Pachauri","given":"Shonali","non-dropping-particle":"","parse-names":false,"suffix":""}],"container-title":"Energy Economics","id":"ITEM-1","issued":{"date-parts":[["2018"]]},"page":"449-463","title":"A structural model of cooking fuel choices in developing countries","type":"article-journal","volume":"75"},"uris":["http://www.mendeley.com/documents/?uuid=7d13e3e8-6d27-381e-80ad-44df69d8fe94"]},{"id":"ITEM-2","itemData":{"DOI":"10.1016/j.eneco.2021.105266","ISSN":"0140-9883","author":[{"dropping-particle":"","family":"Poblete-Cazenave","given":"Miguel","non-dropping-particle":"","parse-names":false,"suffix":""},{"dropping-particle":"","family":"Pachauri","given":"Shonali","non-dropping-particle":"","parse-names":false,"suffix":""}],"container-title":"Energy Economics","id":"ITEM-2","issued":{"date-parts":[["2021"]]},"page":"105266","title":"A model of energy poverty and access: Estimating household electricity demand and appliance ownership","type":"article-journal","volume":"98"},"uris":["http://www.mendeley.com/documents/?uuid=e1219797-8d99-3dc6-a169-85cd57caa488"]}],"mendeley":{"formattedCitation":"&lt;sup&gt;21,22&lt;/sup&gt;","plainTextFormattedCitation":"21,22","previouslyFormattedCitation":"&lt;sup&gt;21,22&lt;/sup&gt;"},"properties":{"noteIndex":0},"schema":"https://github.com/citation-style-language/schema/raw/master/csl-citation.json"}</w:instrText>
      </w:r>
      <w:r w:rsidR="00934406">
        <w:rPr>
          <w:rFonts w:cstheme="minorHAnsi"/>
          <w:sz w:val="24"/>
          <w:szCs w:val="24"/>
        </w:rPr>
        <w:fldChar w:fldCharType="separate"/>
      </w:r>
      <w:r w:rsidR="00CE47D8" w:rsidRPr="00CE47D8">
        <w:rPr>
          <w:rFonts w:cstheme="minorHAnsi"/>
          <w:noProof/>
          <w:sz w:val="24"/>
          <w:szCs w:val="24"/>
          <w:vertAlign w:val="superscript"/>
        </w:rPr>
        <w:t>21,22</w:t>
      </w:r>
      <w:r w:rsidR="00934406">
        <w:rPr>
          <w:rFonts w:cstheme="minorHAnsi"/>
          <w:sz w:val="24"/>
          <w:szCs w:val="24"/>
        </w:rPr>
        <w:fldChar w:fldCharType="end"/>
      </w:r>
      <w:r w:rsidRPr="00DF268C">
        <w:rPr>
          <w:rFonts w:cstheme="minorHAnsi"/>
          <w:sz w:val="24"/>
          <w:szCs w:val="24"/>
        </w:rPr>
        <w:t xml:space="preserve">. </w:t>
      </w:r>
      <w:r w:rsidR="00A56084">
        <w:rPr>
          <w:rFonts w:cstheme="minorHAnsi"/>
          <w:sz w:val="24"/>
          <w:szCs w:val="24"/>
        </w:rPr>
        <w:t>We find</w:t>
      </w:r>
      <w:r w:rsidRPr="00DF268C">
        <w:rPr>
          <w:rFonts w:cstheme="minorHAnsi"/>
          <w:sz w:val="24"/>
          <w:szCs w:val="24"/>
        </w:rPr>
        <w:t xml:space="preserve"> that a slow recovery from the pandemic and fuel price changes because of ambitious climate mitigation policy could substantially retard progress </w:t>
      </w:r>
      <w:r w:rsidR="00FB76E3">
        <w:rPr>
          <w:rFonts w:cstheme="minorHAnsi"/>
          <w:sz w:val="24"/>
          <w:szCs w:val="24"/>
        </w:rPr>
        <w:t>in</w:t>
      </w:r>
      <w:r w:rsidR="00617BA9">
        <w:rPr>
          <w:rFonts w:cstheme="minorHAnsi"/>
          <w:sz w:val="24"/>
          <w:szCs w:val="24"/>
        </w:rPr>
        <w:t xml:space="preserve"> </w:t>
      </w:r>
      <w:r w:rsidRPr="00DF268C">
        <w:rPr>
          <w:rFonts w:cstheme="minorHAnsi"/>
          <w:sz w:val="24"/>
          <w:szCs w:val="24"/>
        </w:rPr>
        <w:t>achieving universal clean cooking access, if additional policies related to energy access and poverty alleviation are not simultaneously pursued. Th</w:t>
      </w:r>
      <w:r w:rsidR="002B30B0">
        <w:rPr>
          <w:rFonts w:cstheme="minorHAnsi"/>
          <w:sz w:val="24"/>
          <w:szCs w:val="24"/>
        </w:rPr>
        <w:t xml:space="preserve">ose </w:t>
      </w:r>
      <w:r w:rsidRPr="00DF268C">
        <w:rPr>
          <w:rFonts w:cstheme="minorHAnsi"/>
          <w:sz w:val="24"/>
          <w:szCs w:val="24"/>
        </w:rPr>
        <w:t xml:space="preserve">most at risk of not being able to afford to transition to clean cooking are </w:t>
      </w:r>
      <w:r w:rsidR="00251B8E">
        <w:rPr>
          <w:rFonts w:cstheme="minorHAnsi"/>
          <w:sz w:val="24"/>
          <w:szCs w:val="24"/>
        </w:rPr>
        <w:t>low-income househ</w:t>
      </w:r>
      <w:r w:rsidR="00C05C5F">
        <w:rPr>
          <w:rFonts w:cstheme="minorHAnsi"/>
          <w:sz w:val="24"/>
          <w:szCs w:val="24"/>
        </w:rPr>
        <w:t>olds</w:t>
      </w:r>
      <w:r w:rsidRPr="00DF268C">
        <w:rPr>
          <w:rFonts w:cstheme="minorHAnsi"/>
          <w:sz w:val="24"/>
          <w:szCs w:val="24"/>
        </w:rPr>
        <w:t xml:space="preserve"> in sub-Saharan Africa (AFR), developing Asia, and Latin America and the Caribbean (LAM). A faster transition to clean cooking fuels can attenuate future growth in cooking energy demand, especially in regions that currently depend largely on biomass and other solid fuels.  </w:t>
      </w:r>
    </w:p>
    <w:p w14:paraId="26739439" w14:textId="104F3FC2" w:rsidR="00B8577A" w:rsidRDefault="00B8577A" w:rsidP="00C86867">
      <w:pPr>
        <w:autoSpaceDE w:val="0"/>
        <w:autoSpaceDN w:val="0"/>
        <w:adjustRightInd w:val="0"/>
        <w:jc w:val="both"/>
        <w:rPr>
          <w:rFonts w:cstheme="minorHAnsi"/>
          <w:sz w:val="24"/>
          <w:szCs w:val="24"/>
        </w:rPr>
      </w:pPr>
    </w:p>
    <w:p w14:paraId="33420CC2" w14:textId="77777777" w:rsidR="00306BA3" w:rsidRPr="008D065A" w:rsidRDefault="00306BA3" w:rsidP="008D065A">
      <w:pPr>
        <w:autoSpaceDE w:val="0"/>
        <w:autoSpaceDN w:val="0"/>
        <w:adjustRightInd w:val="0"/>
        <w:rPr>
          <w:rFonts w:cstheme="minorHAnsi"/>
          <w:b/>
          <w:bCs/>
          <w:sz w:val="29"/>
          <w:szCs w:val="29"/>
        </w:rPr>
      </w:pPr>
      <w:r w:rsidRPr="008D065A">
        <w:rPr>
          <w:rFonts w:cstheme="minorHAnsi"/>
          <w:b/>
          <w:bCs/>
          <w:sz w:val="29"/>
          <w:szCs w:val="29"/>
        </w:rPr>
        <w:t>Populations Without Access to Clean Cooking</w:t>
      </w:r>
    </w:p>
    <w:p w14:paraId="0D4251A3" w14:textId="2E97C5D9" w:rsidR="00306BA3" w:rsidRDefault="00306BA3" w:rsidP="00306BA3">
      <w:pPr>
        <w:autoSpaceDE w:val="0"/>
        <w:autoSpaceDN w:val="0"/>
        <w:adjustRightInd w:val="0"/>
        <w:jc w:val="both"/>
        <w:rPr>
          <w:rFonts w:cstheme="minorHAnsi"/>
          <w:sz w:val="24"/>
          <w:szCs w:val="24"/>
        </w:rPr>
      </w:pPr>
      <w:r w:rsidRPr="00306BA3">
        <w:rPr>
          <w:rFonts w:cstheme="minorHAnsi"/>
          <w:sz w:val="24"/>
          <w:szCs w:val="24"/>
        </w:rPr>
        <w:t>In what follows, we de</w:t>
      </w:r>
      <w:r w:rsidR="008D065A">
        <w:rPr>
          <w:rFonts w:cstheme="minorHAnsi"/>
          <w:sz w:val="24"/>
          <w:szCs w:val="24"/>
        </w:rPr>
        <w:t>fi</w:t>
      </w:r>
      <w:r w:rsidRPr="00306BA3">
        <w:rPr>
          <w:rFonts w:cstheme="minorHAnsi"/>
          <w:sz w:val="24"/>
          <w:szCs w:val="24"/>
        </w:rPr>
        <w:t>ne clean cooking as cooking with modern fuels such as liquid petroleum gas</w:t>
      </w:r>
      <w:r w:rsidR="008D065A">
        <w:rPr>
          <w:rFonts w:cstheme="minorHAnsi"/>
          <w:sz w:val="24"/>
          <w:szCs w:val="24"/>
        </w:rPr>
        <w:t xml:space="preserve"> </w:t>
      </w:r>
      <w:r w:rsidRPr="00306BA3">
        <w:rPr>
          <w:rFonts w:cstheme="minorHAnsi"/>
          <w:sz w:val="24"/>
          <w:szCs w:val="24"/>
        </w:rPr>
        <w:t>(LPG), electricity and piped gas, which when used in modern stoves result in little to no household</w:t>
      </w:r>
      <w:r w:rsidR="008D065A">
        <w:rPr>
          <w:rFonts w:cstheme="minorHAnsi"/>
          <w:sz w:val="24"/>
          <w:szCs w:val="24"/>
        </w:rPr>
        <w:t xml:space="preserve"> </w:t>
      </w:r>
      <w:r w:rsidRPr="00306BA3">
        <w:rPr>
          <w:rFonts w:cstheme="minorHAnsi"/>
          <w:sz w:val="24"/>
          <w:szCs w:val="24"/>
        </w:rPr>
        <w:t>pollution.</w:t>
      </w:r>
      <w:r w:rsidR="00834305">
        <w:rPr>
          <w:rFonts w:cstheme="minorHAnsi"/>
          <w:sz w:val="24"/>
          <w:szCs w:val="24"/>
        </w:rPr>
        <w:t xml:space="preserve"> New</w:t>
      </w:r>
      <w:r w:rsidR="001D78A7">
        <w:rPr>
          <w:rFonts w:cstheme="minorHAnsi"/>
          <w:sz w:val="24"/>
          <w:szCs w:val="24"/>
        </w:rPr>
        <w:t>er</w:t>
      </w:r>
      <w:r w:rsidR="00834305">
        <w:rPr>
          <w:rFonts w:cstheme="minorHAnsi"/>
          <w:sz w:val="24"/>
          <w:szCs w:val="24"/>
        </w:rPr>
        <w:t xml:space="preserve"> </w:t>
      </w:r>
      <w:r w:rsidR="00A5666D">
        <w:rPr>
          <w:rFonts w:cstheme="minorHAnsi"/>
          <w:sz w:val="24"/>
          <w:szCs w:val="24"/>
        </w:rPr>
        <w:t>options</w:t>
      </w:r>
      <w:r w:rsidR="00834305">
        <w:rPr>
          <w:rFonts w:cstheme="minorHAnsi"/>
          <w:sz w:val="24"/>
          <w:szCs w:val="24"/>
        </w:rPr>
        <w:t xml:space="preserve">, like </w:t>
      </w:r>
      <w:r w:rsidR="00481310">
        <w:rPr>
          <w:rFonts w:cstheme="minorHAnsi"/>
          <w:sz w:val="24"/>
          <w:szCs w:val="24"/>
        </w:rPr>
        <w:t>bio</w:t>
      </w:r>
      <w:r w:rsidR="00834305">
        <w:rPr>
          <w:rFonts w:cstheme="minorHAnsi"/>
          <w:sz w:val="24"/>
          <w:szCs w:val="24"/>
        </w:rPr>
        <w:t xml:space="preserve">ethanol </w:t>
      </w:r>
      <w:r w:rsidR="006100F0">
        <w:rPr>
          <w:rFonts w:cstheme="minorHAnsi"/>
          <w:sz w:val="24"/>
          <w:szCs w:val="24"/>
        </w:rPr>
        <w:t xml:space="preserve">or solar electric, might become viable in the future, but are not included in our analysis as </w:t>
      </w:r>
      <w:r w:rsidR="0001346A">
        <w:rPr>
          <w:rFonts w:cstheme="minorHAnsi"/>
          <w:sz w:val="24"/>
          <w:szCs w:val="24"/>
        </w:rPr>
        <w:t>we</w:t>
      </w:r>
      <w:r w:rsidR="0073595E">
        <w:rPr>
          <w:rFonts w:cstheme="minorHAnsi"/>
          <w:sz w:val="24"/>
          <w:szCs w:val="24"/>
        </w:rPr>
        <w:t xml:space="preserve"> </w:t>
      </w:r>
      <w:r w:rsidR="009B17B9">
        <w:rPr>
          <w:rFonts w:cstheme="minorHAnsi"/>
          <w:sz w:val="24"/>
          <w:szCs w:val="24"/>
        </w:rPr>
        <w:t xml:space="preserve">detect no </w:t>
      </w:r>
      <w:r w:rsidR="0073595E">
        <w:rPr>
          <w:rFonts w:cstheme="minorHAnsi"/>
          <w:sz w:val="24"/>
          <w:szCs w:val="24"/>
        </w:rPr>
        <w:t xml:space="preserve">use </w:t>
      </w:r>
      <w:r w:rsidR="009B17B9">
        <w:rPr>
          <w:rFonts w:cstheme="minorHAnsi"/>
          <w:sz w:val="24"/>
          <w:szCs w:val="24"/>
        </w:rPr>
        <w:t>of these in</w:t>
      </w:r>
      <w:r w:rsidR="0073595E">
        <w:rPr>
          <w:rFonts w:cstheme="minorHAnsi"/>
          <w:sz w:val="24"/>
          <w:szCs w:val="24"/>
        </w:rPr>
        <w:t xml:space="preserve"> the empirical data</w:t>
      </w:r>
      <w:r w:rsidR="00D750E8">
        <w:rPr>
          <w:rFonts w:cstheme="minorHAnsi"/>
          <w:sz w:val="24"/>
          <w:szCs w:val="24"/>
        </w:rPr>
        <w:t>sets</w:t>
      </w:r>
      <w:r w:rsidR="0073595E">
        <w:rPr>
          <w:rFonts w:cstheme="minorHAnsi"/>
          <w:sz w:val="24"/>
          <w:szCs w:val="24"/>
        </w:rPr>
        <w:t xml:space="preserve"> we </w:t>
      </w:r>
      <w:r w:rsidR="00953722">
        <w:rPr>
          <w:rFonts w:cstheme="minorHAnsi"/>
          <w:sz w:val="24"/>
          <w:szCs w:val="24"/>
        </w:rPr>
        <w:t>employ</w:t>
      </w:r>
      <w:r w:rsidR="0073595E">
        <w:rPr>
          <w:rFonts w:cstheme="minorHAnsi"/>
          <w:sz w:val="24"/>
          <w:szCs w:val="24"/>
        </w:rPr>
        <w:t>.</w:t>
      </w:r>
      <w:r w:rsidRPr="00306BA3">
        <w:rPr>
          <w:rFonts w:cstheme="minorHAnsi"/>
          <w:sz w:val="24"/>
          <w:szCs w:val="24"/>
        </w:rPr>
        <w:t xml:space="preserve"> All other fuels</w:t>
      </w:r>
      <w:r w:rsidR="00A50A45">
        <w:rPr>
          <w:rFonts w:cstheme="minorHAnsi"/>
          <w:sz w:val="24"/>
          <w:szCs w:val="24"/>
        </w:rPr>
        <w:t xml:space="preserve">, including </w:t>
      </w:r>
      <w:r w:rsidR="00263CA7">
        <w:rPr>
          <w:rFonts w:cstheme="minorHAnsi"/>
          <w:sz w:val="24"/>
          <w:szCs w:val="24"/>
        </w:rPr>
        <w:t xml:space="preserve">solid </w:t>
      </w:r>
      <w:r w:rsidR="00A50A45" w:rsidRPr="00306BA3">
        <w:rPr>
          <w:rFonts w:cstheme="minorHAnsi"/>
          <w:sz w:val="24"/>
          <w:szCs w:val="24"/>
        </w:rPr>
        <w:t xml:space="preserve">biomass-based </w:t>
      </w:r>
      <w:r w:rsidR="00A50A45">
        <w:rPr>
          <w:rFonts w:cstheme="minorHAnsi"/>
          <w:sz w:val="24"/>
          <w:szCs w:val="24"/>
        </w:rPr>
        <w:t>fi</w:t>
      </w:r>
      <w:r w:rsidR="00A50A45" w:rsidRPr="00306BA3">
        <w:rPr>
          <w:rFonts w:cstheme="minorHAnsi"/>
          <w:sz w:val="24"/>
          <w:szCs w:val="24"/>
        </w:rPr>
        <w:t>rewood or charcoal</w:t>
      </w:r>
      <w:r w:rsidR="00A50A45">
        <w:rPr>
          <w:rFonts w:cstheme="minorHAnsi"/>
          <w:sz w:val="24"/>
          <w:szCs w:val="24"/>
        </w:rPr>
        <w:t xml:space="preserve"> and</w:t>
      </w:r>
      <w:r w:rsidR="00A50A45" w:rsidRPr="00306BA3">
        <w:rPr>
          <w:rFonts w:cstheme="minorHAnsi"/>
          <w:sz w:val="24"/>
          <w:szCs w:val="24"/>
        </w:rPr>
        <w:t xml:space="preserve"> coal</w:t>
      </w:r>
      <w:r w:rsidR="00A50A45">
        <w:rPr>
          <w:rFonts w:cstheme="minorHAnsi"/>
          <w:sz w:val="24"/>
          <w:szCs w:val="24"/>
        </w:rPr>
        <w:t>,</w:t>
      </w:r>
      <w:r w:rsidRPr="00306BA3">
        <w:rPr>
          <w:rFonts w:cstheme="minorHAnsi"/>
          <w:sz w:val="24"/>
          <w:szCs w:val="24"/>
        </w:rPr>
        <w:t xml:space="preserve"> are categorized as polluting, since prevailing stove technologies that use</w:t>
      </w:r>
      <w:r w:rsidR="008D065A">
        <w:rPr>
          <w:rFonts w:cstheme="minorHAnsi"/>
          <w:sz w:val="24"/>
          <w:szCs w:val="24"/>
        </w:rPr>
        <w:t xml:space="preserve"> </w:t>
      </w:r>
      <w:r w:rsidRPr="00306BA3">
        <w:rPr>
          <w:rFonts w:cstheme="minorHAnsi"/>
          <w:sz w:val="24"/>
          <w:szCs w:val="24"/>
        </w:rPr>
        <w:t>these result in pollution levels that exceed WHO indoor air quality guidelines for household</w:t>
      </w:r>
      <w:r w:rsidR="00227E1B">
        <w:rPr>
          <w:rFonts w:cstheme="minorHAnsi"/>
          <w:sz w:val="24"/>
          <w:szCs w:val="24"/>
        </w:rPr>
        <w:t xml:space="preserve"> </w:t>
      </w:r>
      <w:r w:rsidRPr="00306BA3">
        <w:rPr>
          <w:rFonts w:cstheme="minorHAnsi"/>
          <w:sz w:val="24"/>
          <w:szCs w:val="24"/>
        </w:rPr>
        <w:t>fuel combustion</w:t>
      </w:r>
      <w:r w:rsidR="002F7E3B">
        <w:rPr>
          <w:rFonts w:cstheme="minorHAnsi"/>
          <w:sz w:val="24"/>
          <w:szCs w:val="24"/>
        </w:rPr>
        <w:fldChar w:fldCharType="begin" w:fldLock="1"/>
      </w:r>
      <w:r w:rsidR="002E149B">
        <w:rPr>
          <w:rFonts w:cstheme="minorHAnsi"/>
          <w:sz w:val="24"/>
          <w:szCs w:val="24"/>
        </w:rPr>
        <w:instrText>ADDIN CSL_CITATION {"citationItems":[{"id":"ITEM-1","itemData":{"author":[{"dropping-particle":"","family":"World Health Organization","given":"","non-dropping-particle":"","parse-names":false,"suffix":""}],"id":"ITEM-1","issued":{"date-parts":[["2014"]]},"publisher":"World Health Organization","title":"WHO guidelines for indoor air quality: household fuel combustion","type":"report"},"uris":["http://www.mendeley.com/documents/?uuid=a33c2b1f-a24e-3200-8393-4b91ca73dd5c"]}],"mendeley":{"formattedCitation":"&lt;sup&gt;23&lt;/sup&gt;","plainTextFormattedCitation":"23","previouslyFormattedCitation":"&lt;sup&gt;23&lt;/sup&gt;"},"properties":{"noteIndex":0},"schema":"https://github.com/citation-style-language/schema/raw/master/csl-citation.json"}</w:instrText>
      </w:r>
      <w:r w:rsidR="002F7E3B">
        <w:rPr>
          <w:rFonts w:cstheme="minorHAnsi"/>
          <w:sz w:val="24"/>
          <w:szCs w:val="24"/>
        </w:rPr>
        <w:fldChar w:fldCharType="separate"/>
      </w:r>
      <w:r w:rsidR="00CE47D8" w:rsidRPr="00CE47D8">
        <w:rPr>
          <w:rFonts w:cstheme="minorHAnsi"/>
          <w:noProof/>
          <w:sz w:val="24"/>
          <w:szCs w:val="24"/>
          <w:vertAlign w:val="superscript"/>
        </w:rPr>
        <w:t>23</w:t>
      </w:r>
      <w:r w:rsidR="002F7E3B">
        <w:rPr>
          <w:rFonts w:cstheme="minorHAnsi"/>
          <w:sz w:val="24"/>
          <w:szCs w:val="24"/>
        </w:rPr>
        <w:fldChar w:fldCharType="end"/>
      </w:r>
      <w:r w:rsidRPr="00306BA3">
        <w:rPr>
          <w:rFonts w:cstheme="minorHAnsi"/>
          <w:sz w:val="24"/>
          <w:szCs w:val="24"/>
        </w:rPr>
        <w:t xml:space="preserve">. We categorize a household as </w:t>
      </w:r>
      <w:r w:rsidR="008803C1">
        <w:rPr>
          <w:rFonts w:cstheme="minorHAnsi"/>
          <w:sz w:val="24"/>
          <w:szCs w:val="24"/>
        </w:rPr>
        <w:t xml:space="preserve">cooking poor </w:t>
      </w:r>
      <w:r w:rsidR="003A2707">
        <w:rPr>
          <w:rFonts w:cstheme="minorHAnsi"/>
          <w:sz w:val="24"/>
          <w:szCs w:val="24"/>
        </w:rPr>
        <w:t xml:space="preserve">if it </w:t>
      </w:r>
      <w:r w:rsidRPr="00306BA3">
        <w:rPr>
          <w:rFonts w:cstheme="minorHAnsi"/>
          <w:sz w:val="24"/>
          <w:szCs w:val="24"/>
        </w:rPr>
        <w:t>depend</w:t>
      </w:r>
      <w:r w:rsidR="003A2707">
        <w:rPr>
          <w:rFonts w:cstheme="minorHAnsi"/>
          <w:sz w:val="24"/>
          <w:szCs w:val="24"/>
        </w:rPr>
        <w:t>s</w:t>
      </w:r>
      <w:r w:rsidRPr="00306BA3">
        <w:rPr>
          <w:rFonts w:cstheme="minorHAnsi"/>
          <w:sz w:val="24"/>
          <w:szCs w:val="24"/>
        </w:rPr>
        <w:t xml:space="preserve"> on polluting cooking fuels</w:t>
      </w:r>
      <w:r w:rsidR="007A2C1E">
        <w:rPr>
          <w:rFonts w:cstheme="minorHAnsi"/>
          <w:sz w:val="24"/>
          <w:szCs w:val="24"/>
        </w:rPr>
        <w:t xml:space="preserve">, i.e., </w:t>
      </w:r>
      <w:r w:rsidR="00732C1A">
        <w:rPr>
          <w:rFonts w:cstheme="minorHAnsi"/>
          <w:sz w:val="24"/>
          <w:szCs w:val="24"/>
        </w:rPr>
        <w:t>on</w:t>
      </w:r>
      <w:r w:rsidR="005B1F80" w:rsidRPr="00306BA3">
        <w:rPr>
          <w:rFonts w:cstheme="minorHAnsi"/>
          <w:sz w:val="24"/>
          <w:szCs w:val="24"/>
        </w:rPr>
        <w:t xml:space="preserve"> fuels other than those we de</w:t>
      </w:r>
      <w:r w:rsidR="005B1F80">
        <w:rPr>
          <w:rFonts w:cstheme="minorHAnsi"/>
          <w:sz w:val="24"/>
          <w:szCs w:val="24"/>
        </w:rPr>
        <w:t>fi</w:t>
      </w:r>
      <w:r w:rsidR="005B1F80" w:rsidRPr="00306BA3">
        <w:rPr>
          <w:rFonts w:cstheme="minorHAnsi"/>
          <w:sz w:val="24"/>
          <w:szCs w:val="24"/>
        </w:rPr>
        <w:t>ne as clean</w:t>
      </w:r>
      <w:r w:rsidR="005B1F80">
        <w:rPr>
          <w:rFonts w:cstheme="minorHAnsi"/>
          <w:sz w:val="24"/>
          <w:szCs w:val="24"/>
        </w:rPr>
        <w:t>,</w:t>
      </w:r>
      <w:r w:rsidRPr="00306BA3">
        <w:rPr>
          <w:rFonts w:cstheme="minorHAnsi"/>
          <w:sz w:val="24"/>
          <w:szCs w:val="24"/>
        </w:rPr>
        <w:t xml:space="preserve"> </w:t>
      </w:r>
      <w:r w:rsidR="003A2707">
        <w:rPr>
          <w:rFonts w:cstheme="minorHAnsi"/>
          <w:sz w:val="24"/>
          <w:szCs w:val="24"/>
        </w:rPr>
        <w:t>for</w:t>
      </w:r>
      <w:r w:rsidR="003A2707" w:rsidRPr="00306BA3">
        <w:rPr>
          <w:rFonts w:cstheme="minorHAnsi"/>
          <w:sz w:val="24"/>
          <w:szCs w:val="24"/>
        </w:rPr>
        <w:t xml:space="preserve"> </w:t>
      </w:r>
      <w:r w:rsidRPr="00306BA3">
        <w:rPr>
          <w:rFonts w:cstheme="minorHAnsi"/>
          <w:sz w:val="24"/>
          <w:szCs w:val="24"/>
        </w:rPr>
        <w:t>half or</w:t>
      </w:r>
      <w:r w:rsidR="008A31EE">
        <w:rPr>
          <w:rFonts w:cstheme="minorHAnsi"/>
          <w:sz w:val="24"/>
          <w:szCs w:val="24"/>
        </w:rPr>
        <w:t xml:space="preserve"> </w:t>
      </w:r>
      <w:r w:rsidRPr="00306BA3">
        <w:rPr>
          <w:rFonts w:cstheme="minorHAnsi"/>
          <w:sz w:val="24"/>
          <w:szCs w:val="24"/>
        </w:rPr>
        <w:t>more of its cooking energy consumption.</w:t>
      </w:r>
      <w:r w:rsidR="008A31EE">
        <w:rPr>
          <w:rFonts w:cstheme="minorHAnsi"/>
          <w:sz w:val="24"/>
          <w:szCs w:val="24"/>
        </w:rPr>
        <w:t xml:space="preserve"> </w:t>
      </w:r>
      <w:r w:rsidRPr="00306BA3">
        <w:rPr>
          <w:rFonts w:cstheme="minorHAnsi"/>
          <w:sz w:val="24"/>
          <w:szCs w:val="24"/>
        </w:rPr>
        <w:t>We compare an especially constructed COVID-19 recovery scenario (COVID) with three</w:t>
      </w:r>
      <w:r w:rsidR="00857DD0">
        <w:rPr>
          <w:rFonts w:cstheme="minorHAnsi"/>
          <w:sz w:val="24"/>
          <w:szCs w:val="24"/>
        </w:rPr>
        <w:t xml:space="preserve"> </w:t>
      </w:r>
      <w:r w:rsidRPr="00306BA3">
        <w:rPr>
          <w:rFonts w:cstheme="minorHAnsi"/>
          <w:sz w:val="24"/>
          <w:szCs w:val="24"/>
        </w:rPr>
        <w:t>reference scenarios - sustainability (SSP1), middle-of-the-road (SSP2), and regional-rivalry (SSP3)</w:t>
      </w:r>
      <w:r w:rsidR="00E249F3">
        <w:rPr>
          <w:rFonts w:cstheme="minorHAnsi"/>
          <w:sz w:val="24"/>
          <w:szCs w:val="24"/>
        </w:rPr>
        <w:t xml:space="preserve"> </w:t>
      </w:r>
      <w:r w:rsidRPr="00306BA3">
        <w:rPr>
          <w:rFonts w:cstheme="minorHAnsi"/>
          <w:sz w:val="24"/>
          <w:szCs w:val="24"/>
        </w:rPr>
        <w:t>- from the Shared Socioeconomic Pathways (SSP) framework</w:t>
      </w:r>
      <w:r w:rsidR="00074E1C">
        <w:rPr>
          <w:rFonts w:cstheme="minorHAnsi"/>
          <w:sz w:val="24"/>
          <w:szCs w:val="24"/>
        </w:rPr>
        <w:fldChar w:fldCharType="begin" w:fldLock="1"/>
      </w:r>
      <w:r w:rsidR="00D80A04">
        <w:rPr>
          <w:rFonts w:cstheme="minorHAnsi"/>
          <w:sz w:val="24"/>
          <w:szCs w:val="24"/>
        </w:rPr>
        <w:instrText>ADDIN CSL_CITATION {"citationItems":[{"id":"ITEM-1","itemData":{"DOI":"10.1007/s10584-013-0905-2","ISSN":"01650009","abstract":"The new scenario framework for climate change research envisions combining pathways of future radiative forcing and their associated climate changes with alternative pathways of socioeconomic development in order to carry out research on climate change impacts, adaptation, and mitigation. Here we propose a conceptual framework for how to define and develop a set of Shared Socioeconomic Pathways (SSPs) for use within the scenario framework. We define SSPs as reference pathways describing plausible alternative trends in the evolution of society and ecosystems over a century timescale, in the absence of climate change or climate policies. We introduce the concept of a space of challenges to adaptation and to mitigation that should be spanned by the SSPs, and discuss how particular trends in social, economic, and environmental development could be combined to produce such outcomes. A comparison to the narratives from the scenarios developed in the Special Report on Emissions Scenarios (SRES) illustrates how a starting point for developing SSPs can be defined. We suggest initial development of a set of basic SSPs that could then be extended to meet more specific purposes, and envision a process of application of basic and extended SSPs that would be iterative and potentially lead to modification of the original SSPs themselves. © The Author(s) 2013.","author":[{"dropping-particle":"","family":"O'Neill","given":"Brian C.","non-dropping-particle":"","parse-names":false,"suffix":""},{"dropping-particle":"","family":"Kriegler","given":"Elmar","non-dropping-particle":"","parse-names":false,"suffix":""},{"dropping-particle":"","family":"Riahi","given":"Keywan","non-dropping-particle":"","parse-names":false,"suffix":""},{"dropping-particle":"","family":"Ebi","given":"Kristie L.","non-dropping-particle":"","parse-names":false,"suffix":""},{"dropping-particle":"","family":"Hallegatte","given":"Stephane","non-dropping-particle":"","parse-names":false,"suffix":""},{"dropping-particle":"","family":"Carter","given":"Timothy R.","non-dropping-particle":"","parse-names":false,"suffix":""},{"dropping-particle":"","family":"Mathur","given":"Ritu","non-dropping-particle":"","parse-names":false,"suffix":""},{"dropping-particle":"","family":"Vuuren","given":"Detlef P.","non-dropping-particle":"van","parse-names":false,"suffix":""}],"container-title":"Climatic Change","id":"ITEM-1","issue":"3","issued":{"date-parts":[["2014","10","15"]]},"page":"387-400","publisher":"Kluwer Academic Publishers","title":"A new scenario framework for climate change research: The concept of shared socioeconomic pathways","type":"article-journal","volume":"122"},"uris":["http://www.mendeley.com/documents/?uuid=f6819c70-5dd8-3722-9ad7-1c24233c2d00"]}],"mendeley":{"formattedCitation":"&lt;sup&gt;24&lt;/sup&gt;","plainTextFormattedCitation":"24","previouslyFormattedCitation":"&lt;sup&gt;24&lt;/sup&gt;"},"properties":{"noteIndex":0},"schema":"https://github.com/citation-style-language/schema/raw/master/csl-citation.json"}</w:instrText>
      </w:r>
      <w:r w:rsidR="00074E1C">
        <w:rPr>
          <w:rFonts w:cstheme="minorHAnsi"/>
          <w:sz w:val="24"/>
          <w:szCs w:val="24"/>
        </w:rPr>
        <w:fldChar w:fldCharType="separate"/>
      </w:r>
      <w:r w:rsidR="00CE47D8" w:rsidRPr="00CE47D8">
        <w:rPr>
          <w:rFonts w:cstheme="minorHAnsi"/>
          <w:noProof/>
          <w:sz w:val="24"/>
          <w:szCs w:val="24"/>
          <w:vertAlign w:val="superscript"/>
        </w:rPr>
        <w:t>24</w:t>
      </w:r>
      <w:r w:rsidR="00074E1C">
        <w:rPr>
          <w:rFonts w:cstheme="minorHAnsi"/>
          <w:sz w:val="24"/>
          <w:szCs w:val="24"/>
        </w:rPr>
        <w:fldChar w:fldCharType="end"/>
      </w:r>
      <w:r w:rsidRPr="00306BA3">
        <w:rPr>
          <w:rFonts w:cstheme="minorHAnsi"/>
          <w:sz w:val="24"/>
          <w:szCs w:val="24"/>
        </w:rPr>
        <w:t>. We further compare our recovery</w:t>
      </w:r>
      <w:r w:rsidR="00E249F3">
        <w:rPr>
          <w:rFonts w:cstheme="minorHAnsi"/>
          <w:sz w:val="24"/>
          <w:szCs w:val="24"/>
        </w:rPr>
        <w:t xml:space="preserve"> </w:t>
      </w:r>
      <w:r w:rsidRPr="00306BA3">
        <w:rPr>
          <w:rFonts w:cstheme="minorHAnsi"/>
          <w:sz w:val="24"/>
          <w:szCs w:val="24"/>
        </w:rPr>
        <w:t>and reference scenarios with a set of scenarios that impose an ambitious climate mitigation policy</w:t>
      </w:r>
      <w:r w:rsidR="00E249F3">
        <w:rPr>
          <w:rFonts w:cstheme="minorHAnsi"/>
          <w:sz w:val="24"/>
          <w:szCs w:val="24"/>
        </w:rPr>
        <w:t xml:space="preserve"> </w:t>
      </w:r>
      <w:r w:rsidRPr="00306BA3">
        <w:rPr>
          <w:rFonts w:cstheme="minorHAnsi"/>
          <w:sz w:val="24"/>
          <w:szCs w:val="24"/>
        </w:rPr>
        <w:t>that limits warming to 2</w:t>
      </w:r>
      <w:r w:rsidR="00245834">
        <w:rPr>
          <w:rFonts w:ascii="Roboto" w:hAnsi="Roboto"/>
          <w:color w:val="111111"/>
          <w:shd w:val="clear" w:color="auto" w:fill="FFFFFF"/>
        </w:rPr>
        <w:t>°</w:t>
      </w:r>
      <w:r w:rsidRPr="00306BA3">
        <w:rPr>
          <w:rFonts w:cstheme="minorHAnsi"/>
          <w:sz w:val="24"/>
          <w:szCs w:val="24"/>
        </w:rPr>
        <w:t>C by the end of the century (CP2C), using a previous formulation that</w:t>
      </w:r>
      <w:r w:rsidR="00E249F3">
        <w:rPr>
          <w:rFonts w:cstheme="minorHAnsi"/>
          <w:sz w:val="24"/>
          <w:szCs w:val="24"/>
        </w:rPr>
        <w:t xml:space="preserve"> </w:t>
      </w:r>
      <w:r w:rsidRPr="00306BA3">
        <w:rPr>
          <w:rFonts w:cstheme="minorHAnsi"/>
          <w:sz w:val="24"/>
          <w:szCs w:val="24"/>
        </w:rPr>
        <w:t>assumes a regionally di</w:t>
      </w:r>
      <w:r w:rsidR="00E249F3">
        <w:rPr>
          <w:rFonts w:cstheme="minorHAnsi"/>
          <w:sz w:val="24"/>
          <w:szCs w:val="24"/>
        </w:rPr>
        <w:t>ff</w:t>
      </w:r>
      <w:r w:rsidRPr="00306BA3">
        <w:rPr>
          <w:rFonts w:cstheme="minorHAnsi"/>
          <w:sz w:val="24"/>
          <w:szCs w:val="24"/>
        </w:rPr>
        <w:t>erentiated carbon price trajectory that rises gradually over time</w:t>
      </w:r>
      <w:r w:rsidR="00C255F6">
        <w:rPr>
          <w:rFonts w:cstheme="minorHAnsi"/>
          <w:sz w:val="24"/>
          <w:szCs w:val="24"/>
        </w:rPr>
        <w:fldChar w:fldCharType="begin" w:fldLock="1"/>
      </w:r>
      <w:r w:rsidR="00D80A04">
        <w:rPr>
          <w:rFonts w:cstheme="minorHAnsi"/>
          <w:sz w:val="24"/>
          <w:szCs w:val="24"/>
        </w:rPr>
        <w:instrText>ADDIN CSL_CITATION {"citationItems":[{"id":"ITEM-1","itemData":{"DOI":"10.1038/s41560-018-0179-z","ISSN":"20587546","abstract":"Low-carbon investments are necessary for driving the energy system transformation that is called for by both the Paris Agreement and Sustainable Development Goals. Improving understanding of the scale and nature of these investments under diverging technology and policy futures is therefore of great importance to decision makers. Here, using six global modelling frameworks, we show that the pronounced reallocation of the investment portfolio required to transform the energy system will not be initiated by the current suite of countries' Nationally Determined Contributions. Charting a course toward 'well below 2 °C' instead sees low-carbon investments overtaking fossil investments globally by around 2025 or before and growing thereafter. Pursuing the 1.5 °C target demands a marked upscaling in low-carbon capital beyond that of a 2 °C-consistent future. Actions consistent with an energy transformation would increase the costs of achieving the goals of energy access and food security, but reduce the costs of achieving air-quality goals.","author":[{"dropping-particle":"","family":"McCollum","given":"David L.","non-dropping-particle":"","parse-names":false,"suffix":""},{"dropping-particle":"","family":"Zhou","given":"Wenji","non-dropping-particle":"","parse-names":false,"suffix":""},{"dropping-particle":"","family":"Bertram","given":"Christoph","non-dropping-particle":"","parse-names":false,"suffix":""},{"dropping-particle":"","family":"Boer","given":"Harmen Sytze","non-dropping-particle":"De","parse-names":false,"suffix":""},{"dropping-particle":"","family":"Bosetti","given":"Valentina","non-dropping-particle":"","parse-names":false,"suffix":""},{"dropping-particle":"","family":"Busch","given":"Sebastian","non-dropping-particle":"","parse-names":false,"suffix":""},{"dropping-particle":"","family":"Després","given":"Jacques","non-dropping-particle":"","parse-names":false,"suffix":""},{"dropping-particle":"","family":"Drouet","given":"Laurent","non-dropping-particle":"","parse-names":false,"suffix":""},{"dropping-particle":"","family":"Emmerling","given":"Johannes","non-dropping-particle":"","parse-names":false,"suffix":""},{"dropping-particle":"","family":"Fay","given":"Marianne","non-dropping-particle":"","parse-names":false,"suffix":""},{"dropping-particle":"","family":"Fricko","given":"Oliver","non-dropping-particle":"","parse-names":false,"suffix":""},{"dropping-particle":"","family":"Fujimori","given":"Shinichiro","non-dropping-particle":"","parse-names":false,"suffix":""},{"dropping-particle":"","family":"Gidden","given":"Matthew","non-dropping-particle":"","parse-names":false,"suffix":""},{"dropping-particle":"","family":"Harmsen","given":"Mathijs","non-dropping-particle":"","parse-names":false,"suffix":""},{"dropping-particle":"","family":"Huppmann","given":"Daniel","non-dropping-particle":"","parse-names":false,"suffix":""},{"dropping-particle":"","family":"Iyer","given":"Gokul","non-dropping-particle":"","parse-names":false,"suffix":""},{"dropping-particle":"","family":"Krey","given":"Volker","non-dropping-particle":"","parse-names":false,"suffix":""},{"dropping-particle":"","family":"Kriegler","given":"Elmar","non-dropping-particle":"","parse-names":false,"suffix":""},{"dropping-particle":"","family":"Nicolas","given":"Claire","non-dropping-particle":"","parse-names":false,"suffix":""},{"dropping-particle":"","family":"Pachauri","given":"Shonali","non-dropping-particle":"","parse-names":false,"suffix":""},{"dropping-particle":"","family":"Parkinson","given":"Simon","non-dropping-particle":"","parse-names":false,"suffix":""},{"dropping-particle":"","family":"Poblete-Cazenave","given":"Miguel","non-dropping-particle":"","parse-names":false,"suffix":""},{"dropping-particle":"","family":"Rafaj","given":"Peter","non-dropping-particle":"","parse-names":false,"suffix":""},{"dropping-particle":"","family":"Rao","given":"Narasimha","non-dropping-particle":"","parse-names":false,"suffix":""},{"dropping-particle":"","family":"Rozenberg","given":"Julie","non-dropping-particle":"","parse-names":false,"suffix":""},{"dropping-particle":"","family":"Schmitz","given":"Andreas","non-dropping-particle":"","parse-names":false,"suffix":""},{"dropping-particle":"","family":"Schoepp","given":"Wolfgang","non-dropping-particle":"","parse-names":false,"suffix":""},{"dropping-particle":"","family":"Vuuren","given":"Detlef","non-dropping-particle":"Van","parse-names":false,"suffix":""},{"dropping-particle":"","family":"Riahi","given":"Keywan","non-dropping-particle":"","parse-names":false,"suffix":""}],"container-title":"Nature Energy","id":"ITEM-1","issue":"7","issued":{"date-parts":[["2018"]]},"page":"589-599","title":"Energy investment needs for fulfilling the Paris Agreement and achieving the Sustainable Development Goals","type":"article-journal","volume":"3"},"uris":["http://www.mendeley.com/documents/?uuid=c7228d86-3dce-3815-b1ef-d0ed005cadc8","http://www.mendeley.com/documents/?uuid=1fefe913-e9bc-4063-b371-becbf67b8a1f"]}],"mendeley":{"formattedCitation":"&lt;sup&gt;25&lt;/sup&gt;","plainTextFormattedCitation":"25","previouslyFormattedCitation":"&lt;sup&gt;25&lt;/sup&gt;"},"properties":{"noteIndex":0},"schema":"https://github.com/citation-style-language/schema/raw/master/csl-citation.json"}</w:instrText>
      </w:r>
      <w:r w:rsidR="00C255F6">
        <w:rPr>
          <w:rFonts w:cstheme="minorHAnsi"/>
          <w:sz w:val="24"/>
          <w:szCs w:val="24"/>
        </w:rPr>
        <w:fldChar w:fldCharType="separate"/>
      </w:r>
      <w:r w:rsidR="00CE47D8" w:rsidRPr="00CE47D8">
        <w:rPr>
          <w:rFonts w:cstheme="minorHAnsi"/>
          <w:noProof/>
          <w:sz w:val="24"/>
          <w:szCs w:val="24"/>
          <w:vertAlign w:val="superscript"/>
        </w:rPr>
        <w:t>25</w:t>
      </w:r>
      <w:r w:rsidR="00C255F6">
        <w:rPr>
          <w:rFonts w:cstheme="minorHAnsi"/>
          <w:sz w:val="24"/>
          <w:szCs w:val="24"/>
        </w:rPr>
        <w:fldChar w:fldCharType="end"/>
      </w:r>
      <w:r w:rsidR="009A56D7">
        <w:rPr>
          <w:rFonts w:cstheme="minorHAnsi"/>
          <w:sz w:val="24"/>
          <w:szCs w:val="24"/>
        </w:rPr>
        <w:t xml:space="preserve"> </w:t>
      </w:r>
      <w:r w:rsidR="009A56D7" w:rsidRPr="00DF268C">
        <w:rPr>
          <w:rFonts w:cstheme="minorHAnsi"/>
          <w:sz w:val="24"/>
          <w:szCs w:val="24"/>
        </w:rPr>
        <w:t>(see Methods</w:t>
      </w:r>
      <w:r w:rsidR="009A56D7">
        <w:rPr>
          <w:rFonts w:cstheme="minorHAnsi"/>
          <w:sz w:val="24"/>
          <w:szCs w:val="24"/>
        </w:rPr>
        <w:t>)</w:t>
      </w:r>
      <w:r w:rsidRPr="00306BA3">
        <w:rPr>
          <w:rFonts w:cstheme="minorHAnsi"/>
          <w:sz w:val="24"/>
          <w:szCs w:val="24"/>
        </w:rPr>
        <w:t>.</w:t>
      </w:r>
    </w:p>
    <w:p w14:paraId="31508319" w14:textId="77777777" w:rsidR="00E249F3" w:rsidRPr="00306BA3" w:rsidRDefault="00E249F3" w:rsidP="00306BA3">
      <w:pPr>
        <w:autoSpaceDE w:val="0"/>
        <w:autoSpaceDN w:val="0"/>
        <w:adjustRightInd w:val="0"/>
        <w:jc w:val="both"/>
        <w:rPr>
          <w:rFonts w:cstheme="minorHAnsi"/>
          <w:sz w:val="24"/>
          <w:szCs w:val="24"/>
        </w:rPr>
      </w:pPr>
    </w:p>
    <w:p w14:paraId="4B4DA68E" w14:textId="1FC02658" w:rsidR="00306BA3" w:rsidRDefault="00306BA3" w:rsidP="006823A6">
      <w:pPr>
        <w:autoSpaceDE w:val="0"/>
        <w:autoSpaceDN w:val="0"/>
        <w:adjustRightInd w:val="0"/>
        <w:jc w:val="both"/>
        <w:rPr>
          <w:sz w:val="24"/>
          <w:szCs w:val="24"/>
        </w:rPr>
      </w:pPr>
      <w:r w:rsidRPr="39BF59DC">
        <w:rPr>
          <w:sz w:val="24"/>
          <w:szCs w:val="24"/>
        </w:rPr>
        <w:t>We</w:t>
      </w:r>
      <w:r w:rsidR="00E249F3" w:rsidRPr="39BF59DC">
        <w:rPr>
          <w:sz w:val="24"/>
          <w:szCs w:val="24"/>
        </w:rPr>
        <w:t xml:space="preserve"> </w:t>
      </w:r>
      <w:r w:rsidR="006823A6" w:rsidRPr="39BF59DC">
        <w:rPr>
          <w:sz w:val="24"/>
          <w:szCs w:val="24"/>
        </w:rPr>
        <w:t>fi</w:t>
      </w:r>
      <w:r w:rsidRPr="39BF59DC">
        <w:rPr>
          <w:sz w:val="24"/>
          <w:szCs w:val="24"/>
        </w:rPr>
        <w:t>nd that the share of population with access to clean cooking rises under all scenarios till</w:t>
      </w:r>
      <w:r w:rsidR="006823A6" w:rsidRPr="39BF59DC">
        <w:rPr>
          <w:sz w:val="24"/>
          <w:szCs w:val="24"/>
        </w:rPr>
        <w:t xml:space="preserve"> 2050, but no scenario meet</w:t>
      </w:r>
      <w:r w:rsidR="00DB1393" w:rsidRPr="39BF59DC">
        <w:rPr>
          <w:sz w:val="24"/>
          <w:szCs w:val="24"/>
        </w:rPr>
        <w:t>s</w:t>
      </w:r>
      <w:r w:rsidR="006823A6" w:rsidRPr="39BF59DC">
        <w:rPr>
          <w:sz w:val="24"/>
          <w:szCs w:val="24"/>
        </w:rPr>
        <w:t xml:space="preserve"> the rate of improvement required to achieve the SDG 7 2030 target (Figure 1</w:t>
      </w:r>
      <w:r w:rsidR="006823A6">
        <w:rPr>
          <w:sz w:val="24"/>
          <w:szCs w:val="24"/>
        </w:rPr>
        <w:t xml:space="preserve"> </w:t>
      </w:r>
      <w:r w:rsidR="008716C1">
        <w:rPr>
          <w:sz w:val="24"/>
          <w:szCs w:val="24"/>
        </w:rPr>
        <w:t>&amp;</w:t>
      </w:r>
      <w:r w:rsidR="006823A6">
        <w:rPr>
          <w:sz w:val="24"/>
          <w:szCs w:val="24"/>
        </w:rPr>
        <w:t xml:space="preserve"> </w:t>
      </w:r>
      <w:r w:rsidR="009A6F9D">
        <w:rPr>
          <w:sz w:val="24"/>
          <w:szCs w:val="24"/>
        </w:rPr>
        <w:t xml:space="preserve">Supplementary </w:t>
      </w:r>
      <w:r w:rsidR="008716C1">
        <w:rPr>
          <w:sz w:val="24"/>
          <w:szCs w:val="24"/>
        </w:rPr>
        <w:t>Figure S1</w:t>
      </w:r>
      <w:r w:rsidR="006823A6" w:rsidRPr="39BF59DC">
        <w:rPr>
          <w:sz w:val="24"/>
          <w:szCs w:val="24"/>
        </w:rPr>
        <w:t>). Even under our most optimistic reference growth scenario</w:t>
      </w:r>
      <w:r w:rsidR="004C5C09" w:rsidRPr="39BF59DC">
        <w:rPr>
          <w:sz w:val="24"/>
          <w:szCs w:val="24"/>
        </w:rPr>
        <w:t xml:space="preserve"> </w:t>
      </w:r>
      <w:r w:rsidR="006823A6" w:rsidRPr="39BF59DC">
        <w:rPr>
          <w:sz w:val="24"/>
          <w:szCs w:val="24"/>
        </w:rPr>
        <w:t>SSP1, we</w:t>
      </w:r>
      <w:r w:rsidR="004C5C09" w:rsidRPr="39BF59DC">
        <w:rPr>
          <w:sz w:val="24"/>
          <w:szCs w:val="24"/>
        </w:rPr>
        <w:t xml:space="preserve"> fi</w:t>
      </w:r>
      <w:r w:rsidR="006823A6" w:rsidRPr="39BF59DC">
        <w:rPr>
          <w:sz w:val="24"/>
          <w:szCs w:val="24"/>
        </w:rPr>
        <w:t xml:space="preserve">nd that close to 38% of global population could continue to </w:t>
      </w:r>
      <w:r w:rsidR="00AA2D55" w:rsidRPr="39BF59DC">
        <w:rPr>
          <w:sz w:val="24"/>
          <w:szCs w:val="24"/>
        </w:rPr>
        <w:t xml:space="preserve">remain cooking poor </w:t>
      </w:r>
      <w:r w:rsidR="006823A6" w:rsidRPr="39BF59DC">
        <w:rPr>
          <w:sz w:val="24"/>
          <w:szCs w:val="24"/>
        </w:rPr>
        <w:t>in 2030</w:t>
      </w:r>
      <w:r w:rsidR="007E2A8B" w:rsidRPr="39BF59DC">
        <w:rPr>
          <w:sz w:val="24"/>
          <w:szCs w:val="24"/>
        </w:rPr>
        <w:t xml:space="preserve">. </w:t>
      </w:r>
      <w:r w:rsidR="00A66C72" w:rsidRPr="39BF59DC">
        <w:rPr>
          <w:sz w:val="24"/>
          <w:szCs w:val="24"/>
        </w:rPr>
        <w:t xml:space="preserve">Slower growth and urbanization under the SSP2 and SSP3 reference scenarios, could leave an additional 1.2% to 3.9% of </w:t>
      </w:r>
      <w:r w:rsidR="005D18E8">
        <w:rPr>
          <w:sz w:val="24"/>
          <w:szCs w:val="24"/>
        </w:rPr>
        <w:t xml:space="preserve">the </w:t>
      </w:r>
      <w:r w:rsidR="00A66C72" w:rsidRPr="39BF59DC">
        <w:rPr>
          <w:sz w:val="24"/>
          <w:szCs w:val="24"/>
        </w:rPr>
        <w:t>population unable to afford clean cooking in 2030.</w:t>
      </w:r>
      <w:r w:rsidR="0006314B">
        <w:rPr>
          <w:sz w:val="24"/>
          <w:szCs w:val="24"/>
        </w:rPr>
        <w:t xml:space="preserve"> </w:t>
      </w:r>
      <w:r w:rsidR="007E2A8B" w:rsidRPr="39BF59DC">
        <w:rPr>
          <w:sz w:val="24"/>
          <w:szCs w:val="24"/>
        </w:rPr>
        <w:t>We find</w:t>
      </w:r>
      <w:r w:rsidR="006823A6" w:rsidRPr="39BF59DC">
        <w:rPr>
          <w:sz w:val="24"/>
          <w:szCs w:val="24"/>
        </w:rPr>
        <w:t xml:space="preserve"> universal access </w:t>
      </w:r>
      <w:r w:rsidR="007E2A8B" w:rsidRPr="39BF59DC">
        <w:rPr>
          <w:sz w:val="24"/>
          <w:szCs w:val="24"/>
        </w:rPr>
        <w:t xml:space="preserve">may </w:t>
      </w:r>
      <w:r w:rsidR="006823A6" w:rsidRPr="39BF59DC">
        <w:rPr>
          <w:sz w:val="24"/>
          <w:szCs w:val="24"/>
        </w:rPr>
        <w:t>not</w:t>
      </w:r>
      <w:r w:rsidR="007E2A8B" w:rsidRPr="39BF59DC">
        <w:rPr>
          <w:sz w:val="24"/>
          <w:szCs w:val="24"/>
        </w:rPr>
        <w:t xml:space="preserve"> be</w:t>
      </w:r>
      <w:r w:rsidR="006823A6" w:rsidRPr="39BF59DC">
        <w:rPr>
          <w:sz w:val="24"/>
          <w:szCs w:val="24"/>
        </w:rPr>
        <w:t xml:space="preserve"> achieved even in 2050. </w:t>
      </w:r>
    </w:p>
    <w:p w14:paraId="72831D1D" w14:textId="2B00C7E4" w:rsidR="0020738F" w:rsidRDefault="0020738F" w:rsidP="006823A6">
      <w:pPr>
        <w:autoSpaceDE w:val="0"/>
        <w:autoSpaceDN w:val="0"/>
        <w:adjustRightInd w:val="0"/>
        <w:jc w:val="both"/>
        <w:rPr>
          <w:rFonts w:cstheme="minorHAnsi"/>
          <w:sz w:val="24"/>
          <w:szCs w:val="24"/>
        </w:rPr>
      </w:pPr>
    </w:p>
    <w:p w14:paraId="5211CDAF" w14:textId="35B9B6D4" w:rsidR="0020738F" w:rsidRDefault="0020738F" w:rsidP="0020738F">
      <w:pPr>
        <w:autoSpaceDE w:val="0"/>
        <w:autoSpaceDN w:val="0"/>
        <w:adjustRightInd w:val="0"/>
        <w:jc w:val="both"/>
        <w:rPr>
          <w:rFonts w:cstheme="minorHAnsi"/>
          <w:sz w:val="24"/>
          <w:szCs w:val="24"/>
        </w:rPr>
      </w:pPr>
      <w:r w:rsidRPr="0020738F">
        <w:rPr>
          <w:rFonts w:cstheme="minorHAnsi"/>
          <w:sz w:val="24"/>
          <w:szCs w:val="24"/>
        </w:rPr>
        <w:t xml:space="preserve">Under our COVID scenario, an additional 470 million people may </w:t>
      </w:r>
      <w:r w:rsidR="00B1325C">
        <w:rPr>
          <w:rFonts w:cstheme="minorHAnsi"/>
          <w:sz w:val="24"/>
          <w:szCs w:val="24"/>
        </w:rPr>
        <w:t>remain</w:t>
      </w:r>
      <w:r w:rsidRPr="0020738F">
        <w:rPr>
          <w:rFonts w:cstheme="minorHAnsi"/>
          <w:sz w:val="24"/>
          <w:szCs w:val="24"/>
        </w:rPr>
        <w:t xml:space="preserve"> cooking </w:t>
      </w:r>
      <w:r w:rsidR="00B1325C">
        <w:rPr>
          <w:rFonts w:cstheme="minorHAnsi"/>
          <w:sz w:val="24"/>
          <w:szCs w:val="24"/>
        </w:rPr>
        <w:t xml:space="preserve">poor </w:t>
      </w:r>
      <w:r w:rsidRPr="0020738F">
        <w:rPr>
          <w:rFonts w:cstheme="minorHAnsi"/>
          <w:sz w:val="24"/>
          <w:szCs w:val="24"/>
        </w:rPr>
        <w:t>in 2030 as compared to SSP3, our most pessimistic reference growth scenario. The COVID scenario has a persistent</w:t>
      </w:r>
      <w:r w:rsidR="007118DC">
        <w:rPr>
          <w:rFonts w:cstheme="minorHAnsi"/>
          <w:sz w:val="24"/>
          <w:szCs w:val="24"/>
        </w:rPr>
        <w:t xml:space="preserve"> </w:t>
      </w:r>
      <w:r w:rsidRPr="0020738F">
        <w:rPr>
          <w:rFonts w:cstheme="minorHAnsi"/>
          <w:sz w:val="24"/>
          <w:szCs w:val="24"/>
        </w:rPr>
        <w:t>impact, as, even though average income levels are assumed to revert to the reference SSP3</w:t>
      </w:r>
      <w:r w:rsidR="007118DC">
        <w:rPr>
          <w:rFonts w:cstheme="minorHAnsi"/>
          <w:sz w:val="24"/>
          <w:szCs w:val="24"/>
        </w:rPr>
        <w:t xml:space="preserve"> </w:t>
      </w:r>
      <w:r w:rsidRPr="0020738F">
        <w:rPr>
          <w:rFonts w:cstheme="minorHAnsi"/>
          <w:sz w:val="24"/>
          <w:szCs w:val="24"/>
        </w:rPr>
        <w:t>trend in 2040, income inequality remains higher till mid-century, leaving more families dependent</w:t>
      </w:r>
      <w:r w:rsidR="007118DC">
        <w:rPr>
          <w:rFonts w:cstheme="minorHAnsi"/>
          <w:sz w:val="24"/>
          <w:szCs w:val="24"/>
        </w:rPr>
        <w:t xml:space="preserve"> </w:t>
      </w:r>
      <w:r w:rsidRPr="0020738F">
        <w:rPr>
          <w:rFonts w:cstheme="minorHAnsi"/>
          <w:sz w:val="24"/>
          <w:szCs w:val="24"/>
        </w:rPr>
        <w:t xml:space="preserve">on biomass </w:t>
      </w:r>
      <w:r w:rsidR="00574513">
        <w:rPr>
          <w:rFonts w:cstheme="minorHAnsi"/>
          <w:sz w:val="24"/>
          <w:szCs w:val="24"/>
        </w:rPr>
        <w:t xml:space="preserve">even </w:t>
      </w:r>
      <w:r w:rsidRPr="0020738F">
        <w:rPr>
          <w:rFonts w:cstheme="minorHAnsi"/>
          <w:sz w:val="24"/>
          <w:szCs w:val="24"/>
        </w:rPr>
        <w:t xml:space="preserve">in 2050. Ambitious climate mitigation policy, absent </w:t>
      </w:r>
      <w:r w:rsidRPr="0020738F">
        <w:rPr>
          <w:rFonts w:cstheme="minorHAnsi"/>
          <w:sz w:val="24"/>
          <w:szCs w:val="24"/>
        </w:rPr>
        <w:lastRenderedPageBreak/>
        <w:t xml:space="preserve">additional </w:t>
      </w:r>
      <w:r w:rsidR="00163811">
        <w:rPr>
          <w:rFonts w:cstheme="minorHAnsi"/>
          <w:sz w:val="24"/>
          <w:szCs w:val="24"/>
        </w:rPr>
        <w:t>targeted</w:t>
      </w:r>
      <w:r w:rsidR="00163811" w:rsidRPr="0020738F">
        <w:rPr>
          <w:rFonts w:cstheme="minorHAnsi"/>
          <w:sz w:val="24"/>
          <w:szCs w:val="24"/>
        </w:rPr>
        <w:t xml:space="preserve"> </w:t>
      </w:r>
      <w:r w:rsidR="008412C4">
        <w:rPr>
          <w:rFonts w:cstheme="minorHAnsi"/>
          <w:sz w:val="24"/>
          <w:szCs w:val="24"/>
        </w:rPr>
        <w:t xml:space="preserve">support </w:t>
      </w:r>
      <w:r w:rsidRPr="0020738F">
        <w:rPr>
          <w:rFonts w:cstheme="minorHAnsi"/>
          <w:sz w:val="24"/>
          <w:szCs w:val="24"/>
        </w:rPr>
        <w:t>policies, could</w:t>
      </w:r>
      <w:r w:rsidR="007118DC">
        <w:rPr>
          <w:rFonts w:cstheme="minorHAnsi"/>
          <w:sz w:val="24"/>
          <w:szCs w:val="24"/>
        </w:rPr>
        <w:t xml:space="preserve"> </w:t>
      </w:r>
      <w:r w:rsidR="00745640">
        <w:rPr>
          <w:rFonts w:cstheme="minorHAnsi"/>
          <w:sz w:val="24"/>
          <w:szCs w:val="24"/>
        </w:rPr>
        <w:t xml:space="preserve">also </w:t>
      </w:r>
      <w:r w:rsidRPr="0020738F">
        <w:rPr>
          <w:rFonts w:cstheme="minorHAnsi"/>
          <w:sz w:val="24"/>
          <w:szCs w:val="24"/>
        </w:rPr>
        <w:t xml:space="preserve">make </w:t>
      </w:r>
      <w:r w:rsidR="008478DE" w:rsidRPr="0020738F">
        <w:rPr>
          <w:rFonts w:cstheme="minorHAnsi"/>
          <w:sz w:val="24"/>
          <w:szCs w:val="24"/>
        </w:rPr>
        <w:t>transition</w:t>
      </w:r>
      <w:r w:rsidR="008478DE">
        <w:rPr>
          <w:rFonts w:cstheme="minorHAnsi"/>
          <w:sz w:val="24"/>
          <w:szCs w:val="24"/>
        </w:rPr>
        <w:t>ing</w:t>
      </w:r>
      <w:r w:rsidR="008478DE" w:rsidRPr="0020738F">
        <w:rPr>
          <w:rFonts w:cstheme="minorHAnsi"/>
          <w:sz w:val="24"/>
          <w:szCs w:val="24"/>
        </w:rPr>
        <w:t xml:space="preserve"> to clean cooking</w:t>
      </w:r>
      <w:r w:rsidR="008478DE" w:rsidRPr="0020738F" w:rsidDel="008478DE">
        <w:rPr>
          <w:rFonts w:cstheme="minorHAnsi"/>
          <w:sz w:val="24"/>
          <w:szCs w:val="24"/>
        </w:rPr>
        <w:t xml:space="preserve"> </w:t>
      </w:r>
      <w:r w:rsidRPr="0020738F">
        <w:rPr>
          <w:rFonts w:cstheme="minorHAnsi"/>
          <w:sz w:val="24"/>
          <w:szCs w:val="24"/>
        </w:rPr>
        <w:t xml:space="preserve">more </w:t>
      </w:r>
      <w:r w:rsidR="007118DC" w:rsidRPr="0020738F">
        <w:rPr>
          <w:rFonts w:cstheme="minorHAnsi"/>
          <w:sz w:val="24"/>
          <w:szCs w:val="24"/>
        </w:rPr>
        <w:t>di</w:t>
      </w:r>
      <w:r w:rsidR="007118DC">
        <w:rPr>
          <w:rFonts w:cstheme="minorHAnsi"/>
          <w:sz w:val="24"/>
          <w:szCs w:val="24"/>
        </w:rPr>
        <w:t>ff</w:t>
      </w:r>
      <w:r w:rsidR="007118DC" w:rsidRPr="0020738F">
        <w:rPr>
          <w:rFonts w:cstheme="minorHAnsi"/>
          <w:sz w:val="24"/>
          <w:szCs w:val="24"/>
        </w:rPr>
        <w:t>icult</w:t>
      </w:r>
      <w:r w:rsidRPr="0020738F">
        <w:rPr>
          <w:rFonts w:cstheme="minorHAnsi"/>
          <w:sz w:val="24"/>
          <w:szCs w:val="24"/>
        </w:rPr>
        <w:t xml:space="preserve"> for </w:t>
      </w:r>
      <w:r w:rsidR="002501CE">
        <w:rPr>
          <w:rFonts w:cstheme="minorHAnsi"/>
          <w:sz w:val="24"/>
          <w:szCs w:val="24"/>
        </w:rPr>
        <w:t>about 200 million people</w:t>
      </w:r>
      <w:r w:rsidR="00796F67">
        <w:rPr>
          <w:rFonts w:cstheme="minorHAnsi"/>
          <w:sz w:val="24"/>
          <w:szCs w:val="24"/>
        </w:rPr>
        <w:t>, specifically</w:t>
      </w:r>
      <w:r w:rsidRPr="0020738F">
        <w:rPr>
          <w:rFonts w:cstheme="minorHAnsi"/>
          <w:sz w:val="24"/>
          <w:szCs w:val="24"/>
        </w:rPr>
        <w:t xml:space="preserve"> </w:t>
      </w:r>
      <w:r w:rsidR="00342997">
        <w:rPr>
          <w:rFonts w:cstheme="minorHAnsi"/>
          <w:sz w:val="24"/>
          <w:szCs w:val="24"/>
        </w:rPr>
        <w:t>those in</w:t>
      </w:r>
      <w:r w:rsidRPr="0020738F">
        <w:rPr>
          <w:rFonts w:cstheme="minorHAnsi"/>
          <w:sz w:val="24"/>
          <w:szCs w:val="24"/>
        </w:rPr>
        <w:t xml:space="preserve"> Centrally Planned Asia (CPA) and South Asia (SAS), where fossil</w:t>
      </w:r>
      <w:r w:rsidR="007118DC">
        <w:rPr>
          <w:rFonts w:cstheme="minorHAnsi"/>
          <w:sz w:val="24"/>
          <w:szCs w:val="24"/>
        </w:rPr>
        <w:t xml:space="preserve"> </w:t>
      </w:r>
      <w:r w:rsidRPr="0020738F">
        <w:rPr>
          <w:rFonts w:cstheme="minorHAnsi"/>
          <w:sz w:val="24"/>
          <w:szCs w:val="24"/>
        </w:rPr>
        <w:t>fuel demand for cooking is currently high and most households are unable to a</w:t>
      </w:r>
      <w:r w:rsidR="007118DC">
        <w:rPr>
          <w:rFonts w:cstheme="minorHAnsi"/>
          <w:sz w:val="24"/>
          <w:szCs w:val="24"/>
        </w:rPr>
        <w:t>ff</w:t>
      </w:r>
      <w:r w:rsidRPr="0020738F">
        <w:rPr>
          <w:rFonts w:cstheme="minorHAnsi"/>
          <w:sz w:val="24"/>
          <w:szCs w:val="24"/>
        </w:rPr>
        <w:t>ord electric cooking.</w:t>
      </w:r>
    </w:p>
    <w:p w14:paraId="30A7B86F" w14:textId="2D5B56DD" w:rsidR="00FD288F" w:rsidRDefault="00FD288F" w:rsidP="0020738F">
      <w:pPr>
        <w:autoSpaceDE w:val="0"/>
        <w:autoSpaceDN w:val="0"/>
        <w:adjustRightInd w:val="0"/>
        <w:jc w:val="both"/>
        <w:rPr>
          <w:rFonts w:cstheme="minorHAnsi"/>
          <w:sz w:val="24"/>
          <w:szCs w:val="24"/>
        </w:rPr>
      </w:pPr>
    </w:p>
    <w:p w14:paraId="24201C47" w14:textId="48C7BCA2" w:rsidR="00FD288F" w:rsidRDefault="00EA0308" w:rsidP="0020738F">
      <w:pPr>
        <w:autoSpaceDE w:val="0"/>
        <w:autoSpaceDN w:val="0"/>
        <w:adjustRightInd w:val="0"/>
        <w:jc w:val="both"/>
        <w:rPr>
          <w:rFonts w:cstheme="minorHAnsi"/>
          <w:sz w:val="24"/>
          <w:szCs w:val="24"/>
        </w:rPr>
      </w:pPr>
      <w:r w:rsidRPr="00EA0308">
        <w:drawing>
          <wp:inline distT="0" distB="0" distL="0" distR="0" wp14:anchorId="71ECDAB7" wp14:editId="09814C5B">
            <wp:extent cx="4597200" cy="484920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7200" cy="4849200"/>
                    </a:xfrm>
                    <a:prstGeom prst="rect">
                      <a:avLst/>
                    </a:prstGeom>
                    <a:noFill/>
                    <a:ln>
                      <a:noFill/>
                    </a:ln>
                  </pic:spPr>
                </pic:pic>
              </a:graphicData>
            </a:graphic>
          </wp:inline>
        </w:drawing>
      </w:r>
    </w:p>
    <w:p w14:paraId="319C63C6" w14:textId="423DF838" w:rsidR="00EA0308" w:rsidRPr="0020738F" w:rsidRDefault="00EA0308" w:rsidP="0020738F">
      <w:pPr>
        <w:autoSpaceDE w:val="0"/>
        <w:autoSpaceDN w:val="0"/>
        <w:adjustRightInd w:val="0"/>
        <w:jc w:val="both"/>
        <w:rPr>
          <w:rFonts w:cstheme="minorHAnsi"/>
          <w:sz w:val="24"/>
          <w:szCs w:val="24"/>
        </w:rPr>
      </w:pPr>
      <w:r w:rsidRPr="00E232A8">
        <w:rPr>
          <w:rFonts w:cstheme="minorHAnsi"/>
          <w:b/>
          <w:bCs/>
          <w:sz w:val="24"/>
          <w:szCs w:val="24"/>
        </w:rPr>
        <w:t>Figure 1</w:t>
      </w:r>
      <w:r w:rsidRPr="00EA0308">
        <w:rPr>
          <w:rFonts w:cstheme="minorHAnsi"/>
          <w:sz w:val="24"/>
          <w:szCs w:val="24"/>
        </w:rPr>
        <w:t xml:space="preserve">: Cooking poor populations. (a) Percentage of cooking poor population in 2030 by </w:t>
      </w:r>
      <w:proofErr w:type="spellStart"/>
      <w:r w:rsidRPr="00EA0308">
        <w:rPr>
          <w:rFonts w:cstheme="minorHAnsi"/>
          <w:sz w:val="24"/>
          <w:szCs w:val="24"/>
        </w:rPr>
        <w:t>MESSAGEix</w:t>
      </w:r>
      <w:proofErr w:type="spellEnd"/>
      <w:r w:rsidRPr="00EA0308">
        <w:rPr>
          <w:rFonts w:cstheme="minorHAnsi"/>
          <w:sz w:val="24"/>
          <w:szCs w:val="24"/>
        </w:rPr>
        <w:t xml:space="preserve"> regions in the SSP2-REF scenario. (b) Percentage of cooking poor population till 2050 by scenario in selected </w:t>
      </w:r>
      <w:proofErr w:type="spellStart"/>
      <w:r w:rsidRPr="00EA0308">
        <w:rPr>
          <w:rFonts w:cstheme="minorHAnsi"/>
          <w:sz w:val="24"/>
          <w:szCs w:val="24"/>
        </w:rPr>
        <w:t>MESSAGEix</w:t>
      </w:r>
      <w:proofErr w:type="spellEnd"/>
      <w:r w:rsidRPr="00EA0308">
        <w:rPr>
          <w:rFonts w:cstheme="minorHAnsi"/>
          <w:sz w:val="24"/>
          <w:szCs w:val="24"/>
        </w:rPr>
        <w:t xml:space="preserve"> regions. Bars depict shares in reference scenarios and crosses above the bars depict shares under climate mitigation policy scenarios.</w:t>
      </w:r>
    </w:p>
    <w:p w14:paraId="19D07A51" w14:textId="77777777" w:rsidR="007118DC" w:rsidRDefault="007118DC" w:rsidP="0020738F">
      <w:pPr>
        <w:autoSpaceDE w:val="0"/>
        <w:autoSpaceDN w:val="0"/>
        <w:adjustRightInd w:val="0"/>
        <w:jc w:val="both"/>
        <w:rPr>
          <w:rFonts w:cstheme="minorHAnsi"/>
          <w:sz w:val="24"/>
          <w:szCs w:val="24"/>
        </w:rPr>
      </w:pPr>
    </w:p>
    <w:p w14:paraId="58012E19" w14:textId="6EC6B078" w:rsidR="0020738F" w:rsidRDefault="0020738F" w:rsidP="0020738F">
      <w:pPr>
        <w:autoSpaceDE w:val="0"/>
        <w:autoSpaceDN w:val="0"/>
        <w:adjustRightInd w:val="0"/>
        <w:jc w:val="both"/>
        <w:rPr>
          <w:rFonts w:cstheme="minorHAnsi"/>
          <w:sz w:val="24"/>
          <w:szCs w:val="24"/>
        </w:rPr>
      </w:pPr>
      <w:r w:rsidRPr="0020738F">
        <w:rPr>
          <w:rFonts w:cstheme="minorHAnsi"/>
          <w:sz w:val="24"/>
          <w:szCs w:val="24"/>
        </w:rPr>
        <w:t>In AFR, we see only very moderate improvements in access to</w:t>
      </w:r>
      <w:r w:rsidR="007118DC">
        <w:rPr>
          <w:rFonts w:cstheme="minorHAnsi"/>
          <w:sz w:val="24"/>
          <w:szCs w:val="24"/>
        </w:rPr>
        <w:t xml:space="preserve"> </w:t>
      </w:r>
      <w:r w:rsidRPr="0020738F">
        <w:rPr>
          <w:rFonts w:cstheme="minorHAnsi"/>
          <w:sz w:val="24"/>
          <w:szCs w:val="24"/>
        </w:rPr>
        <w:t>clean cooking services over time as population growth in this region outpaces the rate of transition</w:t>
      </w:r>
      <w:r w:rsidR="007118DC">
        <w:rPr>
          <w:rFonts w:cstheme="minorHAnsi"/>
          <w:sz w:val="24"/>
          <w:szCs w:val="24"/>
        </w:rPr>
        <w:t xml:space="preserve"> </w:t>
      </w:r>
      <w:r w:rsidRPr="0020738F">
        <w:rPr>
          <w:rFonts w:cstheme="minorHAnsi"/>
          <w:sz w:val="24"/>
          <w:szCs w:val="24"/>
        </w:rPr>
        <w:t xml:space="preserve">to better stoves and fuels </w:t>
      </w:r>
      <w:r w:rsidR="000B7A46">
        <w:rPr>
          <w:rFonts w:cstheme="minorHAnsi"/>
          <w:sz w:val="24"/>
          <w:szCs w:val="24"/>
        </w:rPr>
        <w:t>in</w:t>
      </w:r>
      <w:r w:rsidRPr="0020738F">
        <w:rPr>
          <w:rFonts w:cstheme="minorHAnsi"/>
          <w:sz w:val="24"/>
          <w:szCs w:val="24"/>
        </w:rPr>
        <w:t xml:space="preserve"> all scenarios.</w:t>
      </w:r>
      <w:r w:rsidR="007118DC">
        <w:rPr>
          <w:rFonts w:cstheme="minorHAnsi"/>
          <w:sz w:val="24"/>
          <w:szCs w:val="24"/>
        </w:rPr>
        <w:t xml:space="preserve"> </w:t>
      </w:r>
      <w:r w:rsidR="008C5BC7">
        <w:rPr>
          <w:rFonts w:cstheme="minorHAnsi"/>
          <w:sz w:val="24"/>
          <w:szCs w:val="24"/>
        </w:rPr>
        <w:t>In contrast</w:t>
      </w:r>
      <w:r w:rsidRPr="0020738F">
        <w:rPr>
          <w:rFonts w:cstheme="minorHAnsi"/>
          <w:sz w:val="24"/>
          <w:szCs w:val="24"/>
        </w:rPr>
        <w:t>, in CPA, SAS and Other Paci</w:t>
      </w:r>
      <w:r w:rsidR="005B1F18">
        <w:rPr>
          <w:rFonts w:cstheme="minorHAnsi"/>
          <w:sz w:val="24"/>
          <w:szCs w:val="24"/>
        </w:rPr>
        <w:t>fi</w:t>
      </w:r>
      <w:r w:rsidRPr="0020738F">
        <w:rPr>
          <w:rFonts w:cstheme="minorHAnsi"/>
          <w:sz w:val="24"/>
          <w:szCs w:val="24"/>
        </w:rPr>
        <w:t>c Asia (PAS), clean cooking access</w:t>
      </w:r>
      <w:r w:rsidR="0038285D">
        <w:rPr>
          <w:rFonts w:cstheme="minorHAnsi"/>
          <w:sz w:val="24"/>
          <w:szCs w:val="24"/>
        </w:rPr>
        <w:t xml:space="preserve"> becomes</w:t>
      </w:r>
      <w:r w:rsidRPr="0020738F">
        <w:rPr>
          <w:rFonts w:cstheme="minorHAnsi"/>
          <w:sz w:val="24"/>
          <w:szCs w:val="24"/>
        </w:rPr>
        <w:t xml:space="preserve"> increasingly a</w:t>
      </w:r>
      <w:r w:rsidR="005B1F18">
        <w:rPr>
          <w:rFonts w:cstheme="minorHAnsi"/>
          <w:sz w:val="24"/>
          <w:szCs w:val="24"/>
        </w:rPr>
        <w:t>ff</w:t>
      </w:r>
      <w:r w:rsidRPr="0020738F">
        <w:rPr>
          <w:rFonts w:cstheme="minorHAnsi"/>
          <w:sz w:val="24"/>
          <w:szCs w:val="24"/>
        </w:rPr>
        <w:t xml:space="preserve">ordable, especially under </w:t>
      </w:r>
      <w:r w:rsidR="00D969B1">
        <w:rPr>
          <w:rFonts w:cstheme="minorHAnsi"/>
          <w:sz w:val="24"/>
          <w:szCs w:val="24"/>
        </w:rPr>
        <w:t xml:space="preserve">an </w:t>
      </w:r>
      <w:r w:rsidRPr="0020738F">
        <w:rPr>
          <w:rFonts w:cstheme="minorHAnsi"/>
          <w:sz w:val="24"/>
          <w:szCs w:val="24"/>
        </w:rPr>
        <w:t>optimistic SSP1 reference scenario. Overall, di</w:t>
      </w:r>
      <w:r w:rsidR="005B1F18">
        <w:rPr>
          <w:rFonts w:cstheme="minorHAnsi"/>
          <w:sz w:val="24"/>
          <w:szCs w:val="24"/>
        </w:rPr>
        <w:t>ff</w:t>
      </w:r>
      <w:r w:rsidRPr="0020738F">
        <w:rPr>
          <w:rFonts w:cstheme="minorHAnsi"/>
          <w:sz w:val="24"/>
          <w:szCs w:val="24"/>
        </w:rPr>
        <w:t xml:space="preserve">erences on account of income growth, </w:t>
      </w:r>
      <w:r w:rsidR="001E5E89" w:rsidRPr="0020738F">
        <w:rPr>
          <w:rFonts w:cstheme="minorHAnsi"/>
          <w:sz w:val="24"/>
          <w:szCs w:val="24"/>
        </w:rPr>
        <w:t>distribution,</w:t>
      </w:r>
      <w:r w:rsidR="005B1F18">
        <w:rPr>
          <w:rFonts w:cstheme="minorHAnsi"/>
          <w:sz w:val="24"/>
          <w:szCs w:val="24"/>
        </w:rPr>
        <w:t xml:space="preserve"> </w:t>
      </w:r>
      <w:r w:rsidRPr="0020738F">
        <w:rPr>
          <w:rFonts w:cstheme="minorHAnsi"/>
          <w:sz w:val="24"/>
          <w:szCs w:val="24"/>
        </w:rPr>
        <w:t>and urbanization in our reference scenarios impact clean cooking access more than shifts in fuel</w:t>
      </w:r>
      <w:r w:rsidR="004951EB">
        <w:rPr>
          <w:rFonts w:cstheme="minorHAnsi"/>
          <w:sz w:val="24"/>
          <w:szCs w:val="24"/>
        </w:rPr>
        <w:t xml:space="preserve"> </w:t>
      </w:r>
      <w:r w:rsidRPr="0020738F">
        <w:rPr>
          <w:rFonts w:cstheme="minorHAnsi"/>
          <w:sz w:val="24"/>
          <w:szCs w:val="24"/>
        </w:rPr>
        <w:t>prices as a results of ambitious climate mitigation policy. However, in regions of developing and</w:t>
      </w:r>
      <w:r w:rsidR="004951EB">
        <w:rPr>
          <w:rFonts w:cstheme="minorHAnsi"/>
          <w:sz w:val="24"/>
          <w:szCs w:val="24"/>
        </w:rPr>
        <w:t xml:space="preserve"> </w:t>
      </w:r>
      <w:r w:rsidRPr="0020738F">
        <w:rPr>
          <w:rFonts w:cstheme="minorHAnsi"/>
          <w:sz w:val="24"/>
          <w:szCs w:val="24"/>
        </w:rPr>
        <w:t xml:space="preserve">emerging Asia, climate mitigation policy could </w:t>
      </w:r>
      <w:r w:rsidR="00E32943">
        <w:rPr>
          <w:rFonts w:cstheme="minorHAnsi"/>
          <w:sz w:val="24"/>
          <w:szCs w:val="24"/>
        </w:rPr>
        <w:t>increase costs of clean cooking services</w:t>
      </w:r>
      <w:r w:rsidRPr="0020738F">
        <w:rPr>
          <w:rFonts w:cstheme="minorHAnsi"/>
          <w:sz w:val="24"/>
          <w:szCs w:val="24"/>
        </w:rPr>
        <w:t xml:space="preserve">. </w:t>
      </w:r>
      <w:r w:rsidR="007064F6">
        <w:rPr>
          <w:rFonts w:cstheme="minorHAnsi"/>
          <w:sz w:val="24"/>
          <w:szCs w:val="24"/>
        </w:rPr>
        <w:t>I</w:t>
      </w:r>
      <w:r w:rsidR="007064F6" w:rsidRPr="0020738F">
        <w:rPr>
          <w:rFonts w:cstheme="minorHAnsi"/>
          <w:sz w:val="24"/>
          <w:szCs w:val="24"/>
        </w:rPr>
        <w:t xml:space="preserve">mplementing additional </w:t>
      </w:r>
      <w:r w:rsidR="007064F6">
        <w:rPr>
          <w:rFonts w:cstheme="minorHAnsi"/>
          <w:sz w:val="24"/>
          <w:szCs w:val="24"/>
        </w:rPr>
        <w:t xml:space="preserve">support </w:t>
      </w:r>
      <w:r w:rsidR="007064F6" w:rsidRPr="0020738F">
        <w:rPr>
          <w:rFonts w:cstheme="minorHAnsi"/>
          <w:sz w:val="24"/>
          <w:szCs w:val="24"/>
        </w:rPr>
        <w:t>policies to make clean cooking a</w:t>
      </w:r>
      <w:r w:rsidR="007064F6">
        <w:rPr>
          <w:rFonts w:cstheme="minorHAnsi"/>
          <w:sz w:val="24"/>
          <w:szCs w:val="24"/>
        </w:rPr>
        <w:t>ff</w:t>
      </w:r>
      <w:r w:rsidR="007064F6" w:rsidRPr="0020738F">
        <w:rPr>
          <w:rFonts w:cstheme="minorHAnsi"/>
          <w:sz w:val="24"/>
          <w:szCs w:val="24"/>
        </w:rPr>
        <w:t>ordable will be essential to achieve both climate goals and</w:t>
      </w:r>
      <w:r w:rsidR="007064F6">
        <w:rPr>
          <w:rFonts w:cstheme="minorHAnsi"/>
          <w:sz w:val="24"/>
          <w:szCs w:val="24"/>
        </w:rPr>
        <w:t xml:space="preserve"> </w:t>
      </w:r>
      <w:r w:rsidR="007064F6" w:rsidRPr="0020738F">
        <w:rPr>
          <w:rFonts w:cstheme="minorHAnsi"/>
          <w:sz w:val="24"/>
          <w:szCs w:val="24"/>
        </w:rPr>
        <w:t>SDG 7 simultaneously</w:t>
      </w:r>
      <w:r w:rsidR="007064F6">
        <w:rPr>
          <w:rFonts w:cstheme="minorHAnsi"/>
          <w:sz w:val="24"/>
          <w:szCs w:val="24"/>
        </w:rPr>
        <w:t>,</w:t>
      </w:r>
      <w:r w:rsidR="007064F6" w:rsidRPr="0020738F">
        <w:rPr>
          <w:rFonts w:cstheme="minorHAnsi"/>
          <w:sz w:val="24"/>
          <w:szCs w:val="24"/>
        </w:rPr>
        <w:t xml:space="preserve"> </w:t>
      </w:r>
      <w:r w:rsidR="007064F6">
        <w:rPr>
          <w:rFonts w:cstheme="minorHAnsi"/>
          <w:sz w:val="24"/>
          <w:szCs w:val="24"/>
        </w:rPr>
        <w:t>i</w:t>
      </w:r>
      <w:r w:rsidRPr="0020738F">
        <w:rPr>
          <w:rFonts w:cstheme="minorHAnsi"/>
          <w:sz w:val="24"/>
          <w:szCs w:val="24"/>
        </w:rPr>
        <w:t>n these regions.</w:t>
      </w:r>
    </w:p>
    <w:p w14:paraId="769227B1" w14:textId="60099F12" w:rsidR="00631048" w:rsidRDefault="00631048" w:rsidP="0020738F">
      <w:pPr>
        <w:autoSpaceDE w:val="0"/>
        <w:autoSpaceDN w:val="0"/>
        <w:adjustRightInd w:val="0"/>
        <w:jc w:val="both"/>
        <w:rPr>
          <w:rFonts w:cstheme="minorHAnsi"/>
          <w:sz w:val="24"/>
          <w:szCs w:val="24"/>
        </w:rPr>
      </w:pPr>
    </w:p>
    <w:p w14:paraId="6FDA1BDC" w14:textId="77777777" w:rsidR="001719A3" w:rsidRDefault="00631048" w:rsidP="001719A3">
      <w:pPr>
        <w:autoSpaceDE w:val="0"/>
        <w:autoSpaceDN w:val="0"/>
        <w:adjustRightInd w:val="0"/>
        <w:rPr>
          <w:rFonts w:cstheme="minorHAnsi"/>
          <w:b/>
          <w:bCs/>
          <w:sz w:val="29"/>
          <w:szCs w:val="29"/>
        </w:rPr>
      </w:pPr>
      <w:r w:rsidRPr="00631048">
        <w:rPr>
          <w:rFonts w:cstheme="minorHAnsi"/>
          <w:b/>
          <w:bCs/>
          <w:sz w:val="29"/>
          <w:szCs w:val="29"/>
        </w:rPr>
        <w:lastRenderedPageBreak/>
        <w:t>Final Cooking Energy Demand</w:t>
      </w:r>
    </w:p>
    <w:p w14:paraId="388C1949" w14:textId="405B07BD" w:rsidR="00631048" w:rsidRDefault="00A81036" w:rsidP="00EE5327">
      <w:pPr>
        <w:autoSpaceDE w:val="0"/>
        <w:autoSpaceDN w:val="0"/>
        <w:adjustRightInd w:val="0"/>
        <w:jc w:val="both"/>
        <w:rPr>
          <w:rFonts w:cstheme="minorHAnsi"/>
          <w:sz w:val="24"/>
          <w:szCs w:val="24"/>
        </w:rPr>
      </w:pPr>
      <w:r w:rsidRPr="00A81036">
        <w:rPr>
          <w:rFonts w:cstheme="minorHAnsi"/>
          <w:sz w:val="24"/>
          <w:szCs w:val="24"/>
        </w:rPr>
        <w:t>In many developing regions, cooking is still the most energy-intensive activity in homes. Figure 2</w:t>
      </w:r>
      <w:r>
        <w:rPr>
          <w:rFonts w:cstheme="minorHAnsi"/>
          <w:sz w:val="24"/>
          <w:szCs w:val="24"/>
        </w:rPr>
        <w:t xml:space="preserve"> </w:t>
      </w:r>
      <w:r w:rsidRPr="00A81036">
        <w:rPr>
          <w:rFonts w:cstheme="minorHAnsi"/>
          <w:sz w:val="24"/>
          <w:szCs w:val="24"/>
        </w:rPr>
        <w:t xml:space="preserve">shows </w:t>
      </w:r>
      <w:r w:rsidR="007B2417">
        <w:rPr>
          <w:rFonts w:cstheme="minorHAnsi"/>
          <w:sz w:val="24"/>
          <w:szCs w:val="24"/>
        </w:rPr>
        <w:t>future</w:t>
      </w:r>
      <w:r w:rsidRPr="00A81036">
        <w:rPr>
          <w:rFonts w:cstheme="minorHAnsi"/>
          <w:sz w:val="24"/>
          <w:szCs w:val="24"/>
        </w:rPr>
        <w:t xml:space="preserve"> total cooking energy demand by scenario. </w:t>
      </w:r>
      <w:r w:rsidR="00A268D8" w:rsidRPr="00A81036">
        <w:rPr>
          <w:rFonts w:cstheme="minorHAnsi"/>
          <w:sz w:val="24"/>
          <w:szCs w:val="24"/>
        </w:rPr>
        <w:t xml:space="preserve">We </w:t>
      </w:r>
      <w:r w:rsidR="00DE7579">
        <w:rPr>
          <w:rFonts w:cstheme="minorHAnsi"/>
          <w:sz w:val="24"/>
          <w:szCs w:val="24"/>
        </w:rPr>
        <w:t>find</w:t>
      </w:r>
      <w:r w:rsidRPr="00A81036">
        <w:rPr>
          <w:rFonts w:cstheme="minorHAnsi"/>
          <w:sz w:val="24"/>
          <w:szCs w:val="24"/>
        </w:rPr>
        <w:t xml:space="preserve"> a decline in biomass use over time in all reference scenarios</w:t>
      </w:r>
      <w:r w:rsidR="00A268D8">
        <w:rPr>
          <w:rFonts w:cstheme="minorHAnsi"/>
          <w:sz w:val="24"/>
          <w:szCs w:val="24"/>
        </w:rPr>
        <w:t xml:space="preserve"> </w:t>
      </w:r>
      <w:r w:rsidRPr="00A81036">
        <w:rPr>
          <w:rFonts w:cstheme="minorHAnsi"/>
          <w:sz w:val="24"/>
          <w:szCs w:val="24"/>
        </w:rPr>
        <w:t>with a faster phase out under SSP1 compared to the other</w:t>
      </w:r>
      <w:r w:rsidR="00A268D8">
        <w:rPr>
          <w:rFonts w:cstheme="minorHAnsi"/>
          <w:sz w:val="24"/>
          <w:szCs w:val="24"/>
        </w:rPr>
        <w:t xml:space="preserve"> </w:t>
      </w:r>
      <w:r w:rsidRPr="00A81036">
        <w:rPr>
          <w:rFonts w:cstheme="minorHAnsi"/>
          <w:sz w:val="24"/>
          <w:szCs w:val="24"/>
        </w:rPr>
        <w:t>reference scenarios</w:t>
      </w:r>
      <w:r w:rsidR="009173A3">
        <w:rPr>
          <w:rFonts w:cstheme="minorHAnsi"/>
          <w:sz w:val="24"/>
          <w:szCs w:val="24"/>
        </w:rPr>
        <w:t xml:space="preserve"> (Figure</w:t>
      </w:r>
      <w:r w:rsidR="00002D15">
        <w:rPr>
          <w:rFonts w:cstheme="minorHAnsi"/>
          <w:sz w:val="24"/>
          <w:szCs w:val="24"/>
        </w:rPr>
        <w:t xml:space="preserve"> 2(a))</w:t>
      </w:r>
      <w:r w:rsidRPr="00A81036">
        <w:rPr>
          <w:rFonts w:cstheme="minorHAnsi"/>
          <w:sz w:val="24"/>
          <w:szCs w:val="24"/>
        </w:rPr>
        <w:t xml:space="preserve">. Under the COVID scenario, </w:t>
      </w:r>
      <w:r w:rsidR="00DE7579" w:rsidRPr="00A81036">
        <w:rPr>
          <w:rFonts w:cstheme="minorHAnsi"/>
          <w:sz w:val="24"/>
          <w:szCs w:val="24"/>
        </w:rPr>
        <w:t xml:space="preserve">we </w:t>
      </w:r>
      <w:r w:rsidR="00DE7579">
        <w:rPr>
          <w:rFonts w:cstheme="minorHAnsi"/>
          <w:sz w:val="24"/>
          <w:szCs w:val="24"/>
        </w:rPr>
        <w:t>find</w:t>
      </w:r>
      <w:r w:rsidRPr="00A81036">
        <w:rPr>
          <w:rFonts w:cstheme="minorHAnsi"/>
          <w:sz w:val="24"/>
          <w:szCs w:val="24"/>
        </w:rPr>
        <w:t xml:space="preserve"> a much larger share of </w:t>
      </w:r>
      <w:r w:rsidR="00CD3D9A">
        <w:rPr>
          <w:rFonts w:cstheme="minorHAnsi"/>
          <w:sz w:val="24"/>
          <w:szCs w:val="24"/>
        </w:rPr>
        <w:t>solid</w:t>
      </w:r>
      <w:r w:rsidR="00CD3D9A" w:rsidRPr="00A81036">
        <w:rPr>
          <w:rFonts w:cstheme="minorHAnsi"/>
          <w:sz w:val="24"/>
          <w:szCs w:val="24"/>
        </w:rPr>
        <w:t xml:space="preserve"> </w:t>
      </w:r>
      <w:r w:rsidRPr="00A81036">
        <w:rPr>
          <w:rFonts w:cstheme="minorHAnsi"/>
          <w:sz w:val="24"/>
          <w:szCs w:val="24"/>
        </w:rPr>
        <w:t>fuels</w:t>
      </w:r>
      <w:r w:rsidR="000C28C5">
        <w:rPr>
          <w:rFonts w:cstheme="minorHAnsi"/>
          <w:sz w:val="24"/>
          <w:szCs w:val="24"/>
        </w:rPr>
        <w:t>,</w:t>
      </w:r>
      <w:r w:rsidR="00DE7579">
        <w:rPr>
          <w:rFonts w:cstheme="minorHAnsi"/>
          <w:sz w:val="24"/>
          <w:szCs w:val="24"/>
        </w:rPr>
        <w:t xml:space="preserve"> </w:t>
      </w:r>
      <w:r w:rsidRPr="00A81036">
        <w:rPr>
          <w:rFonts w:cstheme="minorHAnsi"/>
          <w:sz w:val="24"/>
          <w:szCs w:val="24"/>
        </w:rPr>
        <w:t xml:space="preserve">and </w:t>
      </w:r>
      <w:r w:rsidR="00E03DB3" w:rsidRPr="00A81036">
        <w:rPr>
          <w:rFonts w:cstheme="minorHAnsi"/>
          <w:sz w:val="24"/>
          <w:szCs w:val="24"/>
        </w:rPr>
        <w:t xml:space="preserve">higher </w:t>
      </w:r>
      <w:r w:rsidRPr="00A81036">
        <w:rPr>
          <w:rFonts w:cstheme="minorHAnsi"/>
          <w:sz w:val="24"/>
          <w:szCs w:val="24"/>
        </w:rPr>
        <w:t>total cooking energy demand because of the ine</w:t>
      </w:r>
      <w:r w:rsidR="00DE7579">
        <w:rPr>
          <w:rFonts w:cstheme="minorHAnsi"/>
          <w:sz w:val="24"/>
          <w:szCs w:val="24"/>
        </w:rPr>
        <w:t>ffi</w:t>
      </w:r>
      <w:r w:rsidRPr="00A81036">
        <w:rPr>
          <w:rFonts w:cstheme="minorHAnsi"/>
          <w:sz w:val="24"/>
          <w:szCs w:val="24"/>
        </w:rPr>
        <w:t>ciency</w:t>
      </w:r>
      <w:r w:rsidR="00DE7579">
        <w:rPr>
          <w:rFonts w:cstheme="minorHAnsi"/>
          <w:sz w:val="24"/>
          <w:szCs w:val="24"/>
        </w:rPr>
        <w:t xml:space="preserve"> </w:t>
      </w:r>
      <w:r w:rsidRPr="00A81036">
        <w:rPr>
          <w:rFonts w:cstheme="minorHAnsi"/>
          <w:sz w:val="24"/>
          <w:szCs w:val="24"/>
        </w:rPr>
        <w:t>of these fuels. This large COVID e</w:t>
      </w:r>
      <w:r w:rsidR="00DE7579">
        <w:rPr>
          <w:rFonts w:cstheme="minorHAnsi"/>
          <w:sz w:val="24"/>
          <w:szCs w:val="24"/>
        </w:rPr>
        <w:t>ff</w:t>
      </w:r>
      <w:r w:rsidRPr="00A81036">
        <w:rPr>
          <w:rFonts w:cstheme="minorHAnsi"/>
          <w:sz w:val="24"/>
          <w:szCs w:val="24"/>
        </w:rPr>
        <w:t>ect could result in an increase in biomass use till 2030, with</w:t>
      </w:r>
      <w:r w:rsidR="00DE7579">
        <w:rPr>
          <w:rFonts w:cstheme="minorHAnsi"/>
          <w:sz w:val="24"/>
          <w:szCs w:val="24"/>
        </w:rPr>
        <w:t xml:space="preserve"> </w:t>
      </w:r>
      <w:r w:rsidRPr="00A81036">
        <w:rPr>
          <w:rFonts w:cstheme="minorHAnsi"/>
          <w:sz w:val="24"/>
          <w:szCs w:val="24"/>
        </w:rPr>
        <w:t>a light rebound in 2040, when income levels are assumed to go back to the reference SSP3 trend.</w:t>
      </w:r>
      <w:r w:rsidR="00DE7579">
        <w:rPr>
          <w:rFonts w:cstheme="minorHAnsi"/>
          <w:sz w:val="24"/>
          <w:szCs w:val="24"/>
        </w:rPr>
        <w:t xml:space="preserve"> </w:t>
      </w:r>
      <w:r w:rsidRPr="00A81036">
        <w:rPr>
          <w:rFonts w:cstheme="minorHAnsi"/>
          <w:sz w:val="24"/>
          <w:szCs w:val="24"/>
        </w:rPr>
        <w:t xml:space="preserve">Climate mitigation policies could attenuate the transition away from polluting </w:t>
      </w:r>
      <w:r w:rsidR="00E23DDD">
        <w:rPr>
          <w:rFonts w:cstheme="minorHAnsi"/>
          <w:sz w:val="24"/>
          <w:szCs w:val="24"/>
        </w:rPr>
        <w:t>stoves</w:t>
      </w:r>
      <w:r w:rsidRPr="00A81036">
        <w:rPr>
          <w:rFonts w:cstheme="minorHAnsi"/>
          <w:sz w:val="24"/>
          <w:szCs w:val="24"/>
        </w:rPr>
        <w:t>, by making</w:t>
      </w:r>
      <w:r w:rsidR="00DE7579">
        <w:rPr>
          <w:rFonts w:cstheme="minorHAnsi"/>
          <w:sz w:val="24"/>
          <w:szCs w:val="24"/>
        </w:rPr>
        <w:t xml:space="preserve"> </w:t>
      </w:r>
      <w:r w:rsidRPr="00A81036">
        <w:rPr>
          <w:rFonts w:cstheme="minorHAnsi"/>
          <w:sz w:val="24"/>
          <w:szCs w:val="24"/>
        </w:rPr>
        <w:t>oil and gas-based fuels more expensive. The higher prices could also result in lower average</w:t>
      </w:r>
      <w:r w:rsidR="001719A3">
        <w:rPr>
          <w:rFonts w:cstheme="minorHAnsi"/>
          <w:sz w:val="24"/>
          <w:szCs w:val="24"/>
        </w:rPr>
        <w:t xml:space="preserve"> </w:t>
      </w:r>
      <w:r w:rsidRPr="00A81036">
        <w:rPr>
          <w:rFonts w:cstheme="minorHAnsi"/>
          <w:sz w:val="24"/>
          <w:szCs w:val="24"/>
        </w:rPr>
        <w:t xml:space="preserve">per </w:t>
      </w:r>
      <w:r w:rsidR="001719A3" w:rsidRPr="00A81036">
        <w:rPr>
          <w:rFonts w:cstheme="minorHAnsi"/>
          <w:sz w:val="24"/>
          <w:szCs w:val="24"/>
        </w:rPr>
        <w:t xml:space="preserve">capita </w:t>
      </w:r>
      <w:r w:rsidR="001719A3">
        <w:rPr>
          <w:rFonts w:cstheme="minorHAnsi"/>
          <w:sz w:val="24"/>
          <w:szCs w:val="24"/>
        </w:rPr>
        <w:t>final</w:t>
      </w:r>
      <w:r w:rsidRPr="00A81036">
        <w:rPr>
          <w:rFonts w:cstheme="minorHAnsi"/>
          <w:sz w:val="24"/>
          <w:szCs w:val="24"/>
        </w:rPr>
        <w:t xml:space="preserve"> cooking energy demand under climate mitigation policy scenarios as compared to</w:t>
      </w:r>
      <w:r w:rsidR="001719A3">
        <w:rPr>
          <w:rFonts w:cstheme="minorHAnsi"/>
          <w:sz w:val="24"/>
          <w:szCs w:val="24"/>
        </w:rPr>
        <w:t xml:space="preserve"> </w:t>
      </w:r>
      <w:r w:rsidRPr="00A81036">
        <w:rPr>
          <w:rFonts w:cstheme="minorHAnsi"/>
          <w:sz w:val="24"/>
          <w:szCs w:val="24"/>
        </w:rPr>
        <w:t>the reference scenarios and a much smaller proportion of gas in the cooking energy mix.</w:t>
      </w:r>
    </w:p>
    <w:p w14:paraId="7F44BED7" w14:textId="0B5A2E80" w:rsidR="00E232A8" w:rsidRDefault="00E232A8" w:rsidP="00EE5327">
      <w:pPr>
        <w:autoSpaceDE w:val="0"/>
        <w:autoSpaceDN w:val="0"/>
        <w:adjustRightInd w:val="0"/>
        <w:jc w:val="both"/>
        <w:rPr>
          <w:rFonts w:cstheme="minorHAnsi"/>
          <w:sz w:val="24"/>
          <w:szCs w:val="24"/>
        </w:rPr>
      </w:pPr>
    </w:p>
    <w:p w14:paraId="1DB6A9A9" w14:textId="7758CC15" w:rsidR="00E232A8" w:rsidRDefault="00856108" w:rsidP="00EE5327">
      <w:pPr>
        <w:autoSpaceDE w:val="0"/>
        <w:autoSpaceDN w:val="0"/>
        <w:adjustRightInd w:val="0"/>
        <w:jc w:val="both"/>
        <w:rPr>
          <w:rFonts w:cstheme="minorHAnsi"/>
          <w:sz w:val="24"/>
          <w:szCs w:val="24"/>
        </w:rPr>
      </w:pPr>
      <w:r w:rsidRPr="00856108">
        <w:drawing>
          <wp:inline distT="0" distB="0" distL="0" distR="0" wp14:anchorId="133EFF30" wp14:editId="446D65C7">
            <wp:extent cx="4658400" cy="4932000"/>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8400" cy="4932000"/>
                    </a:xfrm>
                    <a:prstGeom prst="rect">
                      <a:avLst/>
                    </a:prstGeom>
                    <a:noFill/>
                    <a:ln>
                      <a:noFill/>
                    </a:ln>
                  </pic:spPr>
                </pic:pic>
              </a:graphicData>
            </a:graphic>
          </wp:inline>
        </w:drawing>
      </w:r>
    </w:p>
    <w:p w14:paraId="59C2E42A" w14:textId="1B9F2C26" w:rsidR="00A5324C" w:rsidRDefault="00856108" w:rsidP="00EE5327">
      <w:pPr>
        <w:autoSpaceDE w:val="0"/>
        <w:autoSpaceDN w:val="0"/>
        <w:adjustRightInd w:val="0"/>
        <w:jc w:val="both"/>
        <w:rPr>
          <w:rFonts w:cstheme="minorHAnsi"/>
          <w:sz w:val="24"/>
          <w:szCs w:val="24"/>
        </w:rPr>
      </w:pPr>
      <w:r w:rsidRPr="00856108">
        <w:rPr>
          <w:rFonts w:cstheme="minorHAnsi"/>
          <w:b/>
          <w:bCs/>
          <w:sz w:val="24"/>
          <w:szCs w:val="24"/>
        </w:rPr>
        <w:t>Figure 2</w:t>
      </w:r>
      <w:r w:rsidRPr="00856108">
        <w:rPr>
          <w:rFonts w:cstheme="minorHAnsi"/>
          <w:sz w:val="24"/>
          <w:szCs w:val="24"/>
        </w:rPr>
        <w:t>: Total and average cooking energy demand. (a) Total cooking energy demand till 2050 by scenario and region. (b) Average demand in 2030 for biomass dependent regions (AFR, LAM, PAS, SAS). (c) Average demand in 2030 in other regions (CPA, EEU, FSU, MEA, OTH/ROW).</w:t>
      </w:r>
    </w:p>
    <w:p w14:paraId="5F122510" w14:textId="77777777" w:rsidR="00856108" w:rsidRDefault="00856108" w:rsidP="00EE5327">
      <w:pPr>
        <w:autoSpaceDE w:val="0"/>
        <w:autoSpaceDN w:val="0"/>
        <w:adjustRightInd w:val="0"/>
        <w:jc w:val="both"/>
        <w:rPr>
          <w:rFonts w:cstheme="minorHAnsi"/>
          <w:sz w:val="24"/>
          <w:szCs w:val="24"/>
        </w:rPr>
      </w:pPr>
    </w:p>
    <w:p w14:paraId="44823BB9" w14:textId="2EF7B10B" w:rsidR="00A5324C" w:rsidRDefault="00A5324C" w:rsidP="00B85916">
      <w:pPr>
        <w:autoSpaceDE w:val="0"/>
        <w:autoSpaceDN w:val="0"/>
        <w:adjustRightInd w:val="0"/>
        <w:jc w:val="both"/>
        <w:rPr>
          <w:rFonts w:cstheme="minorHAnsi"/>
          <w:sz w:val="24"/>
          <w:szCs w:val="24"/>
        </w:rPr>
      </w:pPr>
      <w:r w:rsidRPr="00A5324C">
        <w:rPr>
          <w:rFonts w:cstheme="minorHAnsi"/>
          <w:sz w:val="24"/>
          <w:szCs w:val="24"/>
        </w:rPr>
        <w:t xml:space="preserve">We </w:t>
      </w:r>
      <w:r>
        <w:rPr>
          <w:rFonts w:cstheme="minorHAnsi"/>
          <w:sz w:val="24"/>
          <w:szCs w:val="24"/>
        </w:rPr>
        <w:t>find</w:t>
      </w:r>
      <w:r w:rsidRPr="00A5324C">
        <w:rPr>
          <w:rFonts w:cstheme="minorHAnsi"/>
          <w:sz w:val="24"/>
          <w:szCs w:val="24"/>
        </w:rPr>
        <w:t xml:space="preserve"> the rate of change in cooking energy demand across regions varies. In developed regions, we see little change in reference scenarios as</w:t>
      </w:r>
      <w:r>
        <w:rPr>
          <w:rFonts w:cstheme="minorHAnsi"/>
          <w:sz w:val="24"/>
          <w:szCs w:val="24"/>
        </w:rPr>
        <w:t xml:space="preserve"> </w:t>
      </w:r>
      <w:r w:rsidRPr="00A5324C">
        <w:rPr>
          <w:rFonts w:cstheme="minorHAnsi"/>
          <w:sz w:val="24"/>
          <w:szCs w:val="24"/>
        </w:rPr>
        <w:t xml:space="preserve">there is little transition in fuels over </w:t>
      </w:r>
      <w:r w:rsidRPr="00A5324C">
        <w:rPr>
          <w:rFonts w:cstheme="minorHAnsi"/>
          <w:sz w:val="24"/>
          <w:szCs w:val="24"/>
        </w:rPr>
        <w:lastRenderedPageBreak/>
        <w:t>time and population and urbanization remain</w:t>
      </w:r>
      <w:r w:rsidR="00B47A01">
        <w:rPr>
          <w:rFonts w:cstheme="minorHAnsi"/>
          <w:sz w:val="24"/>
          <w:szCs w:val="24"/>
        </w:rPr>
        <w:t xml:space="preserve"> </w:t>
      </w:r>
      <w:r w:rsidR="00B40136">
        <w:rPr>
          <w:rFonts w:cstheme="minorHAnsi"/>
          <w:sz w:val="24"/>
          <w:szCs w:val="24"/>
        </w:rPr>
        <w:t xml:space="preserve">quite </w:t>
      </w:r>
      <w:r w:rsidR="007A13EB" w:rsidRPr="00A5324C">
        <w:rPr>
          <w:rFonts w:cstheme="minorHAnsi"/>
          <w:sz w:val="24"/>
          <w:szCs w:val="24"/>
        </w:rPr>
        <w:t>stable</w:t>
      </w:r>
      <w:r w:rsidRPr="00A5324C">
        <w:rPr>
          <w:rFonts w:cstheme="minorHAnsi"/>
          <w:sz w:val="24"/>
          <w:szCs w:val="24"/>
        </w:rPr>
        <w:t>. In emerging and developing regions, like CPA, income growth and urbanization result in shifts from less e</w:t>
      </w:r>
      <w:r w:rsidR="00B47A01">
        <w:rPr>
          <w:rFonts w:cstheme="minorHAnsi"/>
          <w:sz w:val="24"/>
          <w:szCs w:val="24"/>
        </w:rPr>
        <w:t>ffi</w:t>
      </w:r>
      <w:r w:rsidRPr="00A5324C">
        <w:rPr>
          <w:rFonts w:cstheme="minorHAnsi"/>
          <w:sz w:val="24"/>
          <w:szCs w:val="24"/>
        </w:rPr>
        <w:t>cient to</w:t>
      </w:r>
      <w:r w:rsidR="00B47A01">
        <w:rPr>
          <w:rFonts w:cstheme="minorHAnsi"/>
          <w:sz w:val="24"/>
          <w:szCs w:val="24"/>
        </w:rPr>
        <w:t xml:space="preserve"> </w:t>
      </w:r>
      <w:r w:rsidR="00B85916" w:rsidRPr="00B85916">
        <w:rPr>
          <w:rFonts w:cstheme="minorHAnsi"/>
          <w:sz w:val="24"/>
          <w:szCs w:val="24"/>
        </w:rPr>
        <w:t>more e</w:t>
      </w:r>
      <w:r w:rsidR="00B85916">
        <w:rPr>
          <w:rFonts w:cstheme="minorHAnsi"/>
          <w:sz w:val="24"/>
          <w:szCs w:val="24"/>
        </w:rPr>
        <w:t>ffi</w:t>
      </w:r>
      <w:r w:rsidR="00B85916" w:rsidRPr="00B85916">
        <w:rPr>
          <w:rFonts w:cstheme="minorHAnsi"/>
          <w:sz w:val="24"/>
          <w:szCs w:val="24"/>
        </w:rPr>
        <w:t xml:space="preserve">cient fuels, but population </w:t>
      </w:r>
      <w:r w:rsidR="00D735C6">
        <w:rPr>
          <w:rFonts w:cstheme="minorHAnsi"/>
          <w:sz w:val="24"/>
          <w:szCs w:val="24"/>
        </w:rPr>
        <w:t>shifts</w:t>
      </w:r>
      <w:r w:rsidR="00D735C6" w:rsidRPr="00B85916">
        <w:rPr>
          <w:rFonts w:cstheme="minorHAnsi"/>
          <w:sz w:val="24"/>
          <w:szCs w:val="24"/>
        </w:rPr>
        <w:t xml:space="preserve"> </w:t>
      </w:r>
      <w:r w:rsidR="00B85916" w:rsidRPr="00B85916">
        <w:rPr>
          <w:rFonts w:cstheme="minorHAnsi"/>
          <w:sz w:val="24"/>
          <w:szCs w:val="24"/>
        </w:rPr>
        <w:t>could mean relatively little change in total cooking</w:t>
      </w:r>
      <w:r w:rsidR="00B85916">
        <w:rPr>
          <w:rFonts w:cstheme="minorHAnsi"/>
          <w:sz w:val="24"/>
          <w:szCs w:val="24"/>
        </w:rPr>
        <w:t xml:space="preserve"> </w:t>
      </w:r>
      <w:r w:rsidR="00B85916" w:rsidRPr="00B85916">
        <w:rPr>
          <w:rFonts w:cstheme="minorHAnsi"/>
          <w:sz w:val="24"/>
          <w:szCs w:val="24"/>
        </w:rPr>
        <w:t>energy demand. On the other hand, in AFR</w:t>
      </w:r>
      <w:r w:rsidR="00F162C0">
        <w:rPr>
          <w:rFonts w:cstheme="minorHAnsi"/>
          <w:sz w:val="24"/>
          <w:szCs w:val="24"/>
        </w:rPr>
        <w:t>,</w:t>
      </w:r>
      <w:r w:rsidR="00B85916" w:rsidRPr="00B85916">
        <w:rPr>
          <w:rFonts w:cstheme="minorHAnsi"/>
          <w:sz w:val="24"/>
          <w:szCs w:val="24"/>
        </w:rPr>
        <w:t xml:space="preserve"> total cooking energy demand could increase</w:t>
      </w:r>
      <w:r w:rsidR="00B85916">
        <w:rPr>
          <w:rFonts w:cstheme="minorHAnsi"/>
          <w:sz w:val="24"/>
          <w:szCs w:val="24"/>
        </w:rPr>
        <w:t xml:space="preserve"> </w:t>
      </w:r>
      <w:r w:rsidR="00B85916" w:rsidRPr="00B85916">
        <w:rPr>
          <w:rFonts w:cstheme="minorHAnsi"/>
          <w:sz w:val="24"/>
          <w:szCs w:val="24"/>
        </w:rPr>
        <w:t>over time, on account of rapid population growth and a slow transition away from</w:t>
      </w:r>
      <w:r w:rsidR="00B85916">
        <w:rPr>
          <w:rFonts w:cstheme="minorHAnsi"/>
          <w:sz w:val="24"/>
          <w:szCs w:val="24"/>
        </w:rPr>
        <w:t xml:space="preserve"> </w:t>
      </w:r>
      <w:r w:rsidR="00B85916" w:rsidRPr="00B85916">
        <w:rPr>
          <w:rFonts w:cstheme="minorHAnsi"/>
          <w:sz w:val="24"/>
          <w:szCs w:val="24"/>
        </w:rPr>
        <w:t xml:space="preserve">polluting </w:t>
      </w:r>
      <w:r w:rsidR="00B8039E">
        <w:rPr>
          <w:rFonts w:cstheme="minorHAnsi"/>
          <w:sz w:val="24"/>
          <w:szCs w:val="24"/>
        </w:rPr>
        <w:t>stoves</w:t>
      </w:r>
      <w:r w:rsidR="00B85916" w:rsidRPr="00B85916">
        <w:rPr>
          <w:rFonts w:cstheme="minorHAnsi"/>
          <w:sz w:val="24"/>
          <w:szCs w:val="24"/>
        </w:rPr>
        <w:t xml:space="preserve">. We </w:t>
      </w:r>
      <w:r w:rsidR="007E28D6" w:rsidRPr="00B85916">
        <w:rPr>
          <w:rFonts w:cstheme="minorHAnsi"/>
          <w:sz w:val="24"/>
          <w:szCs w:val="24"/>
        </w:rPr>
        <w:t xml:space="preserve">also </w:t>
      </w:r>
      <w:r w:rsidR="007E28D6">
        <w:rPr>
          <w:rFonts w:cstheme="minorHAnsi"/>
          <w:sz w:val="24"/>
          <w:szCs w:val="24"/>
        </w:rPr>
        <w:t>find</w:t>
      </w:r>
      <w:r w:rsidR="00B85916" w:rsidRPr="00B85916">
        <w:rPr>
          <w:rFonts w:cstheme="minorHAnsi"/>
          <w:sz w:val="24"/>
          <w:szCs w:val="24"/>
        </w:rPr>
        <w:t xml:space="preserve"> demand </w:t>
      </w:r>
      <w:r w:rsidR="00EA08F9">
        <w:rPr>
          <w:rFonts w:cstheme="minorHAnsi"/>
          <w:sz w:val="24"/>
          <w:szCs w:val="24"/>
        </w:rPr>
        <w:t>may</w:t>
      </w:r>
      <w:r w:rsidR="00B85916">
        <w:rPr>
          <w:rFonts w:cstheme="minorHAnsi"/>
          <w:sz w:val="24"/>
          <w:szCs w:val="24"/>
        </w:rPr>
        <w:t xml:space="preserve"> </w:t>
      </w:r>
      <w:r w:rsidR="00B85916" w:rsidRPr="00B85916">
        <w:rPr>
          <w:rFonts w:cstheme="minorHAnsi"/>
          <w:sz w:val="24"/>
          <w:szCs w:val="24"/>
        </w:rPr>
        <w:t>rise initially in the region, as populations move out of extreme poverty. Cooking energy demand</w:t>
      </w:r>
      <w:r w:rsidR="007E28D6">
        <w:rPr>
          <w:rFonts w:cstheme="minorHAnsi"/>
          <w:sz w:val="24"/>
          <w:szCs w:val="24"/>
        </w:rPr>
        <w:t xml:space="preserve"> </w:t>
      </w:r>
      <w:r w:rsidR="00B85916" w:rsidRPr="00B85916">
        <w:rPr>
          <w:rFonts w:cstheme="minorHAnsi"/>
          <w:sz w:val="24"/>
          <w:szCs w:val="24"/>
        </w:rPr>
        <w:t>can rise if households increase cooking frequency or shift diets to eating di</w:t>
      </w:r>
      <w:r w:rsidR="007E28D6">
        <w:rPr>
          <w:rFonts w:cstheme="minorHAnsi"/>
          <w:sz w:val="24"/>
          <w:szCs w:val="24"/>
        </w:rPr>
        <w:t>ff</w:t>
      </w:r>
      <w:r w:rsidR="00B85916" w:rsidRPr="00B85916">
        <w:rPr>
          <w:rFonts w:cstheme="minorHAnsi"/>
          <w:sz w:val="24"/>
          <w:szCs w:val="24"/>
        </w:rPr>
        <w:t>erent foods</w:t>
      </w:r>
      <w:r w:rsidR="00EA08F9">
        <w:rPr>
          <w:rFonts w:cstheme="minorHAnsi"/>
          <w:sz w:val="24"/>
          <w:szCs w:val="24"/>
        </w:rPr>
        <w:t>,</w:t>
      </w:r>
      <w:r w:rsidR="00B85916" w:rsidRPr="00B85916">
        <w:rPr>
          <w:rFonts w:cstheme="minorHAnsi"/>
          <w:sz w:val="24"/>
          <w:szCs w:val="24"/>
        </w:rPr>
        <w:t xml:space="preserve"> or simply,</w:t>
      </w:r>
      <w:r w:rsidR="007E28D6">
        <w:rPr>
          <w:rFonts w:cstheme="minorHAnsi"/>
          <w:sz w:val="24"/>
          <w:szCs w:val="24"/>
        </w:rPr>
        <w:t xml:space="preserve"> </w:t>
      </w:r>
      <w:r w:rsidR="00B85916" w:rsidRPr="00B85916">
        <w:rPr>
          <w:rFonts w:cstheme="minorHAnsi"/>
          <w:sz w:val="24"/>
          <w:szCs w:val="24"/>
        </w:rPr>
        <w:t>cook more food.</w:t>
      </w:r>
    </w:p>
    <w:p w14:paraId="4C7324AA" w14:textId="7852595B" w:rsidR="00B14767" w:rsidRDefault="00B14767" w:rsidP="00B85916">
      <w:pPr>
        <w:autoSpaceDE w:val="0"/>
        <w:autoSpaceDN w:val="0"/>
        <w:adjustRightInd w:val="0"/>
        <w:jc w:val="both"/>
        <w:rPr>
          <w:rFonts w:cstheme="minorHAnsi"/>
          <w:sz w:val="24"/>
          <w:szCs w:val="24"/>
        </w:rPr>
      </w:pPr>
    </w:p>
    <w:p w14:paraId="16FDAAE0" w14:textId="3F68465E" w:rsidR="00B14767" w:rsidRPr="00B14767" w:rsidRDefault="00B14767" w:rsidP="00B14767">
      <w:pPr>
        <w:autoSpaceDE w:val="0"/>
        <w:autoSpaceDN w:val="0"/>
        <w:adjustRightInd w:val="0"/>
        <w:jc w:val="both"/>
        <w:rPr>
          <w:rFonts w:cstheme="minorHAnsi"/>
          <w:sz w:val="24"/>
          <w:szCs w:val="24"/>
        </w:rPr>
      </w:pPr>
      <w:r w:rsidRPr="00B14767">
        <w:rPr>
          <w:rFonts w:cstheme="minorHAnsi"/>
          <w:sz w:val="24"/>
          <w:szCs w:val="24"/>
        </w:rPr>
        <w:t>Di</w:t>
      </w:r>
      <w:r>
        <w:rPr>
          <w:rFonts w:cstheme="minorHAnsi"/>
          <w:sz w:val="24"/>
          <w:szCs w:val="24"/>
        </w:rPr>
        <w:t>ff</w:t>
      </w:r>
      <w:r w:rsidRPr="00B14767">
        <w:rPr>
          <w:rFonts w:cstheme="minorHAnsi"/>
          <w:sz w:val="24"/>
          <w:szCs w:val="24"/>
        </w:rPr>
        <w:t>erences in the average per capita cooking energy demand in the year 2030 by scenario are</w:t>
      </w:r>
    </w:p>
    <w:p w14:paraId="0A3B02D4" w14:textId="3A37FA78" w:rsidR="00B14767" w:rsidRDefault="00B14767" w:rsidP="00B14767">
      <w:pPr>
        <w:autoSpaceDE w:val="0"/>
        <w:autoSpaceDN w:val="0"/>
        <w:adjustRightInd w:val="0"/>
        <w:jc w:val="both"/>
        <w:rPr>
          <w:rFonts w:cstheme="minorHAnsi"/>
          <w:sz w:val="24"/>
          <w:szCs w:val="24"/>
        </w:rPr>
      </w:pPr>
      <w:r w:rsidRPr="00B14767">
        <w:rPr>
          <w:rFonts w:cstheme="minorHAnsi"/>
          <w:sz w:val="24"/>
          <w:szCs w:val="24"/>
        </w:rPr>
        <w:t>depicted in Figure 2</w:t>
      </w:r>
      <w:r w:rsidR="009D355E">
        <w:rPr>
          <w:rFonts w:cstheme="minorHAnsi"/>
          <w:sz w:val="24"/>
          <w:szCs w:val="24"/>
        </w:rPr>
        <w:t xml:space="preserve"> (b) and (c)</w:t>
      </w:r>
      <w:r w:rsidRPr="00B14767">
        <w:rPr>
          <w:rFonts w:cstheme="minorHAnsi"/>
          <w:sz w:val="24"/>
          <w:szCs w:val="24"/>
        </w:rPr>
        <w:t>. We distinguish regions that are more dependent</w:t>
      </w:r>
      <w:r>
        <w:rPr>
          <w:rFonts w:cstheme="minorHAnsi"/>
          <w:sz w:val="24"/>
          <w:szCs w:val="24"/>
        </w:rPr>
        <w:t xml:space="preserve"> </w:t>
      </w:r>
      <w:r w:rsidRPr="00B14767">
        <w:rPr>
          <w:rFonts w:cstheme="minorHAnsi"/>
          <w:sz w:val="24"/>
          <w:szCs w:val="24"/>
        </w:rPr>
        <w:t>on biomass (</w:t>
      </w:r>
      <w:r w:rsidR="007A13EB" w:rsidRPr="00B14767">
        <w:rPr>
          <w:rFonts w:cstheme="minorHAnsi"/>
          <w:sz w:val="24"/>
          <w:szCs w:val="24"/>
        </w:rPr>
        <w:t>i.e.,</w:t>
      </w:r>
      <w:r w:rsidRPr="00B14767">
        <w:rPr>
          <w:rFonts w:cstheme="minorHAnsi"/>
          <w:sz w:val="24"/>
          <w:szCs w:val="24"/>
        </w:rPr>
        <w:t xml:space="preserve"> AFR, LAM, PAS and SAS)</w:t>
      </w:r>
      <w:r w:rsidR="00CA7306">
        <w:rPr>
          <w:rFonts w:cstheme="minorHAnsi"/>
          <w:sz w:val="24"/>
          <w:szCs w:val="24"/>
        </w:rPr>
        <w:t>,</w:t>
      </w:r>
      <w:r w:rsidRPr="00B14767">
        <w:rPr>
          <w:rFonts w:cstheme="minorHAnsi"/>
          <w:sz w:val="24"/>
          <w:szCs w:val="24"/>
        </w:rPr>
        <w:t xml:space="preserve"> from other regions of the world that are not. The</w:t>
      </w:r>
      <w:r w:rsidR="00054A81">
        <w:rPr>
          <w:rFonts w:cstheme="minorHAnsi"/>
          <w:sz w:val="24"/>
          <w:szCs w:val="24"/>
        </w:rPr>
        <w:t xml:space="preserve"> </w:t>
      </w:r>
      <w:r w:rsidRPr="00B14767">
        <w:rPr>
          <w:rFonts w:cstheme="minorHAnsi"/>
          <w:sz w:val="24"/>
          <w:szCs w:val="24"/>
        </w:rPr>
        <w:t>di</w:t>
      </w:r>
      <w:r w:rsidR="00054A81">
        <w:rPr>
          <w:rFonts w:cstheme="minorHAnsi"/>
          <w:sz w:val="24"/>
          <w:szCs w:val="24"/>
        </w:rPr>
        <w:t>ff</w:t>
      </w:r>
      <w:r w:rsidRPr="00B14767">
        <w:rPr>
          <w:rFonts w:cstheme="minorHAnsi"/>
          <w:sz w:val="24"/>
          <w:szCs w:val="24"/>
        </w:rPr>
        <w:t xml:space="preserve">erences in average cooking energy demand between the two are stark. </w:t>
      </w:r>
      <w:r w:rsidR="00113EC3">
        <w:rPr>
          <w:rFonts w:cstheme="minorHAnsi"/>
          <w:sz w:val="24"/>
          <w:szCs w:val="24"/>
        </w:rPr>
        <w:t>D</w:t>
      </w:r>
      <w:r w:rsidRPr="00B14767">
        <w:rPr>
          <w:rFonts w:cstheme="minorHAnsi"/>
          <w:sz w:val="24"/>
          <w:szCs w:val="24"/>
        </w:rPr>
        <w:t>i</w:t>
      </w:r>
      <w:r w:rsidR="00054A81">
        <w:rPr>
          <w:rFonts w:cstheme="minorHAnsi"/>
          <w:sz w:val="24"/>
          <w:szCs w:val="24"/>
        </w:rPr>
        <w:t>ff</w:t>
      </w:r>
      <w:r w:rsidRPr="00B14767">
        <w:rPr>
          <w:rFonts w:cstheme="minorHAnsi"/>
          <w:sz w:val="24"/>
          <w:szCs w:val="24"/>
        </w:rPr>
        <w:t>erences are more pronounced for non-biomass dependent regions</w:t>
      </w:r>
      <w:r w:rsidR="0058396B">
        <w:rPr>
          <w:rFonts w:cstheme="minorHAnsi"/>
          <w:sz w:val="24"/>
          <w:szCs w:val="24"/>
        </w:rPr>
        <w:t xml:space="preserve"> (F</w:t>
      </w:r>
      <w:r w:rsidR="006B445C">
        <w:rPr>
          <w:rFonts w:cstheme="minorHAnsi"/>
          <w:sz w:val="24"/>
          <w:szCs w:val="24"/>
        </w:rPr>
        <w:t>igure 2(c))</w:t>
      </w:r>
      <w:r w:rsidRPr="00B14767">
        <w:rPr>
          <w:rFonts w:cstheme="minorHAnsi"/>
          <w:sz w:val="24"/>
          <w:szCs w:val="24"/>
        </w:rPr>
        <w:t>. In policy scenarios,</w:t>
      </w:r>
      <w:r w:rsidR="00054A81">
        <w:rPr>
          <w:rFonts w:cstheme="minorHAnsi"/>
          <w:sz w:val="24"/>
          <w:szCs w:val="24"/>
        </w:rPr>
        <w:t xml:space="preserve"> </w:t>
      </w:r>
      <w:r w:rsidR="005343D5" w:rsidRPr="00B14767">
        <w:rPr>
          <w:rFonts w:cstheme="minorHAnsi"/>
          <w:sz w:val="24"/>
          <w:szCs w:val="24"/>
        </w:rPr>
        <w:t xml:space="preserve">we </w:t>
      </w:r>
      <w:r w:rsidR="005343D5">
        <w:rPr>
          <w:rFonts w:cstheme="minorHAnsi"/>
          <w:sz w:val="24"/>
          <w:szCs w:val="24"/>
        </w:rPr>
        <w:t>find</w:t>
      </w:r>
      <w:r w:rsidRPr="00B14767">
        <w:rPr>
          <w:rFonts w:cstheme="minorHAnsi"/>
          <w:sz w:val="24"/>
          <w:szCs w:val="24"/>
        </w:rPr>
        <w:t xml:space="preserve"> cooking energy demand could be lower than in reference scenarios as consumption of gas</w:t>
      </w:r>
      <w:r w:rsidR="008638B6">
        <w:rPr>
          <w:rFonts w:cstheme="minorHAnsi"/>
          <w:sz w:val="24"/>
          <w:szCs w:val="24"/>
        </w:rPr>
        <w:t xml:space="preserve"> </w:t>
      </w:r>
      <w:r w:rsidRPr="00B14767">
        <w:rPr>
          <w:rFonts w:cstheme="minorHAnsi"/>
          <w:sz w:val="24"/>
          <w:szCs w:val="24"/>
        </w:rPr>
        <w:t>may decrease substantially, more so in regions that are not-biomass dependent to begin with, and</w:t>
      </w:r>
      <w:r w:rsidR="008638B6">
        <w:rPr>
          <w:rFonts w:cstheme="minorHAnsi"/>
          <w:sz w:val="24"/>
          <w:szCs w:val="24"/>
        </w:rPr>
        <w:t xml:space="preserve"> </w:t>
      </w:r>
      <w:r w:rsidRPr="00B14767">
        <w:rPr>
          <w:rFonts w:cstheme="minorHAnsi"/>
          <w:sz w:val="24"/>
          <w:szCs w:val="24"/>
        </w:rPr>
        <w:t xml:space="preserve">there could be an increase in electricity consumption instead. In the COVID scenario, </w:t>
      </w:r>
      <w:r w:rsidR="005343D5" w:rsidRPr="00B14767">
        <w:rPr>
          <w:rFonts w:cstheme="minorHAnsi"/>
          <w:sz w:val="24"/>
          <w:szCs w:val="24"/>
        </w:rPr>
        <w:t xml:space="preserve">we </w:t>
      </w:r>
      <w:r w:rsidR="005343D5">
        <w:rPr>
          <w:rFonts w:cstheme="minorHAnsi"/>
          <w:sz w:val="24"/>
          <w:szCs w:val="24"/>
        </w:rPr>
        <w:t>find</w:t>
      </w:r>
      <w:r w:rsidR="008638B6">
        <w:rPr>
          <w:rFonts w:cstheme="minorHAnsi"/>
          <w:sz w:val="24"/>
          <w:szCs w:val="24"/>
        </w:rPr>
        <w:t xml:space="preserve"> </w:t>
      </w:r>
      <w:r w:rsidRPr="00B14767">
        <w:rPr>
          <w:rFonts w:cstheme="minorHAnsi"/>
          <w:sz w:val="24"/>
          <w:szCs w:val="24"/>
        </w:rPr>
        <w:t>cooking demand could be lower than in the reference scenarios in the biomass-dependent regions,</w:t>
      </w:r>
      <w:r w:rsidR="008638B6">
        <w:rPr>
          <w:rFonts w:cstheme="minorHAnsi"/>
          <w:sz w:val="24"/>
          <w:szCs w:val="24"/>
        </w:rPr>
        <w:t xml:space="preserve"> </w:t>
      </w:r>
      <w:r w:rsidR="007A13EB" w:rsidRPr="00B14767">
        <w:rPr>
          <w:rFonts w:cstheme="minorHAnsi"/>
          <w:sz w:val="24"/>
          <w:szCs w:val="24"/>
        </w:rPr>
        <w:t>because of</w:t>
      </w:r>
      <w:r w:rsidRPr="00B14767">
        <w:rPr>
          <w:rFonts w:cstheme="minorHAnsi"/>
          <w:sz w:val="24"/>
          <w:szCs w:val="24"/>
        </w:rPr>
        <w:t xml:space="preserve"> lower income</w:t>
      </w:r>
      <w:r w:rsidR="007E02BF">
        <w:rPr>
          <w:rFonts w:cstheme="minorHAnsi"/>
          <w:sz w:val="24"/>
          <w:szCs w:val="24"/>
        </w:rPr>
        <w:t xml:space="preserve"> levels</w:t>
      </w:r>
      <w:r w:rsidR="008F274B">
        <w:rPr>
          <w:rFonts w:cstheme="minorHAnsi"/>
          <w:sz w:val="24"/>
          <w:szCs w:val="24"/>
        </w:rPr>
        <w:t xml:space="preserve"> (Figure 2(b))</w:t>
      </w:r>
      <w:r w:rsidRPr="00B14767">
        <w:rPr>
          <w:rFonts w:cstheme="minorHAnsi"/>
          <w:sz w:val="24"/>
          <w:szCs w:val="24"/>
        </w:rPr>
        <w:t>. In the non-biomass dependent regions too, biomass demand could be slightly higher in the COVID scenario.</w:t>
      </w:r>
      <w:r w:rsidR="008638B6">
        <w:rPr>
          <w:rFonts w:cstheme="minorHAnsi"/>
          <w:sz w:val="24"/>
          <w:szCs w:val="24"/>
        </w:rPr>
        <w:t xml:space="preserve"> </w:t>
      </w:r>
      <w:r w:rsidRPr="00B14767">
        <w:rPr>
          <w:rFonts w:cstheme="minorHAnsi"/>
          <w:sz w:val="24"/>
          <w:szCs w:val="24"/>
        </w:rPr>
        <w:t>More biomass use is also likely in the SSP3</w:t>
      </w:r>
      <w:r w:rsidR="008638B6">
        <w:rPr>
          <w:rFonts w:cstheme="minorHAnsi"/>
          <w:sz w:val="24"/>
          <w:szCs w:val="24"/>
        </w:rPr>
        <w:t xml:space="preserve"> </w:t>
      </w:r>
      <w:r w:rsidRPr="00B14767">
        <w:rPr>
          <w:rFonts w:cstheme="minorHAnsi"/>
          <w:sz w:val="24"/>
          <w:szCs w:val="24"/>
        </w:rPr>
        <w:t>reference scenario as compared to the SSP1 reference scenario.</w:t>
      </w:r>
    </w:p>
    <w:p w14:paraId="156977B7" w14:textId="0A226D18" w:rsidR="00585BFD" w:rsidRDefault="00585BFD" w:rsidP="00B14767">
      <w:pPr>
        <w:autoSpaceDE w:val="0"/>
        <w:autoSpaceDN w:val="0"/>
        <w:adjustRightInd w:val="0"/>
        <w:jc w:val="both"/>
        <w:rPr>
          <w:rFonts w:cstheme="minorHAnsi"/>
          <w:sz w:val="24"/>
          <w:szCs w:val="24"/>
        </w:rPr>
      </w:pPr>
    </w:p>
    <w:p w14:paraId="65BFDB60" w14:textId="23049B5A" w:rsidR="00585BFD" w:rsidRDefault="001174A7" w:rsidP="001174A7">
      <w:pPr>
        <w:autoSpaceDE w:val="0"/>
        <w:autoSpaceDN w:val="0"/>
        <w:adjustRightInd w:val="0"/>
        <w:rPr>
          <w:rFonts w:cstheme="minorHAnsi"/>
          <w:b/>
          <w:bCs/>
          <w:sz w:val="29"/>
          <w:szCs w:val="29"/>
        </w:rPr>
      </w:pPr>
      <w:r w:rsidRPr="001174A7">
        <w:rPr>
          <w:rFonts w:cstheme="minorHAnsi"/>
          <w:b/>
          <w:bCs/>
          <w:sz w:val="29"/>
          <w:szCs w:val="29"/>
        </w:rPr>
        <w:t>Cooking Energy Transitions</w:t>
      </w:r>
    </w:p>
    <w:p w14:paraId="02C89880" w14:textId="412C8AEE" w:rsidR="001174A7" w:rsidRDefault="68DD47F5" w:rsidP="00743873">
      <w:pPr>
        <w:tabs>
          <w:tab w:val="left" w:pos="6030"/>
        </w:tabs>
        <w:autoSpaceDE w:val="0"/>
        <w:autoSpaceDN w:val="0"/>
        <w:adjustRightInd w:val="0"/>
        <w:jc w:val="both"/>
        <w:rPr>
          <w:sz w:val="24"/>
          <w:szCs w:val="24"/>
        </w:rPr>
      </w:pPr>
      <w:r w:rsidRPr="39BF59DC">
        <w:rPr>
          <w:sz w:val="24"/>
          <w:szCs w:val="24"/>
        </w:rPr>
        <w:t>I</w:t>
      </w:r>
      <w:r w:rsidR="6A3CD610" w:rsidRPr="39BF59DC">
        <w:rPr>
          <w:sz w:val="24"/>
          <w:szCs w:val="24"/>
        </w:rPr>
        <w:t xml:space="preserve">n </w:t>
      </w:r>
      <w:r w:rsidRPr="39BF59DC">
        <w:rPr>
          <w:sz w:val="24"/>
          <w:szCs w:val="24"/>
        </w:rPr>
        <w:t xml:space="preserve">line with </w:t>
      </w:r>
      <w:r w:rsidR="6A3CD610" w:rsidRPr="39BF59DC">
        <w:rPr>
          <w:sz w:val="24"/>
          <w:szCs w:val="24"/>
        </w:rPr>
        <w:t>the literature</w:t>
      </w:r>
      <w:r w:rsidRPr="39BF59DC">
        <w:rPr>
          <w:sz w:val="24"/>
          <w:szCs w:val="24"/>
        </w:rPr>
        <w:t>, we observe</w:t>
      </w:r>
      <w:r w:rsidR="6A3CD610" w:rsidRPr="39BF59DC">
        <w:rPr>
          <w:sz w:val="24"/>
          <w:szCs w:val="24"/>
        </w:rPr>
        <w:t xml:space="preserve"> that rising incomes and urbanization</w:t>
      </w:r>
      <w:r w:rsidR="58EFF7EA" w:rsidRPr="39BF59DC">
        <w:rPr>
          <w:sz w:val="24"/>
          <w:szCs w:val="24"/>
        </w:rPr>
        <w:t xml:space="preserve"> drive a</w:t>
      </w:r>
      <w:r w:rsidR="6A3CD610" w:rsidRPr="39BF59DC">
        <w:rPr>
          <w:sz w:val="24"/>
          <w:szCs w:val="24"/>
        </w:rPr>
        <w:t xml:space="preserve"> transition to cleaner fuels and stoves </w:t>
      </w:r>
      <w:r w:rsidR="000B75AE" w:rsidRPr="39BF59DC">
        <w:rPr>
          <w:sz w:val="24"/>
          <w:szCs w:val="24"/>
        </w:rPr>
        <w:fldChar w:fldCharType="begin"/>
      </w:r>
      <w:r w:rsidR="000B75AE" w:rsidRPr="39BF59DC">
        <w:rPr>
          <w:sz w:val="24"/>
          <w:szCs w:val="24"/>
        </w:rPr>
        <w:instrText>ADDIN CSL_CITATION {"citationItems":[{"id":"ITEM-1","itemData":{"DOI":"10.1016/j.enpol.2011.08.016","ISSN":"0301-4215","author":[{"dropping-particle":"","family":"Foell","given":"Wesley","non-dropping-particle":"","parse-names":false,"suffix":""},{"dropping-particle":"","family":"Pachauri","given":"Shonali","non-dropping-particle":"","parse-names":false,"suffix":""},{"dropping-particle":"","family":"Spreng","given":"Daniel","non-dropping-particle":"","parse-names":false,"suffix":""},{"dropping-particle":"","family":"Zerriffi","given":"Hisham","non-dropping-particle":"","parse-names":false,"suffix":""}],"container-title":"Energy Policy","id":"ITEM-1","issue":"12","issued":{"date-parts":[["2011"]]},"page":"7487–7496","title":"Household cooking fuels and technologies in developing economies","type":"article-journal","volume":"39"},"uris":["http://www.mendeley.com/documents/?uuid=d5b2e2ba-96ea-3147-bfc1-5fa437fc419f"]},{"id":"ITEM-2","itemData":{"DOI":"10.1016/j.enpol.2018.08.041","ISSN":"0301-4215","author":[{"dropping-particle":"","family":"Coelho","given":"Suani Teixeira","non-dropping-particle":"","parse-names":false,"suffix":""},{"dropping-particle":"","family":"Sanches-Pereira","given":"Alessandro","non-dropping-particle":"","parse-names":false,"suffix":""},{"dropping-particle":"","family":"Tudeschini","given":"Luís Gustavo","non-dropping-particle":"","parse-names":false,"suffix":""},{"dropping-particle":"","family":"Goldemberg","given":"José","non-dropping-particle":"","parse-names":false,"suffix":""}],"container-title":"Energy Policy","id":"ITEM-2","issued":{"date-parts":[["2018"]]},"page":"41–52","title":"The energy transition history of fuelwood replacement for liquefied petroleum gas in Brazilian households from 1920 to 2016","type":"article-journal","volume":"123"},"uris":["http://www.mendeley.com/documents/?uuid=6d9b58e5-b939-387f-9ec8-630c1bbf16b5"]},{"id":"ITEM-3","itemData":{"author":[{"dropping-particle":"V","family":"Shankar","given":"Anita","non-dropping-particle":"","parse-names":false,"suffix":""},{"dropping-particle":"","family":"Quinn","given":"Ashlinn K","non-dropping-particle":"","parse-names":false,"suffix":""},{"dropping-particle":"","family":"Dickinson","given":"Katherine L","non-dropping-particle":"","parse-names":false,"suffix":""},{"dropping-particle":"","family":"Williams","given":"Kendra N","non-dropping-particle":"","parse-names":false,"suffix":""},{"dropping-particle":"","family":"Masera","given":"Omar","non-dropping-particle":"","parse-names":false,"suffix":""},{"dropping-particle":"","family":"Charron","given":"Dana","non-dropping-particle":"","parse-names":false,"suffix":""},{"dropping-particle":"","family":"Jack","given":"Darby","non-dropping-particle":"","parse-names":false,"suffix":""},{"dropping-particle":"","family":"Hyman","given":"Jasmine","non-dropping-particle":"","parse-names":false,"suffix":""},{"dropping-particle":"","family":"Pillarisetti","given":"Ajay","non-dropping-particle":"","parse-names":false,"suffix":""},{"dropping-particle":"","family":"Bailis","given":"Rob","non-dropping-particle":"","parse-names":false,"suffix":""},{"dropping-particle":"","family":"others","given":"","non-dropping-particle":"","parse-names":false,"suffix":""}],"container-title":"Energy Policy","id":"ITEM-3","issued":{"date-parts":[["2020"]]},"page":"111468","publisher":"Elsevier","title":"Everybody stacks: Lessons from household energy case studies to inform design principles for clean energy transitions","type":"article-journal","volume":"141"},"uris":["http://www.mendeley.com/documents/?uuid=91a9e73b-da3f-37fa-8abe-55b01b2f78b5"]}],"mendeley":{"formattedCitation":"&lt;sup&gt;17,26,27&lt;/sup&gt;","plainTextFormattedCitation":"17,26,27","previouslyFormattedCitation":"&lt;sup&gt;17,26,27&lt;/sup&gt;"},"properties":{"noteIndex":0},"schema":"https://github.com/citation-style-language/schema/raw/master/csl-citation.json"}</w:instrText>
      </w:r>
      <w:r w:rsidR="000B75AE" w:rsidRPr="39BF59DC">
        <w:rPr>
          <w:sz w:val="24"/>
          <w:szCs w:val="24"/>
        </w:rPr>
        <w:fldChar w:fldCharType="separate"/>
      </w:r>
      <w:r w:rsidR="729BCEF2" w:rsidRPr="39BF59DC">
        <w:rPr>
          <w:noProof/>
          <w:sz w:val="24"/>
          <w:szCs w:val="24"/>
          <w:vertAlign w:val="superscript"/>
        </w:rPr>
        <w:t>17,26,27</w:t>
      </w:r>
      <w:r w:rsidR="000B75AE" w:rsidRPr="39BF59DC">
        <w:rPr>
          <w:sz w:val="24"/>
          <w:szCs w:val="24"/>
        </w:rPr>
        <w:fldChar w:fldCharType="end"/>
      </w:r>
      <w:r w:rsidR="6A3CD610" w:rsidRPr="39BF59DC">
        <w:rPr>
          <w:sz w:val="24"/>
          <w:szCs w:val="24"/>
        </w:rPr>
        <w:t xml:space="preserve">. However, within and across regions, the nature and pace of this transition varies vastly depending on several factors beyond income. In Figure 3 </w:t>
      </w:r>
      <w:r w:rsidR="76582A83" w:rsidRPr="39BF59DC">
        <w:rPr>
          <w:sz w:val="24"/>
          <w:szCs w:val="24"/>
        </w:rPr>
        <w:t xml:space="preserve">and 4 </w:t>
      </w:r>
      <w:r w:rsidR="6A3CD610" w:rsidRPr="39BF59DC">
        <w:rPr>
          <w:sz w:val="24"/>
          <w:szCs w:val="24"/>
        </w:rPr>
        <w:t xml:space="preserve">we present total cooking energy mix in 2030 for the full income </w:t>
      </w:r>
      <w:r w:rsidR="076B0518" w:rsidRPr="39BF59DC">
        <w:rPr>
          <w:sz w:val="24"/>
          <w:szCs w:val="24"/>
        </w:rPr>
        <w:t xml:space="preserve">distribution </w:t>
      </w:r>
      <w:r w:rsidR="6A3CD610" w:rsidRPr="39BF59DC">
        <w:rPr>
          <w:sz w:val="24"/>
          <w:szCs w:val="24"/>
        </w:rPr>
        <w:t>by region and scenario, separately for rural and urban populations</w:t>
      </w:r>
      <w:r w:rsidR="2547E66F" w:rsidRPr="39BF59DC">
        <w:rPr>
          <w:sz w:val="24"/>
          <w:szCs w:val="24"/>
        </w:rPr>
        <w:t>, respectively</w:t>
      </w:r>
      <w:r w:rsidR="6A3CD610" w:rsidRPr="39BF59DC">
        <w:rPr>
          <w:sz w:val="24"/>
          <w:szCs w:val="24"/>
        </w:rPr>
        <w:t xml:space="preserve">. </w:t>
      </w:r>
      <w:r w:rsidR="712C737E" w:rsidRPr="39BF59DC">
        <w:rPr>
          <w:sz w:val="24"/>
          <w:szCs w:val="24"/>
        </w:rPr>
        <w:t>I</w:t>
      </w:r>
      <w:r w:rsidR="6A3CD610" w:rsidRPr="39BF59DC">
        <w:rPr>
          <w:sz w:val="24"/>
          <w:szCs w:val="24"/>
        </w:rPr>
        <w:t xml:space="preserve">ncome is presented in log scale </w:t>
      </w:r>
      <w:r w:rsidR="02799FE6" w:rsidRPr="39BF59DC">
        <w:rPr>
          <w:sz w:val="24"/>
          <w:szCs w:val="24"/>
        </w:rPr>
        <w:t>to</w:t>
      </w:r>
      <w:r w:rsidR="6A3CD610" w:rsidRPr="39BF59DC">
        <w:rPr>
          <w:sz w:val="24"/>
          <w:szCs w:val="24"/>
        </w:rPr>
        <w:t xml:space="preserve"> better visualize</w:t>
      </w:r>
      <w:r w:rsidR="15C99CAF" w:rsidRPr="39BF59DC">
        <w:rPr>
          <w:sz w:val="24"/>
          <w:szCs w:val="24"/>
        </w:rPr>
        <w:t xml:space="preserve"> </w:t>
      </w:r>
      <w:r w:rsidR="6A3CD610" w:rsidRPr="39BF59DC">
        <w:rPr>
          <w:sz w:val="24"/>
          <w:szCs w:val="24"/>
        </w:rPr>
        <w:t>the transitions at lower levels of income.</w:t>
      </w:r>
    </w:p>
    <w:p w14:paraId="163925FB" w14:textId="2972BB84" w:rsidR="00CB63B6" w:rsidRDefault="00CB63B6" w:rsidP="000B75AE">
      <w:pPr>
        <w:autoSpaceDE w:val="0"/>
        <w:autoSpaceDN w:val="0"/>
        <w:adjustRightInd w:val="0"/>
        <w:jc w:val="both"/>
        <w:rPr>
          <w:rFonts w:cstheme="minorHAnsi"/>
          <w:sz w:val="24"/>
          <w:szCs w:val="24"/>
        </w:rPr>
      </w:pPr>
    </w:p>
    <w:p w14:paraId="31908CAC" w14:textId="6C4C3B3C" w:rsidR="00CB63B6" w:rsidRDefault="00CB63B6" w:rsidP="00CB63B6">
      <w:pPr>
        <w:autoSpaceDE w:val="0"/>
        <w:autoSpaceDN w:val="0"/>
        <w:adjustRightInd w:val="0"/>
        <w:jc w:val="both"/>
        <w:rPr>
          <w:sz w:val="24"/>
          <w:szCs w:val="24"/>
        </w:rPr>
      </w:pPr>
      <w:r w:rsidRPr="39BF59DC">
        <w:rPr>
          <w:sz w:val="24"/>
          <w:szCs w:val="24"/>
        </w:rPr>
        <w:t>Clear di</w:t>
      </w:r>
      <w:r w:rsidR="00943546" w:rsidRPr="39BF59DC">
        <w:rPr>
          <w:sz w:val="24"/>
          <w:szCs w:val="24"/>
        </w:rPr>
        <w:t>ff</w:t>
      </w:r>
      <w:r w:rsidRPr="39BF59DC">
        <w:rPr>
          <w:sz w:val="24"/>
          <w:szCs w:val="24"/>
        </w:rPr>
        <w:t>erences in the pace and nature of the transition in cooking fuels across regions are</w:t>
      </w:r>
      <w:r w:rsidR="00943546" w:rsidRPr="39BF59DC">
        <w:rPr>
          <w:sz w:val="24"/>
          <w:szCs w:val="24"/>
        </w:rPr>
        <w:t xml:space="preserve"> </w:t>
      </w:r>
      <w:r w:rsidRPr="39BF59DC">
        <w:rPr>
          <w:sz w:val="24"/>
          <w:szCs w:val="24"/>
        </w:rPr>
        <w:t xml:space="preserve">evident. </w:t>
      </w:r>
      <w:r w:rsidR="00477FD5">
        <w:rPr>
          <w:sz w:val="24"/>
          <w:szCs w:val="24"/>
        </w:rPr>
        <w:t>I</w:t>
      </w:r>
      <w:r w:rsidRPr="39BF59DC">
        <w:rPr>
          <w:sz w:val="24"/>
          <w:szCs w:val="24"/>
        </w:rPr>
        <w:t>n rural CPA in the COVID scenario (top left panel of Figure 3b),</w:t>
      </w:r>
      <w:r w:rsidR="00943546" w:rsidRPr="39BF59DC">
        <w:rPr>
          <w:sz w:val="24"/>
          <w:szCs w:val="24"/>
        </w:rPr>
        <w:t xml:space="preserve"> </w:t>
      </w:r>
      <w:r w:rsidRPr="39BF59DC">
        <w:rPr>
          <w:sz w:val="24"/>
          <w:szCs w:val="24"/>
        </w:rPr>
        <w:t xml:space="preserve">we </w:t>
      </w:r>
      <w:r w:rsidR="00943546" w:rsidRPr="39BF59DC">
        <w:rPr>
          <w:sz w:val="24"/>
          <w:szCs w:val="24"/>
        </w:rPr>
        <w:t>fi</w:t>
      </w:r>
      <w:r w:rsidRPr="39BF59DC">
        <w:rPr>
          <w:sz w:val="24"/>
          <w:szCs w:val="24"/>
        </w:rPr>
        <w:t xml:space="preserve">nd most households </w:t>
      </w:r>
      <w:r w:rsidR="009F2912">
        <w:rPr>
          <w:sz w:val="24"/>
          <w:szCs w:val="24"/>
        </w:rPr>
        <w:t>with</w:t>
      </w:r>
      <w:r w:rsidRPr="39BF59DC">
        <w:rPr>
          <w:sz w:val="24"/>
          <w:szCs w:val="24"/>
        </w:rPr>
        <w:t xml:space="preserve"> incomes per capita between 5 and 7.5 log</w:t>
      </w:r>
      <w:r w:rsidR="00D44640" w:rsidRPr="39BF59DC">
        <w:rPr>
          <w:sz w:val="24"/>
          <w:szCs w:val="24"/>
        </w:rPr>
        <w:t>-</w:t>
      </w:r>
      <w:r w:rsidR="00943546" w:rsidRPr="39BF59DC">
        <w:rPr>
          <w:sz w:val="24"/>
          <w:szCs w:val="24"/>
        </w:rPr>
        <w:t>2</w:t>
      </w:r>
      <w:r w:rsidRPr="39BF59DC">
        <w:rPr>
          <w:sz w:val="24"/>
          <w:szCs w:val="24"/>
        </w:rPr>
        <w:t>010USD</w:t>
      </w:r>
      <w:r w:rsidR="00943546" w:rsidRPr="39BF59DC">
        <w:rPr>
          <w:sz w:val="24"/>
          <w:szCs w:val="24"/>
        </w:rPr>
        <w:t xml:space="preserve"> </w:t>
      </w:r>
      <w:r w:rsidRPr="39BF59DC">
        <w:rPr>
          <w:sz w:val="24"/>
          <w:szCs w:val="24"/>
        </w:rPr>
        <w:t>(</w:t>
      </w:r>
      <w:r w:rsidR="00824221" w:rsidRPr="39BF59DC">
        <w:rPr>
          <w:sz w:val="24"/>
          <w:szCs w:val="24"/>
        </w:rPr>
        <w:t>i.e.,</w:t>
      </w:r>
      <w:r w:rsidRPr="39BF59DC">
        <w:rPr>
          <w:sz w:val="24"/>
          <w:szCs w:val="24"/>
        </w:rPr>
        <w:t xml:space="preserve"> approx. less than 5USD per capita per day). </w:t>
      </w:r>
      <w:r w:rsidR="00F872DB">
        <w:rPr>
          <w:sz w:val="24"/>
          <w:szCs w:val="24"/>
        </w:rPr>
        <w:t>We see</w:t>
      </w:r>
      <w:r w:rsidR="00680DAB">
        <w:rPr>
          <w:sz w:val="24"/>
          <w:szCs w:val="24"/>
        </w:rPr>
        <w:t xml:space="preserve"> a</w:t>
      </w:r>
      <w:r w:rsidRPr="39BF59DC">
        <w:rPr>
          <w:sz w:val="24"/>
          <w:szCs w:val="24"/>
        </w:rPr>
        <w:t xml:space="preserve"> transition</w:t>
      </w:r>
      <w:r w:rsidR="001E79A9" w:rsidRPr="39BF59DC">
        <w:rPr>
          <w:sz w:val="24"/>
          <w:szCs w:val="24"/>
        </w:rPr>
        <w:t xml:space="preserve"> </w:t>
      </w:r>
      <w:r w:rsidRPr="39BF59DC">
        <w:rPr>
          <w:sz w:val="24"/>
          <w:szCs w:val="24"/>
        </w:rPr>
        <w:t xml:space="preserve">from </w:t>
      </w:r>
      <w:r w:rsidR="001E79A9" w:rsidRPr="39BF59DC">
        <w:rPr>
          <w:sz w:val="24"/>
          <w:szCs w:val="24"/>
        </w:rPr>
        <w:t>high firewood</w:t>
      </w:r>
      <w:r w:rsidRPr="39BF59DC">
        <w:rPr>
          <w:sz w:val="24"/>
          <w:szCs w:val="24"/>
        </w:rPr>
        <w:t xml:space="preserve"> dependence at low</w:t>
      </w:r>
      <w:r w:rsidR="00824221" w:rsidRPr="39BF59DC">
        <w:rPr>
          <w:sz w:val="24"/>
          <w:szCs w:val="24"/>
        </w:rPr>
        <w:t>er</w:t>
      </w:r>
      <w:r w:rsidRPr="39BF59DC">
        <w:rPr>
          <w:sz w:val="24"/>
          <w:szCs w:val="24"/>
        </w:rPr>
        <w:t xml:space="preserve"> income levels, to almost equal shares </w:t>
      </w:r>
      <w:r w:rsidR="001E79A9" w:rsidRPr="39BF59DC">
        <w:rPr>
          <w:sz w:val="24"/>
          <w:szCs w:val="24"/>
        </w:rPr>
        <w:t>of firewood</w:t>
      </w:r>
      <w:r w:rsidRPr="39BF59DC">
        <w:rPr>
          <w:sz w:val="24"/>
          <w:szCs w:val="24"/>
        </w:rPr>
        <w:t xml:space="preserve">, </w:t>
      </w:r>
      <w:r w:rsidR="00824221" w:rsidRPr="39BF59DC">
        <w:rPr>
          <w:sz w:val="24"/>
          <w:szCs w:val="24"/>
        </w:rPr>
        <w:t>gas,</w:t>
      </w:r>
      <w:r w:rsidRPr="39BF59DC">
        <w:rPr>
          <w:sz w:val="24"/>
          <w:szCs w:val="24"/>
        </w:rPr>
        <w:t xml:space="preserve"> and</w:t>
      </w:r>
      <w:r w:rsidR="001E79A9" w:rsidRPr="39BF59DC">
        <w:rPr>
          <w:sz w:val="24"/>
          <w:szCs w:val="24"/>
        </w:rPr>
        <w:t xml:space="preserve"> </w:t>
      </w:r>
      <w:r w:rsidRPr="39BF59DC">
        <w:rPr>
          <w:sz w:val="24"/>
          <w:szCs w:val="24"/>
        </w:rPr>
        <w:t>electricity at the highest income levels. Households at mid-income levels could still rely mostly</w:t>
      </w:r>
      <w:r w:rsidR="001E79A9" w:rsidRPr="39BF59DC">
        <w:rPr>
          <w:sz w:val="24"/>
          <w:szCs w:val="24"/>
        </w:rPr>
        <w:t xml:space="preserve"> </w:t>
      </w:r>
      <w:r w:rsidRPr="39BF59DC">
        <w:rPr>
          <w:sz w:val="24"/>
          <w:szCs w:val="24"/>
        </w:rPr>
        <w:t xml:space="preserve">on biomass fuels. By contrast, among urban households (top left panel of Figure </w:t>
      </w:r>
      <w:r w:rsidR="0CAB5C72" w:rsidRPr="39BF59DC">
        <w:rPr>
          <w:sz w:val="24"/>
          <w:szCs w:val="24"/>
        </w:rPr>
        <w:t>4b</w:t>
      </w:r>
      <w:r w:rsidRPr="39BF59DC">
        <w:rPr>
          <w:sz w:val="24"/>
          <w:szCs w:val="24"/>
        </w:rPr>
        <w:t>), income per</w:t>
      </w:r>
      <w:r w:rsidR="001E79A9" w:rsidRPr="39BF59DC">
        <w:rPr>
          <w:sz w:val="24"/>
          <w:szCs w:val="24"/>
        </w:rPr>
        <w:t xml:space="preserve"> </w:t>
      </w:r>
      <w:r w:rsidRPr="39BF59DC">
        <w:rPr>
          <w:sz w:val="24"/>
          <w:szCs w:val="24"/>
        </w:rPr>
        <w:t>capita levels range mostly between 6.25 and 8.75 log-2010USD (</w:t>
      </w:r>
      <w:r w:rsidR="00824221" w:rsidRPr="39BF59DC">
        <w:rPr>
          <w:sz w:val="24"/>
          <w:szCs w:val="24"/>
        </w:rPr>
        <w:t>i.e.,</w:t>
      </w:r>
      <w:r w:rsidRPr="39BF59DC">
        <w:rPr>
          <w:sz w:val="24"/>
          <w:szCs w:val="24"/>
        </w:rPr>
        <w:t xml:space="preserve"> up to approx. 17USD per</w:t>
      </w:r>
      <w:r w:rsidR="00D44640" w:rsidRPr="39BF59DC">
        <w:rPr>
          <w:sz w:val="24"/>
          <w:szCs w:val="24"/>
        </w:rPr>
        <w:t xml:space="preserve"> </w:t>
      </w:r>
      <w:r w:rsidRPr="39BF59DC">
        <w:rPr>
          <w:sz w:val="24"/>
          <w:szCs w:val="24"/>
        </w:rPr>
        <w:t>capita per day). These households are likely to depend mostly on gas and electricity. The pattern</w:t>
      </w:r>
      <w:r w:rsidR="00D44640" w:rsidRPr="39BF59DC">
        <w:rPr>
          <w:sz w:val="24"/>
          <w:szCs w:val="24"/>
        </w:rPr>
        <w:t xml:space="preserve"> </w:t>
      </w:r>
      <w:r w:rsidRPr="39BF59DC">
        <w:rPr>
          <w:sz w:val="24"/>
          <w:szCs w:val="24"/>
        </w:rPr>
        <w:t>varies greatly across other regions, even at comparable income levels. Nevertheless, overall, we</w:t>
      </w:r>
      <w:r w:rsidR="00D44640" w:rsidRPr="39BF59DC">
        <w:rPr>
          <w:sz w:val="24"/>
          <w:szCs w:val="24"/>
        </w:rPr>
        <w:t xml:space="preserve"> fi</w:t>
      </w:r>
      <w:r w:rsidRPr="39BF59DC">
        <w:rPr>
          <w:sz w:val="24"/>
          <w:szCs w:val="24"/>
        </w:rPr>
        <w:t>nd</w:t>
      </w:r>
      <w:r w:rsidR="00D44640" w:rsidRPr="39BF59DC">
        <w:rPr>
          <w:sz w:val="24"/>
          <w:szCs w:val="24"/>
        </w:rPr>
        <w:t xml:space="preserve"> </w:t>
      </w:r>
      <w:r w:rsidRPr="39BF59DC">
        <w:rPr>
          <w:sz w:val="24"/>
          <w:szCs w:val="24"/>
        </w:rPr>
        <w:t>a strong income e</w:t>
      </w:r>
      <w:r w:rsidR="00AD0D8A" w:rsidRPr="39BF59DC">
        <w:rPr>
          <w:sz w:val="24"/>
          <w:szCs w:val="24"/>
        </w:rPr>
        <w:t>ff</w:t>
      </w:r>
      <w:r w:rsidRPr="39BF59DC">
        <w:rPr>
          <w:sz w:val="24"/>
          <w:szCs w:val="24"/>
        </w:rPr>
        <w:t>ect on the choice of cooking fuels, with households at higher levels of income</w:t>
      </w:r>
      <w:r w:rsidR="00AD0D8A" w:rsidRPr="39BF59DC">
        <w:rPr>
          <w:sz w:val="24"/>
          <w:szCs w:val="24"/>
        </w:rPr>
        <w:t xml:space="preserve"> </w:t>
      </w:r>
      <w:r w:rsidRPr="39BF59DC">
        <w:rPr>
          <w:sz w:val="24"/>
          <w:szCs w:val="24"/>
        </w:rPr>
        <w:t xml:space="preserve">transitioning to using either gas or electricity in all regions, except </w:t>
      </w:r>
      <w:r w:rsidR="00405EC7">
        <w:rPr>
          <w:sz w:val="24"/>
          <w:szCs w:val="24"/>
        </w:rPr>
        <w:t>Middle East and North Africa (</w:t>
      </w:r>
      <w:r w:rsidRPr="39BF59DC">
        <w:rPr>
          <w:sz w:val="24"/>
          <w:szCs w:val="24"/>
        </w:rPr>
        <w:t>MEA</w:t>
      </w:r>
      <w:r w:rsidR="00405EC7">
        <w:rPr>
          <w:sz w:val="24"/>
          <w:szCs w:val="24"/>
        </w:rPr>
        <w:t>)</w:t>
      </w:r>
      <w:r w:rsidRPr="39BF59DC">
        <w:rPr>
          <w:sz w:val="24"/>
          <w:szCs w:val="24"/>
        </w:rPr>
        <w:t>, a region rich in fossil</w:t>
      </w:r>
      <w:r w:rsidR="00AD0D8A" w:rsidRPr="39BF59DC">
        <w:rPr>
          <w:sz w:val="24"/>
          <w:szCs w:val="24"/>
        </w:rPr>
        <w:t xml:space="preserve"> </w:t>
      </w:r>
      <w:r w:rsidRPr="39BF59DC">
        <w:rPr>
          <w:sz w:val="24"/>
          <w:szCs w:val="24"/>
        </w:rPr>
        <w:t xml:space="preserve">fuels and poor in biomass. In MEA, we </w:t>
      </w:r>
      <w:r w:rsidR="00AD0D8A" w:rsidRPr="39BF59DC">
        <w:rPr>
          <w:sz w:val="24"/>
          <w:szCs w:val="24"/>
        </w:rPr>
        <w:t>fi</w:t>
      </w:r>
      <w:r w:rsidRPr="39BF59DC">
        <w:rPr>
          <w:sz w:val="24"/>
          <w:szCs w:val="24"/>
        </w:rPr>
        <w:t>nd higher income households could continue to use cheap</w:t>
      </w:r>
      <w:r w:rsidR="00AD0D8A" w:rsidRPr="39BF59DC">
        <w:rPr>
          <w:sz w:val="24"/>
          <w:szCs w:val="24"/>
        </w:rPr>
        <w:t xml:space="preserve"> </w:t>
      </w:r>
      <w:r w:rsidRPr="39BF59DC">
        <w:rPr>
          <w:sz w:val="24"/>
          <w:szCs w:val="24"/>
        </w:rPr>
        <w:t>kerosene, in line with what we observe in the empirical data (see Methods section).</w:t>
      </w:r>
    </w:p>
    <w:p w14:paraId="228660AF" w14:textId="1837E63B" w:rsidR="00DF1B2B" w:rsidRDefault="00DF1B2B" w:rsidP="00CB63B6">
      <w:pPr>
        <w:autoSpaceDE w:val="0"/>
        <w:autoSpaceDN w:val="0"/>
        <w:adjustRightInd w:val="0"/>
        <w:jc w:val="both"/>
        <w:rPr>
          <w:rFonts w:cstheme="minorHAnsi"/>
          <w:sz w:val="24"/>
          <w:szCs w:val="24"/>
        </w:rPr>
      </w:pPr>
    </w:p>
    <w:p w14:paraId="338811F1" w14:textId="33E65112" w:rsidR="00DF1B2B" w:rsidRDefault="00C542CC" w:rsidP="00C542CC">
      <w:pPr>
        <w:autoSpaceDE w:val="0"/>
        <w:autoSpaceDN w:val="0"/>
        <w:adjustRightInd w:val="0"/>
        <w:jc w:val="both"/>
        <w:rPr>
          <w:rFonts w:cstheme="minorHAnsi"/>
          <w:sz w:val="24"/>
          <w:szCs w:val="24"/>
        </w:rPr>
      </w:pPr>
      <w:r w:rsidRPr="00C542CC">
        <w:rPr>
          <w:rFonts w:cstheme="minorHAnsi"/>
          <w:sz w:val="24"/>
          <w:szCs w:val="24"/>
        </w:rPr>
        <w:lastRenderedPageBreak/>
        <w:t xml:space="preserve">For </w:t>
      </w:r>
      <w:r w:rsidR="00D3249E" w:rsidRPr="00C542CC">
        <w:rPr>
          <w:rFonts w:cstheme="minorHAnsi"/>
          <w:sz w:val="24"/>
          <w:szCs w:val="24"/>
        </w:rPr>
        <w:t>low</w:t>
      </w:r>
      <w:r w:rsidR="00EB770F">
        <w:rPr>
          <w:rFonts w:cstheme="minorHAnsi"/>
          <w:sz w:val="24"/>
          <w:szCs w:val="24"/>
        </w:rPr>
        <w:t xml:space="preserve">er </w:t>
      </w:r>
      <w:r w:rsidR="00D3249E" w:rsidRPr="00C542CC">
        <w:rPr>
          <w:rFonts w:cstheme="minorHAnsi"/>
          <w:sz w:val="24"/>
          <w:szCs w:val="24"/>
        </w:rPr>
        <w:t>income</w:t>
      </w:r>
      <w:r w:rsidRPr="00C542CC">
        <w:rPr>
          <w:rFonts w:cstheme="minorHAnsi"/>
          <w:sz w:val="24"/>
          <w:szCs w:val="24"/>
        </w:rPr>
        <w:t xml:space="preserve"> rural households, especially in AFR and SAS, and, to a lesser extent, LAM,</w:t>
      </w:r>
      <w:r>
        <w:rPr>
          <w:rFonts w:cstheme="minorHAnsi"/>
          <w:sz w:val="24"/>
          <w:szCs w:val="24"/>
        </w:rPr>
        <w:t xml:space="preserve"> </w:t>
      </w:r>
      <w:r w:rsidRPr="00C542CC">
        <w:rPr>
          <w:rFonts w:cstheme="minorHAnsi"/>
          <w:sz w:val="24"/>
          <w:szCs w:val="24"/>
        </w:rPr>
        <w:t xml:space="preserve">we </w:t>
      </w:r>
      <w:r>
        <w:rPr>
          <w:rFonts w:cstheme="minorHAnsi"/>
          <w:sz w:val="24"/>
          <w:szCs w:val="24"/>
        </w:rPr>
        <w:t>find</w:t>
      </w:r>
      <w:r w:rsidRPr="00C542CC">
        <w:rPr>
          <w:rFonts w:cstheme="minorHAnsi"/>
          <w:sz w:val="24"/>
          <w:szCs w:val="24"/>
        </w:rPr>
        <w:t xml:space="preserve"> a </w:t>
      </w:r>
      <w:r w:rsidR="00D3249E">
        <w:rPr>
          <w:rFonts w:cstheme="minorHAnsi"/>
          <w:sz w:val="24"/>
          <w:szCs w:val="24"/>
        </w:rPr>
        <w:t>large</w:t>
      </w:r>
      <w:r w:rsidR="00D3249E" w:rsidRPr="00C542CC">
        <w:rPr>
          <w:rFonts w:cstheme="minorHAnsi"/>
          <w:sz w:val="24"/>
          <w:szCs w:val="24"/>
        </w:rPr>
        <w:t xml:space="preserve"> </w:t>
      </w:r>
      <w:r w:rsidRPr="00C542CC">
        <w:rPr>
          <w:rFonts w:cstheme="minorHAnsi"/>
          <w:sz w:val="24"/>
          <w:szCs w:val="24"/>
        </w:rPr>
        <w:t>share of total cooking energy demand could still be biomass-based even in</w:t>
      </w:r>
      <w:r w:rsidR="00DD0A29">
        <w:rPr>
          <w:rFonts w:cstheme="minorHAnsi"/>
          <w:sz w:val="24"/>
          <w:szCs w:val="24"/>
        </w:rPr>
        <w:t xml:space="preserve"> </w:t>
      </w:r>
      <w:r w:rsidRPr="00C542CC">
        <w:rPr>
          <w:rFonts w:cstheme="minorHAnsi"/>
          <w:sz w:val="24"/>
          <w:szCs w:val="24"/>
        </w:rPr>
        <w:t>2050</w:t>
      </w:r>
      <w:r w:rsidR="009407F0">
        <w:rPr>
          <w:rFonts w:cstheme="minorHAnsi"/>
          <w:sz w:val="24"/>
          <w:szCs w:val="24"/>
        </w:rPr>
        <w:t>, particularly</w:t>
      </w:r>
      <w:r w:rsidRPr="00C542CC">
        <w:rPr>
          <w:rFonts w:cstheme="minorHAnsi"/>
          <w:sz w:val="24"/>
          <w:szCs w:val="24"/>
        </w:rPr>
        <w:t xml:space="preserve"> in the COVID scenario. In climate mitigation policy scenarios too, an increase in prices</w:t>
      </w:r>
      <w:r>
        <w:rPr>
          <w:rFonts w:cstheme="minorHAnsi"/>
          <w:sz w:val="24"/>
          <w:szCs w:val="24"/>
        </w:rPr>
        <w:t xml:space="preserve"> </w:t>
      </w:r>
      <w:r w:rsidRPr="00C542CC">
        <w:rPr>
          <w:rFonts w:cstheme="minorHAnsi"/>
          <w:sz w:val="24"/>
          <w:szCs w:val="24"/>
        </w:rPr>
        <w:t>of fossil fuels, could increase dependence on biomass, with the price e</w:t>
      </w:r>
      <w:r>
        <w:rPr>
          <w:rFonts w:cstheme="minorHAnsi"/>
          <w:sz w:val="24"/>
          <w:szCs w:val="24"/>
        </w:rPr>
        <w:t>ff</w:t>
      </w:r>
      <w:r w:rsidRPr="00C542CC">
        <w:rPr>
          <w:rFonts w:cstheme="minorHAnsi"/>
          <w:sz w:val="24"/>
          <w:szCs w:val="24"/>
        </w:rPr>
        <w:t>ect dominating the income</w:t>
      </w:r>
      <w:r>
        <w:rPr>
          <w:rFonts w:cstheme="minorHAnsi"/>
          <w:sz w:val="24"/>
          <w:szCs w:val="24"/>
        </w:rPr>
        <w:t xml:space="preserve"> </w:t>
      </w:r>
      <w:r w:rsidRPr="00C542CC">
        <w:rPr>
          <w:rFonts w:cstheme="minorHAnsi"/>
          <w:sz w:val="24"/>
          <w:szCs w:val="24"/>
        </w:rPr>
        <w:t>e</w:t>
      </w:r>
      <w:r>
        <w:rPr>
          <w:rFonts w:cstheme="minorHAnsi"/>
          <w:sz w:val="24"/>
          <w:szCs w:val="24"/>
        </w:rPr>
        <w:t>ff</w:t>
      </w:r>
      <w:r w:rsidRPr="00C542CC">
        <w:rPr>
          <w:rFonts w:cstheme="minorHAnsi"/>
          <w:sz w:val="24"/>
          <w:szCs w:val="24"/>
        </w:rPr>
        <w:t xml:space="preserve">ect in determining the choice of fuels. Considering regional heterogeneity, in </w:t>
      </w:r>
      <w:r w:rsidR="00B01ECA" w:rsidRPr="00C542CC">
        <w:rPr>
          <w:rFonts w:cstheme="minorHAnsi"/>
          <w:sz w:val="24"/>
          <w:szCs w:val="24"/>
        </w:rPr>
        <w:t>AFR and SAS</w:t>
      </w:r>
      <w:r w:rsidR="00946198">
        <w:rPr>
          <w:rFonts w:cstheme="minorHAnsi"/>
          <w:sz w:val="24"/>
          <w:szCs w:val="24"/>
        </w:rPr>
        <w:t>, regions</w:t>
      </w:r>
      <w:r w:rsidR="00B01ECA" w:rsidRPr="00C542CC">
        <w:rPr>
          <w:rFonts w:cstheme="minorHAnsi"/>
          <w:sz w:val="24"/>
          <w:szCs w:val="24"/>
        </w:rPr>
        <w:t xml:space="preserve"> </w:t>
      </w:r>
      <w:r w:rsidR="00B01ECA">
        <w:rPr>
          <w:rFonts w:cstheme="minorHAnsi"/>
          <w:sz w:val="24"/>
          <w:szCs w:val="24"/>
        </w:rPr>
        <w:t>that are</w:t>
      </w:r>
      <w:r w:rsidRPr="00C542CC">
        <w:rPr>
          <w:rFonts w:cstheme="minorHAnsi"/>
          <w:sz w:val="24"/>
          <w:szCs w:val="24"/>
        </w:rPr>
        <w:t xml:space="preserve"> most acute</w:t>
      </w:r>
      <w:r w:rsidR="00B01ECA">
        <w:rPr>
          <w:rFonts w:cstheme="minorHAnsi"/>
          <w:sz w:val="24"/>
          <w:szCs w:val="24"/>
        </w:rPr>
        <w:t>ly</w:t>
      </w:r>
      <w:r w:rsidRPr="00C542CC">
        <w:rPr>
          <w:rFonts w:cstheme="minorHAnsi"/>
          <w:sz w:val="24"/>
          <w:szCs w:val="24"/>
        </w:rPr>
        <w:t xml:space="preserve"> </w:t>
      </w:r>
      <w:r w:rsidR="00B01ECA" w:rsidRPr="00C542CC">
        <w:rPr>
          <w:rFonts w:cstheme="minorHAnsi"/>
          <w:sz w:val="24"/>
          <w:szCs w:val="24"/>
        </w:rPr>
        <w:t>dependen</w:t>
      </w:r>
      <w:r w:rsidR="00B01ECA">
        <w:rPr>
          <w:rFonts w:cstheme="minorHAnsi"/>
          <w:sz w:val="24"/>
          <w:szCs w:val="24"/>
        </w:rPr>
        <w:t>t</w:t>
      </w:r>
      <w:r w:rsidR="00B01ECA" w:rsidRPr="00C542CC">
        <w:rPr>
          <w:rFonts w:cstheme="minorHAnsi"/>
          <w:sz w:val="24"/>
          <w:szCs w:val="24"/>
        </w:rPr>
        <w:t xml:space="preserve"> </w:t>
      </w:r>
      <w:r w:rsidRPr="00C542CC">
        <w:rPr>
          <w:rFonts w:cstheme="minorHAnsi"/>
          <w:sz w:val="24"/>
          <w:szCs w:val="24"/>
        </w:rPr>
        <w:t xml:space="preserve">on biomass today, </w:t>
      </w:r>
      <w:r w:rsidR="00D569D9" w:rsidRPr="00C542CC">
        <w:rPr>
          <w:rFonts w:cstheme="minorHAnsi"/>
          <w:sz w:val="24"/>
          <w:szCs w:val="24"/>
        </w:rPr>
        <w:t xml:space="preserve">we </w:t>
      </w:r>
      <w:r w:rsidR="00D569D9">
        <w:rPr>
          <w:rFonts w:cstheme="minorHAnsi"/>
          <w:sz w:val="24"/>
          <w:szCs w:val="24"/>
        </w:rPr>
        <w:t>find</w:t>
      </w:r>
      <w:r w:rsidRPr="00C542CC">
        <w:rPr>
          <w:rFonts w:cstheme="minorHAnsi"/>
          <w:sz w:val="24"/>
          <w:szCs w:val="24"/>
        </w:rPr>
        <w:t xml:space="preserve"> price sensitivity could be</w:t>
      </w:r>
      <w:r>
        <w:rPr>
          <w:rFonts w:cstheme="minorHAnsi"/>
          <w:sz w:val="24"/>
          <w:szCs w:val="24"/>
        </w:rPr>
        <w:t xml:space="preserve"> </w:t>
      </w:r>
      <w:r w:rsidRPr="00C542CC">
        <w:rPr>
          <w:rFonts w:cstheme="minorHAnsi"/>
          <w:sz w:val="24"/>
          <w:szCs w:val="24"/>
        </w:rPr>
        <w:t>higher under climate mitigation policy scenarios.</w:t>
      </w:r>
    </w:p>
    <w:p w14:paraId="25C0E7D9" w14:textId="748B2E2B" w:rsidR="00856108" w:rsidRDefault="00856108" w:rsidP="00C542CC">
      <w:pPr>
        <w:autoSpaceDE w:val="0"/>
        <w:autoSpaceDN w:val="0"/>
        <w:adjustRightInd w:val="0"/>
        <w:jc w:val="both"/>
        <w:rPr>
          <w:rFonts w:cstheme="minorHAnsi"/>
          <w:sz w:val="24"/>
          <w:szCs w:val="24"/>
        </w:rPr>
      </w:pPr>
    </w:p>
    <w:p w14:paraId="1A772C9F" w14:textId="329DF60A" w:rsidR="00856108" w:rsidRDefault="004A63AC" w:rsidP="00C542CC">
      <w:pPr>
        <w:autoSpaceDE w:val="0"/>
        <w:autoSpaceDN w:val="0"/>
        <w:adjustRightInd w:val="0"/>
        <w:jc w:val="both"/>
        <w:rPr>
          <w:rFonts w:cstheme="minorHAnsi"/>
          <w:sz w:val="24"/>
          <w:szCs w:val="24"/>
        </w:rPr>
      </w:pPr>
      <w:r w:rsidRPr="004A63AC">
        <w:drawing>
          <wp:inline distT="0" distB="0" distL="0" distR="0" wp14:anchorId="7803EFC7" wp14:editId="2DF5654F">
            <wp:extent cx="4615200" cy="484920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5200" cy="4849200"/>
                    </a:xfrm>
                    <a:prstGeom prst="rect">
                      <a:avLst/>
                    </a:prstGeom>
                    <a:noFill/>
                    <a:ln>
                      <a:noFill/>
                    </a:ln>
                  </pic:spPr>
                </pic:pic>
              </a:graphicData>
            </a:graphic>
          </wp:inline>
        </w:drawing>
      </w:r>
    </w:p>
    <w:p w14:paraId="4DA4A22F" w14:textId="02B24F70" w:rsidR="00D569D9" w:rsidRDefault="00322CD5" w:rsidP="00C542CC">
      <w:pPr>
        <w:autoSpaceDE w:val="0"/>
        <w:autoSpaceDN w:val="0"/>
        <w:adjustRightInd w:val="0"/>
        <w:jc w:val="both"/>
        <w:rPr>
          <w:rFonts w:cstheme="minorHAnsi"/>
          <w:sz w:val="24"/>
          <w:szCs w:val="24"/>
        </w:rPr>
      </w:pPr>
      <w:r w:rsidRPr="00322CD5">
        <w:rPr>
          <w:rFonts w:cstheme="minorHAnsi"/>
          <w:b/>
          <w:bCs/>
          <w:sz w:val="24"/>
          <w:szCs w:val="24"/>
        </w:rPr>
        <w:t>Figure 3</w:t>
      </w:r>
      <w:r w:rsidRPr="00322CD5">
        <w:rPr>
          <w:rFonts w:cstheme="minorHAnsi"/>
          <w:sz w:val="24"/>
          <w:szCs w:val="24"/>
        </w:rPr>
        <w:t>: Distribution of cooking fuels by income and scenario in 2030 for rural households overlaid with the population income distribution</w:t>
      </w:r>
    </w:p>
    <w:p w14:paraId="0036DA08" w14:textId="77777777" w:rsidR="00322CD5" w:rsidRDefault="00322CD5" w:rsidP="00C542CC">
      <w:pPr>
        <w:autoSpaceDE w:val="0"/>
        <w:autoSpaceDN w:val="0"/>
        <w:adjustRightInd w:val="0"/>
        <w:jc w:val="both"/>
        <w:rPr>
          <w:rFonts w:cstheme="minorHAnsi"/>
          <w:sz w:val="24"/>
          <w:szCs w:val="24"/>
        </w:rPr>
      </w:pPr>
    </w:p>
    <w:p w14:paraId="432ABF2F" w14:textId="12589DA5" w:rsidR="00D569D9" w:rsidRDefault="00D569D9" w:rsidP="00D569D9">
      <w:pPr>
        <w:autoSpaceDE w:val="0"/>
        <w:autoSpaceDN w:val="0"/>
        <w:adjustRightInd w:val="0"/>
        <w:jc w:val="both"/>
        <w:rPr>
          <w:rFonts w:cstheme="minorHAnsi"/>
          <w:sz w:val="24"/>
          <w:szCs w:val="24"/>
        </w:rPr>
      </w:pPr>
      <w:r w:rsidRPr="00D569D9">
        <w:rPr>
          <w:rFonts w:cstheme="minorHAnsi"/>
          <w:sz w:val="24"/>
          <w:szCs w:val="24"/>
        </w:rPr>
        <w:t>In addition to income, we see a clear</w:t>
      </w:r>
      <w:r>
        <w:rPr>
          <w:rFonts w:cstheme="minorHAnsi"/>
          <w:sz w:val="24"/>
          <w:szCs w:val="24"/>
        </w:rPr>
        <w:t xml:space="preserve"> </w:t>
      </w:r>
      <w:r w:rsidRPr="00D569D9">
        <w:rPr>
          <w:rFonts w:cstheme="minorHAnsi"/>
          <w:sz w:val="24"/>
          <w:szCs w:val="24"/>
        </w:rPr>
        <w:t>urban-rural divide</w:t>
      </w:r>
      <w:r w:rsidR="008E72BE">
        <w:rPr>
          <w:rFonts w:cstheme="minorHAnsi"/>
          <w:sz w:val="24"/>
          <w:szCs w:val="24"/>
        </w:rPr>
        <w:t xml:space="preserve"> in</w:t>
      </w:r>
      <w:r w:rsidR="008E72BE" w:rsidRPr="008E72BE">
        <w:rPr>
          <w:rFonts w:cstheme="minorHAnsi"/>
          <w:sz w:val="24"/>
          <w:szCs w:val="24"/>
        </w:rPr>
        <w:t xml:space="preserve"> </w:t>
      </w:r>
      <w:r w:rsidR="008E72BE" w:rsidRPr="00D569D9">
        <w:rPr>
          <w:rFonts w:cstheme="minorHAnsi"/>
          <w:sz w:val="24"/>
          <w:szCs w:val="24"/>
        </w:rPr>
        <w:t>fuel choice</w:t>
      </w:r>
      <w:r w:rsidRPr="00D569D9">
        <w:rPr>
          <w:rFonts w:cstheme="minorHAnsi"/>
          <w:sz w:val="24"/>
          <w:szCs w:val="24"/>
        </w:rPr>
        <w:t xml:space="preserve">, with even richer households in rural areas likely to continue relying on </w:t>
      </w:r>
      <w:r w:rsidR="00B8039E">
        <w:rPr>
          <w:rFonts w:cstheme="minorHAnsi"/>
          <w:sz w:val="24"/>
          <w:szCs w:val="24"/>
        </w:rPr>
        <w:t>solid</w:t>
      </w:r>
      <w:r w:rsidR="00B8039E" w:rsidRPr="00D569D9">
        <w:rPr>
          <w:rFonts w:cstheme="minorHAnsi"/>
          <w:sz w:val="24"/>
          <w:szCs w:val="24"/>
        </w:rPr>
        <w:t xml:space="preserve"> </w:t>
      </w:r>
      <w:r w:rsidRPr="00D569D9">
        <w:rPr>
          <w:rFonts w:cstheme="minorHAnsi"/>
          <w:sz w:val="24"/>
          <w:szCs w:val="24"/>
        </w:rPr>
        <w:t>fuels because of easy access to them and low accessibility of cleaner alternatives. Indeed, as</w:t>
      </w:r>
      <w:r>
        <w:rPr>
          <w:rFonts w:cstheme="minorHAnsi"/>
          <w:sz w:val="24"/>
          <w:szCs w:val="24"/>
        </w:rPr>
        <w:t xml:space="preserve"> </w:t>
      </w:r>
      <w:r w:rsidRPr="00D569D9">
        <w:rPr>
          <w:rFonts w:cstheme="minorHAnsi"/>
          <w:sz w:val="24"/>
          <w:szCs w:val="24"/>
        </w:rPr>
        <w:t>we can see from the example of CPA, there are stark di</w:t>
      </w:r>
      <w:r>
        <w:rPr>
          <w:rFonts w:cstheme="minorHAnsi"/>
          <w:sz w:val="24"/>
          <w:szCs w:val="24"/>
        </w:rPr>
        <w:t>ff</w:t>
      </w:r>
      <w:r w:rsidRPr="00D569D9">
        <w:rPr>
          <w:rFonts w:cstheme="minorHAnsi"/>
          <w:sz w:val="24"/>
          <w:szCs w:val="24"/>
        </w:rPr>
        <w:t xml:space="preserve">erences </w:t>
      </w:r>
      <w:r w:rsidR="003C768F">
        <w:rPr>
          <w:rFonts w:cstheme="minorHAnsi"/>
          <w:sz w:val="24"/>
          <w:szCs w:val="24"/>
        </w:rPr>
        <w:t>in</w:t>
      </w:r>
      <w:r w:rsidR="003C768F" w:rsidRPr="00D569D9">
        <w:rPr>
          <w:rFonts w:cstheme="minorHAnsi"/>
          <w:sz w:val="24"/>
          <w:szCs w:val="24"/>
        </w:rPr>
        <w:t xml:space="preserve"> </w:t>
      </w:r>
      <w:r w:rsidRPr="00D569D9">
        <w:rPr>
          <w:rFonts w:cstheme="minorHAnsi"/>
          <w:sz w:val="24"/>
          <w:szCs w:val="24"/>
        </w:rPr>
        <w:t>the choice of cooking</w:t>
      </w:r>
      <w:r>
        <w:rPr>
          <w:rFonts w:cstheme="minorHAnsi"/>
          <w:sz w:val="24"/>
          <w:szCs w:val="24"/>
        </w:rPr>
        <w:t xml:space="preserve"> </w:t>
      </w:r>
      <w:r w:rsidRPr="00D569D9">
        <w:rPr>
          <w:rFonts w:cstheme="minorHAnsi"/>
          <w:sz w:val="24"/>
          <w:szCs w:val="24"/>
        </w:rPr>
        <w:t>fuels between urban and rural household even at the same income levels. We observe this in other</w:t>
      </w:r>
      <w:r w:rsidR="00487FBB">
        <w:rPr>
          <w:rFonts w:cstheme="minorHAnsi"/>
          <w:sz w:val="24"/>
          <w:szCs w:val="24"/>
        </w:rPr>
        <w:t xml:space="preserve"> </w:t>
      </w:r>
      <w:r w:rsidRPr="00D569D9">
        <w:rPr>
          <w:rFonts w:cstheme="minorHAnsi"/>
          <w:sz w:val="24"/>
          <w:szCs w:val="24"/>
        </w:rPr>
        <w:t>regions of the world as well (</w:t>
      </w:r>
      <w:r w:rsidR="00411A64">
        <w:rPr>
          <w:rFonts w:cstheme="minorHAnsi"/>
          <w:sz w:val="24"/>
          <w:szCs w:val="24"/>
        </w:rPr>
        <w:t xml:space="preserve">see </w:t>
      </w:r>
      <w:r w:rsidR="00021226">
        <w:rPr>
          <w:rFonts w:cstheme="minorHAnsi"/>
          <w:sz w:val="24"/>
          <w:szCs w:val="24"/>
        </w:rPr>
        <w:t>Supplemen</w:t>
      </w:r>
      <w:r w:rsidR="00A863AA">
        <w:rPr>
          <w:rFonts w:cstheme="minorHAnsi"/>
          <w:sz w:val="24"/>
          <w:szCs w:val="24"/>
        </w:rPr>
        <w:t xml:space="preserve">tary </w:t>
      </w:r>
      <w:r w:rsidRPr="00D569D9">
        <w:rPr>
          <w:rFonts w:cstheme="minorHAnsi"/>
          <w:sz w:val="24"/>
          <w:szCs w:val="24"/>
        </w:rPr>
        <w:t xml:space="preserve">Figure </w:t>
      </w:r>
      <w:r w:rsidR="001B0838">
        <w:rPr>
          <w:rFonts w:cstheme="minorHAnsi"/>
          <w:sz w:val="24"/>
          <w:szCs w:val="24"/>
        </w:rPr>
        <w:t>S3)</w:t>
      </w:r>
      <w:r w:rsidRPr="00D569D9">
        <w:rPr>
          <w:rFonts w:cstheme="minorHAnsi"/>
          <w:sz w:val="24"/>
          <w:szCs w:val="24"/>
        </w:rPr>
        <w:t>.</w:t>
      </w:r>
    </w:p>
    <w:p w14:paraId="4E54A53C" w14:textId="77777777" w:rsidR="00487FBB" w:rsidRDefault="00487FBB" w:rsidP="00D569D9">
      <w:pPr>
        <w:autoSpaceDE w:val="0"/>
        <w:autoSpaceDN w:val="0"/>
        <w:adjustRightInd w:val="0"/>
        <w:jc w:val="both"/>
        <w:rPr>
          <w:rFonts w:cstheme="minorHAnsi"/>
          <w:sz w:val="24"/>
          <w:szCs w:val="24"/>
        </w:rPr>
      </w:pPr>
    </w:p>
    <w:p w14:paraId="632BFA27" w14:textId="3A3C4AB0" w:rsidR="00AD0D8A" w:rsidRDefault="00487FBB" w:rsidP="00487FBB">
      <w:pPr>
        <w:autoSpaceDE w:val="0"/>
        <w:autoSpaceDN w:val="0"/>
        <w:adjustRightInd w:val="0"/>
        <w:jc w:val="both"/>
        <w:rPr>
          <w:rFonts w:cstheme="minorHAnsi"/>
          <w:sz w:val="24"/>
          <w:szCs w:val="24"/>
        </w:rPr>
      </w:pPr>
      <w:r w:rsidRPr="00487FBB">
        <w:rPr>
          <w:rFonts w:cstheme="minorHAnsi"/>
          <w:sz w:val="24"/>
          <w:szCs w:val="24"/>
        </w:rPr>
        <w:t xml:space="preserve">Finally, we </w:t>
      </w:r>
      <w:r w:rsidR="00AE010E">
        <w:rPr>
          <w:rFonts w:cstheme="minorHAnsi"/>
          <w:sz w:val="24"/>
          <w:szCs w:val="24"/>
        </w:rPr>
        <w:t>fi</w:t>
      </w:r>
      <w:r w:rsidRPr="00487FBB">
        <w:rPr>
          <w:rFonts w:cstheme="minorHAnsi"/>
          <w:sz w:val="24"/>
          <w:szCs w:val="24"/>
        </w:rPr>
        <w:t xml:space="preserve">nd energy prices also </w:t>
      </w:r>
      <w:r w:rsidR="008E1531" w:rsidRPr="00487FBB">
        <w:rPr>
          <w:rFonts w:cstheme="minorHAnsi"/>
          <w:sz w:val="24"/>
          <w:szCs w:val="24"/>
        </w:rPr>
        <w:t>affect</w:t>
      </w:r>
      <w:r w:rsidRPr="00487FBB">
        <w:rPr>
          <w:rFonts w:cstheme="minorHAnsi"/>
          <w:sz w:val="24"/>
          <w:szCs w:val="24"/>
        </w:rPr>
        <w:t xml:space="preserve"> cooking fuel transition</w:t>
      </w:r>
      <w:r w:rsidR="006D1C45">
        <w:rPr>
          <w:rFonts w:cstheme="minorHAnsi"/>
          <w:sz w:val="24"/>
          <w:szCs w:val="24"/>
        </w:rPr>
        <w:t>s</w:t>
      </w:r>
      <w:r w:rsidRPr="00487FBB">
        <w:rPr>
          <w:rFonts w:cstheme="minorHAnsi"/>
          <w:sz w:val="24"/>
          <w:szCs w:val="24"/>
        </w:rPr>
        <w:t xml:space="preserve">. For instance, in </w:t>
      </w:r>
      <w:r w:rsidR="006D1C45">
        <w:rPr>
          <w:rFonts w:cstheme="minorHAnsi"/>
          <w:sz w:val="24"/>
          <w:szCs w:val="24"/>
        </w:rPr>
        <w:t>SAS</w:t>
      </w:r>
      <w:r w:rsidRPr="00487FBB">
        <w:rPr>
          <w:rFonts w:cstheme="minorHAnsi"/>
          <w:sz w:val="24"/>
          <w:szCs w:val="24"/>
        </w:rPr>
        <w:t xml:space="preserve">, we </w:t>
      </w:r>
      <w:r w:rsidR="00AE010E">
        <w:rPr>
          <w:rFonts w:cstheme="minorHAnsi"/>
          <w:sz w:val="24"/>
          <w:szCs w:val="24"/>
        </w:rPr>
        <w:t>fi</w:t>
      </w:r>
      <w:r w:rsidRPr="00487FBB">
        <w:rPr>
          <w:rFonts w:cstheme="minorHAnsi"/>
          <w:sz w:val="24"/>
          <w:szCs w:val="24"/>
        </w:rPr>
        <w:t xml:space="preserve">nd </w:t>
      </w:r>
      <w:r w:rsidR="00A41F96">
        <w:rPr>
          <w:rFonts w:cstheme="minorHAnsi"/>
          <w:sz w:val="24"/>
          <w:szCs w:val="24"/>
        </w:rPr>
        <w:t>that in</w:t>
      </w:r>
      <w:r w:rsidRPr="00487FBB">
        <w:rPr>
          <w:rFonts w:cstheme="minorHAnsi"/>
          <w:sz w:val="24"/>
          <w:szCs w:val="24"/>
        </w:rPr>
        <w:t xml:space="preserve"> climate</w:t>
      </w:r>
      <w:r w:rsidR="008E1531">
        <w:rPr>
          <w:rFonts w:cstheme="minorHAnsi"/>
          <w:sz w:val="24"/>
          <w:szCs w:val="24"/>
        </w:rPr>
        <w:t xml:space="preserve"> </w:t>
      </w:r>
      <w:r w:rsidRPr="00487FBB">
        <w:rPr>
          <w:rFonts w:cstheme="minorHAnsi"/>
          <w:sz w:val="24"/>
          <w:szCs w:val="24"/>
        </w:rPr>
        <w:t>mitigation policy scenarios, rising fossil fuel prices could push LPG</w:t>
      </w:r>
      <w:r w:rsidR="00F37D7E">
        <w:rPr>
          <w:rFonts w:cstheme="minorHAnsi"/>
          <w:sz w:val="24"/>
          <w:szCs w:val="24"/>
        </w:rPr>
        <w:t xml:space="preserve"> </w:t>
      </w:r>
      <w:r w:rsidRPr="00487FBB">
        <w:rPr>
          <w:rFonts w:cstheme="minorHAnsi"/>
          <w:sz w:val="24"/>
          <w:szCs w:val="24"/>
        </w:rPr>
        <w:t xml:space="preserve">out of reach </w:t>
      </w:r>
      <w:r w:rsidR="00E16AB7">
        <w:rPr>
          <w:rFonts w:cstheme="minorHAnsi"/>
          <w:sz w:val="24"/>
          <w:szCs w:val="24"/>
        </w:rPr>
        <w:t>of</w:t>
      </w:r>
      <w:r w:rsidR="00E16AB7" w:rsidRPr="00487FBB">
        <w:rPr>
          <w:rFonts w:cstheme="minorHAnsi"/>
          <w:sz w:val="24"/>
          <w:szCs w:val="24"/>
        </w:rPr>
        <w:t xml:space="preserve"> </w:t>
      </w:r>
      <w:r w:rsidRPr="00487FBB">
        <w:rPr>
          <w:rFonts w:cstheme="minorHAnsi"/>
          <w:sz w:val="24"/>
          <w:szCs w:val="24"/>
        </w:rPr>
        <w:t xml:space="preserve">many. However, </w:t>
      </w:r>
      <w:r w:rsidR="00E16AB7">
        <w:rPr>
          <w:rFonts w:cstheme="minorHAnsi"/>
          <w:sz w:val="24"/>
          <w:szCs w:val="24"/>
        </w:rPr>
        <w:t xml:space="preserve">future transitions in </w:t>
      </w:r>
      <w:r w:rsidRPr="00487FBB">
        <w:rPr>
          <w:rFonts w:cstheme="minorHAnsi"/>
          <w:sz w:val="24"/>
          <w:szCs w:val="24"/>
        </w:rPr>
        <w:t xml:space="preserve">this region remain the most uncertain, as there are </w:t>
      </w:r>
      <w:r w:rsidRPr="00487FBB">
        <w:rPr>
          <w:rFonts w:cstheme="minorHAnsi"/>
          <w:sz w:val="24"/>
          <w:szCs w:val="24"/>
        </w:rPr>
        <w:lastRenderedPageBreak/>
        <w:t>currently</w:t>
      </w:r>
      <w:r w:rsidR="00914815">
        <w:rPr>
          <w:rFonts w:cstheme="minorHAnsi"/>
          <w:sz w:val="24"/>
          <w:szCs w:val="24"/>
        </w:rPr>
        <w:t xml:space="preserve"> </w:t>
      </w:r>
      <w:r w:rsidRPr="00487FBB">
        <w:rPr>
          <w:rFonts w:cstheme="minorHAnsi"/>
          <w:sz w:val="24"/>
          <w:szCs w:val="24"/>
        </w:rPr>
        <w:t>strong policies to expand LPG access to even rural households in India. The e</w:t>
      </w:r>
      <w:r w:rsidR="00914815">
        <w:rPr>
          <w:rFonts w:cstheme="minorHAnsi"/>
          <w:sz w:val="24"/>
          <w:szCs w:val="24"/>
        </w:rPr>
        <w:t>ff</w:t>
      </w:r>
      <w:r w:rsidRPr="00487FBB">
        <w:rPr>
          <w:rFonts w:cstheme="minorHAnsi"/>
          <w:sz w:val="24"/>
          <w:szCs w:val="24"/>
        </w:rPr>
        <w:t>ect of these policies</w:t>
      </w:r>
      <w:r w:rsidR="00914815">
        <w:rPr>
          <w:rFonts w:cstheme="minorHAnsi"/>
          <w:sz w:val="24"/>
          <w:szCs w:val="24"/>
        </w:rPr>
        <w:t xml:space="preserve"> </w:t>
      </w:r>
      <w:proofErr w:type="gramStart"/>
      <w:r w:rsidR="000F3713">
        <w:rPr>
          <w:rFonts w:cstheme="minorHAnsi"/>
          <w:sz w:val="24"/>
          <w:szCs w:val="24"/>
        </w:rPr>
        <w:t>are</w:t>
      </w:r>
      <w:proofErr w:type="gramEnd"/>
      <w:r w:rsidRPr="00487FBB">
        <w:rPr>
          <w:rFonts w:cstheme="minorHAnsi"/>
          <w:sz w:val="24"/>
          <w:szCs w:val="24"/>
        </w:rPr>
        <w:t xml:space="preserve"> only </w:t>
      </w:r>
      <w:r w:rsidR="000F3713" w:rsidRPr="00487FBB">
        <w:rPr>
          <w:rFonts w:cstheme="minorHAnsi"/>
          <w:sz w:val="24"/>
          <w:szCs w:val="24"/>
        </w:rPr>
        <w:t>becom</w:t>
      </w:r>
      <w:r w:rsidR="000F3713">
        <w:rPr>
          <w:rFonts w:cstheme="minorHAnsi"/>
          <w:sz w:val="24"/>
          <w:szCs w:val="24"/>
        </w:rPr>
        <w:t>ing</w:t>
      </w:r>
      <w:r w:rsidR="000F3713" w:rsidRPr="00487FBB">
        <w:rPr>
          <w:rFonts w:cstheme="minorHAnsi"/>
          <w:sz w:val="24"/>
          <w:szCs w:val="24"/>
        </w:rPr>
        <w:t xml:space="preserve"> </w:t>
      </w:r>
      <w:r w:rsidRPr="00487FBB">
        <w:rPr>
          <w:rFonts w:cstheme="minorHAnsi"/>
          <w:sz w:val="24"/>
          <w:szCs w:val="24"/>
        </w:rPr>
        <w:t xml:space="preserve">evident </w:t>
      </w:r>
      <w:r w:rsidR="000F3713">
        <w:rPr>
          <w:rFonts w:cstheme="minorHAnsi"/>
          <w:sz w:val="24"/>
          <w:szCs w:val="24"/>
        </w:rPr>
        <w:t>now</w:t>
      </w:r>
      <w:r w:rsidR="00111386" w:rsidRPr="00487FBB">
        <w:rPr>
          <w:rFonts w:cstheme="minorHAnsi"/>
          <w:sz w:val="24"/>
          <w:szCs w:val="24"/>
        </w:rPr>
        <w:t xml:space="preserve"> and</w:t>
      </w:r>
      <w:r w:rsidRPr="00487FBB">
        <w:rPr>
          <w:rFonts w:cstheme="minorHAnsi"/>
          <w:sz w:val="24"/>
          <w:szCs w:val="24"/>
        </w:rPr>
        <w:t xml:space="preserve"> are not re</w:t>
      </w:r>
      <w:r w:rsidR="00914815">
        <w:rPr>
          <w:rFonts w:cstheme="minorHAnsi"/>
          <w:sz w:val="24"/>
          <w:szCs w:val="24"/>
        </w:rPr>
        <w:t>fl</w:t>
      </w:r>
      <w:r w:rsidRPr="00487FBB">
        <w:rPr>
          <w:rFonts w:cstheme="minorHAnsi"/>
          <w:sz w:val="24"/>
          <w:szCs w:val="24"/>
        </w:rPr>
        <w:t>ected in the data that we use</w:t>
      </w:r>
      <w:r w:rsidR="00914815">
        <w:rPr>
          <w:rFonts w:cstheme="minorHAnsi"/>
          <w:sz w:val="24"/>
          <w:szCs w:val="24"/>
        </w:rPr>
        <w:t xml:space="preserve"> </w:t>
      </w:r>
      <w:r w:rsidRPr="00487FBB">
        <w:rPr>
          <w:rFonts w:cstheme="minorHAnsi"/>
          <w:sz w:val="24"/>
          <w:szCs w:val="24"/>
        </w:rPr>
        <w:t>to estimate the parameters for this region (see Methods section).</w:t>
      </w:r>
    </w:p>
    <w:p w14:paraId="360A0440" w14:textId="3951DB93" w:rsidR="00FC694E" w:rsidRDefault="00FC694E" w:rsidP="00487FBB">
      <w:pPr>
        <w:autoSpaceDE w:val="0"/>
        <w:autoSpaceDN w:val="0"/>
        <w:adjustRightInd w:val="0"/>
        <w:jc w:val="both"/>
        <w:rPr>
          <w:rFonts w:cstheme="minorHAnsi"/>
          <w:sz w:val="24"/>
          <w:szCs w:val="24"/>
        </w:rPr>
      </w:pPr>
    </w:p>
    <w:p w14:paraId="14616574" w14:textId="49078D02" w:rsidR="00FC694E" w:rsidRDefault="00557933" w:rsidP="00487FBB">
      <w:pPr>
        <w:autoSpaceDE w:val="0"/>
        <w:autoSpaceDN w:val="0"/>
        <w:adjustRightInd w:val="0"/>
        <w:jc w:val="both"/>
        <w:rPr>
          <w:rFonts w:cstheme="minorHAnsi"/>
          <w:sz w:val="24"/>
          <w:szCs w:val="24"/>
        </w:rPr>
      </w:pPr>
      <w:r w:rsidRPr="00557933">
        <w:drawing>
          <wp:inline distT="0" distB="0" distL="0" distR="0" wp14:anchorId="38281197" wp14:editId="354F94AD">
            <wp:extent cx="4636800" cy="486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6800" cy="4867200"/>
                    </a:xfrm>
                    <a:prstGeom prst="rect">
                      <a:avLst/>
                    </a:prstGeom>
                    <a:noFill/>
                    <a:ln>
                      <a:noFill/>
                    </a:ln>
                  </pic:spPr>
                </pic:pic>
              </a:graphicData>
            </a:graphic>
          </wp:inline>
        </w:drawing>
      </w:r>
    </w:p>
    <w:p w14:paraId="41B96F9A" w14:textId="093A2F99" w:rsidR="00557933" w:rsidRDefault="00557933" w:rsidP="00487FBB">
      <w:pPr>
        <w:autoSpaceDE w:val="0"/>
        <w:autoSpaceDN w:val="0"/>
        <w:adjustRightInd w:val="0"/>
        <w:jc w:val="both"/>
        <w:rPr>
          <w:rFonts w:cstheme="minorHAnsi"/>
          <w:sz w:val="24"/>
          <w:szCs w:val="24"/>
        </w:rPr>
      </w:pPr>
      <w:r w:rsidRPr="00557933">
        <w:rPr>
          <w:rFonts w:cstheme="minorHAnsi"/>
          <w:b/>
          <w:bCs/>
          <w:sz w:val="24"/>
          <w:szCs w:val="24"/>
        </w:rPr>
        <w:t>Figure 4</w:t>
      </w:r>
      <w:r w:rsidRPr="00557933">
        <w:rPr>
          <w:rFonts w:cstheme="minorHAnsi"/>
          <w:sz w:val="24"/>
          <w:szCs w:val="24"/>
        </w:rPr>
        <w:t>: Distribution of cooking fuels by income and scenario in 2030 for urban households overlaid with the population income distribution.</w:t>
      </w:r>
    </w:p>
    <w:p w14:paraId="5992366B" w14:textId="593E81AF" w:rsidR="00ED6363" w:rsidRDefault="00ED6363" w:rsidP="00487FBB">
      <w:pPr>
        <w:autoSpaceDE w:val="0"/>
        <w:autoSpaceDN w:val="0"/>
        <w:adjustRightInd w:val="0"/>
        <w:jc w:val="both"/>
        <w:rPr>
          <w:rFonts w:cstheme="minorHAnsi"/>
          <w:sz w:val="24"/>
          <w:szCs w:val="24"/>
        </w:rPr>
      </w:pPr>
    </w:p>
    <w:p w14:paraId="4E01F61B" w14:textId="14250734" w:rsidR="00ED6363" w:rsidRDefault="00ED6363" w:rsidP="00ED6363">
      <w:pPr>
        <w:autoSpaceDE w:val="0"/>
        <w:autoSpaceDN w:val="0"/>
        <w:adjustRightInd w:val="0"/>
        <w:rPr>
          <w:rFonts w:cstheme="minorHAnsi"/>
          <w:b/>
          <w:bCs/>
          <w:sz w:val="29"/>
          <w:szCs w:val="29"/>
        </w:rPr>
      </w:pPr>
      <w:r w:rsidRPr="00ED6363">
        <w:rPr>
          <w:rFonts w:cstheme="minorHAnsi"/>
          <w:b/>
          <w:bCs/>
          <w:sz w:val="29"/>
          <w:szCs w:val="29"/>
        </w:rPr>
        <w:t xml:space="preserve">Populations Most at Risk of Being </w:t>
      </w:r>
      <w:r w:rsidR="00516C0C">
        <w:rPr>
          <w:rFonts w:cstheme="minorHAnsi"/>
          <w:b/>
          <w:bCs/>
          <w:sz w:val="29"/>
          <w:szCs w:val="29"/>
        </w:rPr>
        <w:t>Cooking Poor</w:t>
      </w:r>
    </w:p>
    <w:p w14:paraId="11D3437B" w14:textId="617D638C" w:rsidR="00ED6363" w:rsidRPr="008039A6" w:rsidRDefault="00DF4757" w:rsidP="008039A6">
      <w:pPr>
        <w:autoSpaceDE w:val="0"/>
        <w:autoSpaceDN w:val="0"/>
        <w:adjustRightInd w:val="0"/>
        <w:jc w:val="both"/>
        <w:rPr>
          <w:sz w:val="24"/>
          <w:szCs w:val="24"/>
        </w:rPr>
      </w:pPr>
      <w:r w:rsidRPr="39BF59DC">
        <w:rPr>
          <w:sz w:val="24"/>
          <w:szCs w:val="24"/>
        </w:rPr>
        <w:t>Our findings on</w:t>
      </w:r>
      <w:r w:rsidR="00DC18B4" w:rsidRPr="39BF59DC">
        <w:rPr>
          <w:sz w:val="24"/>
          <w:szCs w:val="24"/>
        </w:rPr>
        <w:t xml:space="preserve"> the</w:t>
      </w:r>
      <w:r w:rsidR="008039A6" w:rsidRPr="39BF59DC">
        <w:rPr>
          <w:sz w:val="24"/>
          <w:szCs w:val="24"/>
        </w:rPr>
        <w:t xml:space="preserve"> transition in cooking fuels discussed above suggest that access to clean cooking is clear</w:t>
      </w:r>
      <w:r w:rsidR="00DC18B4" w:rsidRPr="39BF59DC">
        <w:rPr>
          <w:sz w:val="24"/>
          <w:szCs w:val="24"/>
        </w:rPr>
        <w:t>ly</w:t>
      </w:r>
      <w:r w:rsidR="007C695A" w:rsidRPr="39BF59DC">
        <w:rPr>
          <w:sz w:val="24"/>
          <w:szCs w:val="24"/>
        </w:rPr>
        <w:t xml:space="preserve"> a</w:t>
      </w:r>
      <w:r w:rsidR="008039A6" w:rsidRPr="39BF59DC">
        <w:rPr>
          <w:sz w:val="24"/>
          <w:szCs w:val="24"/>
        </w:rPr>
        <w:t xml:space="preserve"> poverty issue. This is further illustrated in Figure </w:t>
      </w:r>
      <w:r w:rsidR="2C7F8712" w:rsidRPr="39BF59DC">
        <w:rPr>
          <w:sz w:val="24"/>
          <w:szCs w:val="24"/>
        </w:rPr>
        <w:t>5</w:t>
      </w:r>
      <w:r w:rsidR="008039A6" w:rsidRPr="39BF59DC">
        <w:rPr>
          <w:sz w:val="24"/>
          <w:szCs w:val="24"/>
        </w:rPr>
        <w:t xml:space="preserve">. In Figure </w:t>
      </w:r>
      <w:r w:rsidR="2F22F856" w:rsidRPr="39BF59DC">
        <w:rPr>
          <w:sz w:val="24"/>
          <w:szCs w:val="24"/>
        </w:rPr>
        <w:t>5</w:t>
      </w:r>
      <w:r w:rsidR="1374C43D" w:rsidRPr="39BF59DC">
        <w:rPr>
          <w:sz w:val="24"/>
          <w:szCs w:val="24"/>
        </w:rPr>
        <w:t>a</w:t>
      </w:r>
      <w:r w:rsidR="008039A6" w:rsidRPr="39BF59DC">
        <w:rPr>
          <w:sz w:val="24"/>
          <w:szCs w:val="24"/>
        </w:rPr>
        <w:t xml:space="preserve">, we </w:t>
      </w:r>
      <w:r w:rsidR="007C695A" w:rsidRPr="39BF59DC">
        <w:rPr>
          <w:sz w:val="24"/>
          <w:szCs w:val="24"/>
        </w:rPr>
        <w:t xml:space="preserve">show </w:t>
      </w:r>
      <w:r w:rsidR="007A6B19">
        <w:rPr>
          <w:sz w:val="24"/>
          <w:szCs w:val="24"/>
        </w:rPr>
        <w:t>the relationship between cooking poor and income</w:t>
      </w:r>
      <w:r w:rsidR="00E9122B" w:rsidRPr="39BF59DC">
        <w:rPr>
          <w:sz w:val="24"/>
          <w:szCs w:val="24"/>
        </w:rPr>
        <w:t xml:space="preserve"> </w:t>
      </w:r>
      <w:r w:rsidR="008039A6" w:rsidRPr="39BF59DC">
        <w:rPr>
          <w:sz w:val="24"/>
          <w:szCs w:val="24"/>
        </w:rPr>
        <w:t>poor</w:t>
      </w:r>
      <w:r w:rsidR="00250DEB">
        <w:rPr>
          <w:sz w:val="24"/>
          <w:szCs w:val="24"/>
        </w:rPr>
        <w:t xml:space="preserve"> populations</w:t>
      </w:r>
      <w:r w:rsidR="008039A6" w:rsidRPr="39BF59DC">
        <w:rPr>
          <w:sz w:val="24"/>
          <w:szCs w:val="24"/>
        </w:rPr>
        <w:t xml:space="preserve"> (defined as </w:t>
      </w:r>
      <w:r w:rsidR="002F03DF" w:rsidRPr="39BF59DC">
        <w:rPr>
          <w:sz w:val="24"/>
          <w:szCs w:val="24"/>
        </w:rPr>
        <w:t xml:space="preserve">those </w:t>
      </w:r>
      <w:r w:rsidR="008039A6" w:rsidRPr="39BF59DC">
        <w:rPr>
          <w:sz w:val="24"/>
          <w:szCs w:val="24"/>
        </w:rPr>
        <w:t xml:space="preserve">earning less than 5USD per capita per day). We see that in AFR, and to a lesser extent in LAM and PAS, income poverty strongly correlates with </w:t>
      </w:r>
      <w:r w:rsidR="0031656D" w:rsidRPr="39BF59DC">
        <w:rPr>
          <w:sz w:val="24"/>
          <w:szCs w:val="24"/>
        </w:rPr>
        <w:t>cooking poverty</w:t>
      </w:r>
      <w:r w:rsidR="008039A6" w:rsidRPr="39BF59DC">
        <w:rPr>
          <w:sz w:val="24"/>
          <w:szCs w:val="24"/>
        </w:rPr>
        <w:t xml:space="preserve">. In other regions, this is </w:t>
      </w:r>
      <w:r w:rsidR="0021129B" w:rsidRPr="39BF59DC">
        <w:rPr>
          <w:sz w:val="24"/>
          <w:szCs w:val="24"/>
        </w:rPr>
        <w:t xml:space="preserve">less </w:t>
      </w:r>
      <w:r w:rsidR="004D7986" w:rsidRPr="39BF59DC">
        <w:rPr>
          <w:sz w:val="24"/>
          <w:szCs w:val="24"/>
        </w:rPr>
        <w:t>so</w:t>
      </w:r>
      <w:r w:rsidR="008039A6" w:rsidRPr="39BF59DC">
        <w:rPr>
          <w:sz w:val="24"/>
          <w:szCs w:val="24"/>
        </w:rPr>
        <w:t xml:space="preserve">, as the number of poor individuals is much lower than </w:t>
      </w:r>
      <w:r w:rsidR="00451705" w:rsidRPr="39BF59DC">
        <w:rPr>
          <w:sz w:val="24"/>
          <w:szCs w:val="24"/>
        </w:rPr>
        <w:t xml:space="preserve">those </w:t>
      </w:r>
      <w:r w:rsidR="00554F05" w:rsidRPr="39BF59DC">
        <w:rPr>
          <w:sz w:val="24"/>
          <w:szCs w:val="24"/>
        </w:rPr>
        <w:t>dependen</w:t>
      </w:r>
      <w:r w:rsidR="00451705" w:rsidRPr="39BF59DC">
        <w:rPr>
          <w:sz w:val="24"/>
          <w:szCs w:val="24"/>
        </w:rPr>
        <w:t>t</w:t>
      </w:r>
      <w:r w:rsidR="008039A6" w:rsidRPr="39BF59DC">
        <w:rPr>
          <w:sz w:val="24"/>
          <w:szCs w:val="24"/>
        </w:rPr>
        <w:t xml:space="preserve"> on solid fuels. This can be explained by the existence of</w:t>
      </w:r>
      <w:r w:rsidR="00230CA5" w:rsidRPr="39BF59DC">
        <w:rPr>
          <w:sz w:val="24"/>
          <w:szCs w:val="24"/>
        </w:rPr>
        <w:t xml:space="preserve"> </w:t>
      </w:r>
      <w:r w:rsidR="008039A6" w:rsidRPr="39BF59DC">
        <w:rPr>
          <w:sz w:val="24"/>
          <w:szCs w:val="24"/>
        </w:rPr>
        <w:t>natural resources that result in lower prices of liquid fuels in some regions (</w:t>
      </w:r>
      <w:r w:rsidR="00451705" w:rsidRPr="39BF59DC">
        <w:rPr>
          <w:sz w:val="24"/>
          <w:szCs w:val="24"/>
        </w:rPr>
        <w:t>e.g.,</w:t>
      </w:r>
      <w:r w:rsidR="008039A6" w:rsidRPr="39BF59DC">
        <w:rPr>
          <w:sz w:val="24"/>
          <w:szCs w:val="24"/>
        </w:rPr>
        <w:t xml:space="preserve"> MEA)</w:t>
      </w:r>
      <w:r w:rsidR="00451705" w:rsidRPr="39BF59DC">
        <w:rPr>
          <w:sz w:val="24"/>
          <w:szCs w:val="24"/>
        </w:rPr>
        <w:t>,</w:t>
      </w:r>
      <w:r w:rsidR="008039A6" w:rsidRPr="39BF59DC">
        <w:rPr>
          <w:sz w:val="24"/>
          <w:szCs w:val="24"/>
        </w:rPr>
        <w:t xml:space="preserve"> or sustained</w:t>
      </w:r>
      <w:r w:rsidR="00230CA5" w:rsidRPr="39BF59DC">
        <w:rPr>
          <w:sz w:val="24"/>
          <w:szCs w:val="24"/>
        </w:rPr>
        <w:t xml:space="preserve"> </w:t>
      </w:r>
      <w:r w:rsidR="008039A6" w:rsidRPr="39BF59DC">
        <w:rPr>
          <w:sz w:val="24"/>
          <w:szCs w:val="24"/>
        </w:rPr>
        <w:t xml:space="preserve">public policies aimed at </w:t>
      </w:r>
      <w:r w:rsidR="00E96BB5">
        <w:rPr>
          <w:sz w:val="24"/>
          <w:szCs w:val="24"/>
        </w:rPr>
        <w:t xml:space="preserve">poverty alleviation and </w:t>
      </w:r>
      <w:r w:rsidR="008039A6" w:rsidRPr="39BF59DC">
        <w:rPr>
          <w:sz w:val="24"/>
          <w:szCs w:val="24"/>
        </w:rPr>
        <w:t xml:space="preserve">increasing access to clean </w:t>
      </w:r>
      <w:r w:rsidR="00197501" w:rsidRPr="39BF59DC">
        <w:rPr>
          <w:sz w:val="24"/>
          <w:szCs w:val="24"/>
        </w:rPr>
        <w:t>cooking</w:t>
      </w:r>
      <w:r w:rsidR="008039A6" w:rsidRPr="39BF59DC">
        <w:rPr>
          <w:sz w:val="24"/>
          <w:szCs w:val="24"/>
        </w:rPr>
        <w:t xml:space="preserve"> in others (e.g.</w:t>
      </w:r>
      <w:r w:rsidR="00451705" w:rsidRPr="39BF59DC">
        <w:rPr>
          <w:sz w:val="24"/>
          <w:szCs w:val="24"/>
        </w:rPr>
        <w:t>,</w:t>
      </w:r>
      <w:r w:rsidR="008039A6" w:rsidRPr="39BF59DC">
        <w:rPr>
          <w:sz w:val="24"/>
          <w:szCs w:val="24"/>
        </w:rPr>
        <w:t xml:space="preserve"> in CPA and SAS).</w:t>
      </w:r>
    </w:p>
    <w:p w14:paraId="15A18CC4" w14:textId="77866163" w:rsidR="00AD0D8A" w:rsidRDefault="00AD0D8A" w:rsidP="00CB63B6">
      <w:pPr>
        <w:autoSpaceDE w:val="0"/>
        <w:autoSpaceDN w:val="0"/>
        <w:adjustRightInd w:val="0"/>
        <w:jc w:val="both"/>
        <w:rPr>
          <w:rFonts w:cstheme="minorHAnsi"/>
          <w:sz w:val="24"/>
          <w:szCs w:val="24"/>
        </w:rPr>
      </w:pPr>
    </w:p>
    <w:p w14:paraId="79531A95" w14:textId="1840C8D1" w:rsidR="00230CA5" w:rsidRDefault="00230CA5" w:rsidP="00752F1B">
      <w:pPr>
        <w:autoSpaceDE w:val="0"/>
        <w:autoSpaceDN w:val="0"/>
        <w:adjustRightInd w:val="0"/>
        <w:jc w:val="both"/>
        <w:rPr>
          <w:sz w:val="24"/>
          <w:szCs w:val="24"/>
        </w:rPr>
      </w:pPr>
      <w:r w:rsidRPr="00230CA5">
        <w:rPr>
          <w:rFonts w:cstheme="minorHAnsi"/>
          <w:sz w:val="24"/>
          <w:szCs w:val="24"/>
        </w:rPr>
        <w:t xml:space="preserve">In AFR, we </w:t>
      </w:r>
      <w:r>
        <w:rPr>
          <w:rFonts w:cstheme="minorHAnsi"/>
          <w:sz w:val="24"/>
          <w:szCs w:val="24"/>
        </w:rPr>
        <w:t>fi</w:t>
      </w:r>
      <w:r w:rsidRPr="00230CA5">
        <w:rPr>
          <w:rFonts w:cstheme="minorHAnsi"/>
          <w:sz w:val="24"/>
          <w:szCs w:val="24"/>
        </w:rPr>
        <w:t xml:space="preserve">nd that </w:t>
      </w:r>
      <w:r w:rsidR="00C231EB" w:rsidRPr="39BF59DC">
        <w:rPr>
          <w:sz w:val="24"/>
          <w:szCs w:val="24"/>
        </w:rPr>
        <w:t>future</w:t>
      </w:r>
      <w:r w:rsidRPr="39BF59DC">
        <w:rPr>
          <w:sz w:val="24"/>
          <w:szCs w:val="24"/>
        </w:rPr>
        <w:t xml:space="preserve"> income </w:t>
      </w:r>
      <w:r w:rsidR="00C231EB" w:rsidRPr="39BF59DC">
        <w:rPr>
          <w:sz w:val="24"/>
          <w:szCs w:val="24"/>
        </w:rPr>
        <w:t xml:space="preserve">growth </w:t>
      </w:r>
      <w:r w:rsidR="00A919A0" w:rsidRPr="39BF59DC">
        <w:rPr>
          <w:sz w:val="24"/>
          <w:szCs w:val="24"/>
        </w:rPr>
        <w:t>may not</w:t>
      </w:r>
      <w:r w:rsidRPr="39BF59DC">
        <w:rPr>
          <w:sz w:val="24"/>
          <w:szCs w:val="24"/>
        </w:rPr>
        <w:t xml:space="preserve"> compensate for the effect of population growth, so that the </w:t>
      </w:r>
      <w:r w:rsidR="00BC3B57">
        <w:rPr>
          <w:sz w:val="24"/>
          <w:szCs w:val="24"/>
        </w:rPr>
        <w:t>number of cooking poor</w:t>
      </w:r>
      <w:r w:rsidRPr="39BF59DC">
        <w:rPr>
          <w:sz w:val="24"/>
          <w:szCs w:val="24"/>
        </w:rPr>
        <w:t xml:space="preserve"> </w:t>
      </w:r>
      <w:r w:rsidR="00FF277A" w:rsidRPr="39BF59DC">
        <w:rPr>
          <w:sz w:val="24"/>
          <w:szCs w:val="24"/>
        </w:rPr>
        <w:t xml:space="preserve">could increase </w:t>
      </w:r>
      <w:r w:rsidRPr="39BF59DC">
        <w:rPr>
          <w:sz w:val="24"/>
          <w:szCs w:val="24"/>
        </w:rPr>
        <w:t xml:space="preserve">in all scenarios. What is also evident from Figure </w:t>
      </w:r>
      <w:r w:rsidR="600ECCA7" w:rsidRPr="39BF59DC">
        <w:rPr>
          <w:sz w:val="24"/>
          <w:szCs w:val="24"/>
        </w:rPr>
        <w:t>5</w:t>
      </w:r>
      <w:r w:rsidR="119A9128" w:rsidRPr="39BF59DC">
        <w:rPr>
          <w:sz w:val="24"/>
          <w:szCs w:val="24"/>
        </w:rPr>
        <w:t>b</w:t>
      </w:r>
      <w:r w:rsidRPr="39BF59DC">
        <w:rPr>
          <w:sz w:val="24"/>
          <w:szCs w:val="24"/>
        </w:rPr>
        <w:t xml:space="preserve"> is that AFR could remain largely rural in 2030, and </w:t>
      </w:r>
      <w:r w:rsidR="00EF433F" w:rsidRPr="39BF59DC">
        <w:rPr>
          <w:sz w:val="24"/>
          <w:szCs w:val="24"/>
        </w:rPr>
        <w:t>between</w:t>
      </w:r>
      <w:r w:rsidRPr="39BF59DC">
        <w:rPr>
          <w:sz w:val="24"/>
          <w:szCs w:val="24"/>
        </w:rPr>
        <w:t xml:space="preserve"> 94% in </w:t>
      </w:r>
      <w:r w:rsidRPr="39BF59DC">
        <w:rPr>
          <w:sz w:val="24"/>
          <w:szCs w:val="24"/>
        </w:rPr>
        <w:lastRenderedPageBreak/>
        <w:t xml:space="preserve">SSP1 to 98% in COVID of rural households could earn less than 5 USD per capita per day and </w:t>
      </w:r>
      <w:r w:rsidR="002A6C10" w:rsidRPr="39BF59DC">
        <w:rPr>
          <w:sz w:val="24"/>
          <w:szCs w:val="24"/>
        </w:rPr>
        <w:t>remain cooking poor in</w:t>
      </w:r>
      <w:r w:rsidRPr="39BF59DC">
        <w:rPr>
          <w:sz w:val="24"/>
          <w:szCs w:val="24"/>
        </w:rPr>
        <w:t xml:space="preserve"> 2030. In SAS too, </w:t>
      </w:r>
      <w:r w:rsidR="00866F42" w:rsidRPr="39BF59DC">
        <w:rPr>
          <w:sz w:val="24"/>
          <w:szCs w:val="24"/>
        </w:rPr>
        <w:t>we</w:t>
      </w:r>
      <w:r w:rsidRPr="39BF59DC">
        <w:rPr>
          <w:sz w:val="24"/>
          <w:szCs w:val="24"/>
        </w:rPr>
        <w:t xml:space="preserve"> </w:t>
      </w:r>
      <w:r w:rsidR="00866F42" w:rsidRPr="39BF59DC">
        <w:rPr>
          <w:sz w:val="24"/>
          <w:szCs w:val="24"/>
        </w:rPr>
        <w:t>fi</w:t>
      </w:r>
      <w:r w:rsidRPr="39BF59DC">
        <w:rPr>
          <w:sz w:val="24"/>
          <w:szCs w:val="24"/>
        </w:rPr>
        <w:t>nd from 78% in</w:t>
      </w:r>
      <w:r w:rsidR="00866F42" w:rsidRPr="39BF59DC">
        <w:rPr>
          <w:sz w:val="24"/>
          <w:szCs w:val="24"/>
        </w:rPr>
        <w:t xml:space="preserve"> </w:t>
      </w:r>
      <w:r w:rsidRPr="39BF59DC">
        <w:rPr>
          <w:sz w:val="24"/>
          <w:szCs w:val="24"/>
        </w:rPr>
        <w:t>SSP1 to 90% in COVID of the rural population could earn less than 5 USD per capita</w:t>
      </w:r>
      <w:r w:rsidR="00866F42" w:rsidRPr="39BF59DC">
        <w:rPr>
          <w:sz w:val="24"/>
          <w:szCs w:val="24"/>
        </w:rPr>
        <w:t xml:space="preserve"> </w:t>
      </w:r>
      <w:r w:rsidRPr="39BF59DC">
        <w:rPr>
          <w:sz w:val="24"/>
          <w:szCs w:val="24"/>
        </w:rPr>
        <w:t xml:space="preserve">per day and </w:t>
      </w:r>
      <w:r w:rsidR="006E12C3" w:rsidRPr="39BF59DC">
        <w:rPr>
          <w:sz w:val="24"/>
          <w:szCs w:val="24"/>
        </w:rPr>
        <w:t>remain cooking poor</w:t>
      </w:r>
      <w:r w:rsidR="00B8039E" w:rsidRPr="39BF59DC">
        <w:rPr>
          <w:sz w:val="24"/>
          <w:szCs w:val="24"/>
        </w:rPr>
        <w:t xml:space="preserve"> </w:t>
      </w:r>
      <w:r w:rsidRPr="39BF59DC">
        <w:rPr>
          <w:sz w:val="24"/>
          <w:szCs w:val="24"/>
        </w:rPr>
        <w:t xml:space="preserve">in 2030. In other regions of the Global South, we </w:t>
      </w:r>
      <w:r w:rsidR="00866F42" w:rsidRPr="39BF59DC">
        <w:rPr>
          <w:sz w:val="24"/>
          <w:szCs w:val="24"/>
        </w:rPr>
        <w:t>fi</w:t>
      </w:r>
      <w:r w:rsidRPr="39BF59DC">
        <w:rPr>
          <w:sz w:val="24"/>
          <w:szCs w:val="24"/>
        </w:rPr>
        <w:t>nd that</w:t>
      </w:r>
      <w:r w:rsidR="00866F42" w:rsidRPr="39BF59DC">
        <w:rPr>
          <w:sz w:val="24"/>
          <w:szCs w:val="24"/>
        </w:rPr>
        <w:t xml:space="preserve"> </w:t>
      </w:r>
      <w:r w:rsidRPr="39BF59DC">
        <w:rPr>
          <w:sz w:val="24"/>
          <w:szCs w:val="24"/>
        </w:rPr>
        <w:t xml:space="preserve">about 15% more people could remain </w:t>
      </w:r>
      <w:r w:rsidR="006E12C3" w:rsidRPr="39BF59DC">
        <w:rPr>
          <w:sz w:val="24"/>
          <w:szCs w:val="24"/>
        </w:rPr>
        <w:t xml:space="preserve">income </w:t>
      </w:r>
      <w:r w:rsidRPr="39BF59DC">
        <w:rPr>
          <w:sz w:val="24"/>
          <w:szCs w:val="24"/>
        </w:rPr>
        <w:t>poor in the COVID scenario compared to the SSP3 scenario.</w:t>
      </w:r>
    </w:p>
    <w:p w14:paraId="0864B14D" w14:textId="19F2935E" w:rsidR="00557933" w:rsidRDefault="00557933" w:rsidP="00752F1B">
      <w:pPr>
        <w:autoSpaceDE w:val="0"/>
        <w:autoSpaceDN w:val="0"/>
        <w:adjustRightInd w:val="0"/>
        <w:jc w:val="both"/>
        <w:rPr>
          <w:sz w:val="24"/>
          <w:szCs w:val="24"/>
        </w:rPr>
      </w:pPr>
    </w:p>
    <w:p w14:paraId="0A0C4010" w14:textId="74EAC574" w:rsidR="00557933" w:rsidRDefault="00F37C92" w:rsidP="00752F1B">
      <w:pPr>
        <w:autoSpaceDE w:val="0"/>
        <w:autoSpaceDN w:val="0"/>
        <w:adjustRightInd w:val="0"/>
        <w:jc w:val="both"/>
        <w:rPr>
          <w:sz w:val="24"/>
          <w:szCs w:val="24"/>
        </w:rPr>
      </w:pPr>
      <w:r w:rsidRPr="00F37C92">
        <w:drawing>
          <wp:inline distT="0" distB="0" distL="0" distR="0" wp14:anchorId="53EDF019" wp14:editId="468EF21B">
            <wp:extent cx="4658400" cy="4928400"/>
            <wp:effectExtent l="0" t="0" r="889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8400" cy="4928400"/>
                    </a:xfrm>
                    <a:prstGeom prst="rect">
                      <a:avLst/>
                    </a:prstGeom>
                    <a:noFill/>
                    <a:ln>
                      <a:noFill/>
                    </a:ln>
                  </pic:spPr>
                </pic:pic>
              </a:graphicData>
            </a:graphic>
          </wp:inline>
        </w:drawing>
      </w:r>
    </w:p>
    <w:p w14:paraId="6DA5F690" w14:textId="1B99B3E2" w:rsidR="00F37C92" w:rsidRDefault="00140089" w:rsidP="00752F1B">
      <w:pPr>
        <w:autoSpaceDE w:val="0"/>
        <w:autoSpaceDN w:val="0"/>
        <w:adjustRightInd w:val="0"/>
        <w:jc w:val="both"/>
        <w:rPr>
          <w:sz w:val="24"/>
          <w:szCs w:val="24"/>
        </w:rPr>
      </w:pPr>
      <w:r w:rsidRPr="00140089">
        <w:rPr>
          <w:b/>
          <w:bCs/>
          <w:sz w:val="24"/>
          <w:szCs w:val="24"/>
        </w:rPr>
        <w:t>Figure 5</w:t>
      </w:r>
      <w:r w:rsidRPr="00140089">
        <w:rPr>
          <w:sz w:val="24"/>
          <w:szCs w:val="24"/>
        </w:rPr>
        <w:t>: Changes in income poor and cooking poor populations by region and scenario. (a) Cooking poor populations plotted against income poor in 2030. The diagonal line is the line of equality in the numbers of cooking poor and income poor populations. (b) Relative changes in cooking poor populations between 2010 and 2030 by scenario and region.</w:t>
      </w:r>
    </w:p>
    <w:p w14:paraId="3F69B601" w14:textId="55780F84" w:rsidR="00EC3D6F" w:rsidRDefault="00EC3D6F" w:rsidP="00230CA5">
      <w:pPr>
        <w:autoSpaceDE w:val="0"/>
        <w:autoSpaceDN w:val="0"/>
        <w:adjustRightInd w:val="0"/>
        <w:jc w:val="both"/>
        <w:rPr>
          <w:rFonts w:cstheme="minorHAnsi"/>
          <w:sz w:val="24"/>
          <w:szCs w:val="24"/>
        </w:rPr>
      </w:pPr>
    </w:p>
    <w:p w14:paraId="79F81BE8" w14:textId="70E44B5B" w:rsidR="00EC3D6F" w:rsidRDefault="00EC3D6F" w:rsidP="00EC3D6F">
      <w:pPr>
        <w:autoSpaceDE w:val="0"/>
        <w:autoSpaceDN w:val="0"/>
        <w:adjustRightInd w:val="0"/>
        <w:jc w:val="both"/>
        <w:rPr>
          <w:rFonts w:cstheme="minorHAnsi"/>
          <w:sz w:val="24"/>
          <w:szCs w:val="24"/>
        </w:rPr>
      </w:pPr>
      <w:r w:rsidRPr="00EC3D6F">
        <w:rPr>
          <w:rFonts w:cstheme="minorHAnsi"/>
          <w:sz w:val="24"/>
          <w:szCs w:val="24"/>
        </w:rPr>
        <w:t xml:space="preserve">In other regions of Asia, </w:t>
      </w:r>
      <w:r w:rsidR="00BC7C67">
        <w:rPr>
          <w:rFonts w:cstheme="minorHAnsi"/>
          <w:sz w:val="24"/>
          <w:szCs w:val="24"/>
        </w:rPr>
        <w:t>specifically</w:t>
      </w:r>
      <w:r w:rsidRPr="00EC3D6F">
        <w:rPr>
          <w:rFonts w:cstheme="minorHAnsi"/>
          <w:sz w:val="24"/>
          <w:szCs w:val="24"/>
        </w:rPr>
        <w:t xml:space="preserve"> in CPA, but also PAS, </w:t>
      </w:r>
      <w:r w:rsidR="005D6C8B">
        <w:rPr>
          <w:rFonts w:cstheme="minorHAnsi"/>
          <w:sz w:val="24"/>
          <w:szCs w:val="24"/>
        </w:rPr>
        <w:t>the</w:t>
      </w:r>
      <w:r w:rsidR="009C5D3D">
        <w:rPr>
          <w:rFonts w:cstheme="minorHAnsi"/>
          <w:sz w:val="24"/>
          <w:szCs w:val="24"/>
        </w:rPr>
        <w:t xml:space="preserve"> </w:t>
      </w:r>
      <w:r w:rsidR="00D26FAD">
        <w:rPr>
          <w:rFonts w:cstheme="minorHAnsi"/>
          <w:sz w:val="24"/>
          <w:szCs w:val="24"/>
        </w:rPr>
        <w:t>number of</w:t>
      </w:r>
      <w:r w:rsidR="005D6C8B">
        <w:rPr>
          <w:rFonts w:cstheme="minorHAnsi"/>
          <w:sz w:val="24"/>
          <w:szCs w:val="24"/>
        </w:rPr>
        <w:t xml:space="preserve"> cooking poor</w:t>
      </w:r>
      <w:r w:rsidRPr="00EC3D6F">
        <w:rPr>
          <w:rFonts w:cstheme="minorHAnsi"/>
          <w:sz w:val="24"/>
          <w:szCs w:val="24"/>
        </w:rPr>
        <w:t xml:space="preserve"> are likely to decline between 2010 and 2030. In these</w:t>
      </w:r>
      <w:r>
        <w:rPr>
          <w:rFonts w:cstheme="minorHAnsi"/>
          <w:sz w:val="24"/>
          <w:szCs w:val="24"/>
        </w:rPr>
        <w:t xml:space="preserve"> </w:t>
      </w:r>
      <w:r w:rsidRPr="00EC3D6F">
        <w:rPr>
          <w:rFonts w:cstheme="minorHAnsi"/>
          <w:sz w:val="24"/>
          <w:szCs w:val="24"/>
        </w:rPr>
        <w:t xml:space="preserve">regions, not only do we </w:t>
      </w:r>
      <w:r>
        <w:rPr>
          <w:rFonts w:cstheme="minorHAnsi"/>
          <w:sz w:val="24"/>
          <w:szCs w:val="24"/>
        </w:rPr>
        <w:t>fi</w:t>
      </w:r>
      <w:r w:rsidRPr="00EC3D6F">
        <w:rPr>
          <w:rFonts w:cstheme="minorHAnsi"/>
          <w:sz w:val="24"/>
          <w:szCs w:val="24"/>
        </w:rPr>
        <w:t xml:space="preserve">nd </w:t>
      </w:r>
      <w:r w:rsidR="00D1019F">
        <w:rPr>
          <w:rFonts w:cstheme="minorHAnsi"/>
          <w:sz w:val="24"/>
          <w:szCs w:val="24"/>
        </w:rPr>
        <w:t xml:space="preserve">that </w:t>
      </w:r>
      <w:r w:rsidR="00111386" w:rsidRPr="00EC3D6F">
        <w:rPr>
          <w:rFonts w:cstheme="minorHAnsi"/>
          <w:sz w:val="24"/>
          <w:szCs w:val="24"/>
        </w:rPr>
        <w:t>many</w:t>
      </w:r>
      <w:r w:rsidRPr="00EC3D6F">
        <w:rPr>
          <w:rFonts w:cstheme="minorHAnsi"/>
          <w:sz w:val="24"/>
          <w:szCs w:val="24"/>
        </w:rPr>
        <w:t xml:space="preserve"> move out of poverty, but </w:t>
      </w:r>
      <w:r w:rsidR="00540E57">
        <w:rPr>
          <w:rFonts w:cstheme="minorHAnsi"/>
          <w:sz w:val="24"/>
          <w:szCs w:val="24"/>
        </w:rPr>
        <w:t>also</w:t>
      </w:r>
      <w:r w:rsidRPr="00EC3D6F">
        <w:rPr>
          <w:rFonts w:cstheme="minorHAnsi"/>
          <w:sz w:val="24"/>
          <w:szCs w:val="24"/>
        </w:rPr>
        <w:t xml:space="preserve"> rising urbanization makes</w:t>
      </w:r>
      <w:r>
        <w:rPr>
          <w:rFonts w:cstheme="minorHAnsi"/>
          <w:sz w:val="24"/>
          <w:szCs w:val="24"/>
        </w:rPr>
        <w:t xml:space="preserve"> </w:t>
      </w:r>
      <w:r w:rsidR="00540E57">
        <w:rPr>
          <w:rFonts w:cstheme="minorHAnsi"/>
          <w:sz w:val="24"/>
          <w:szCs w:val="24"/>
        </w:rPr>
        <w:t>clean</w:t>
      </w:r>
      <w:r w:rsidR="00540E57" w:rsidRPr="00EC3D6F">
        <w:rPr>
          <w:rFonts w:cstheme="minorHAnsi"/>
          <w:sz w:val="24"/>
          <w:szCs w:val="24"/>
        </w:rPr>
        <w:t xml:space="preserve"> </w:t>
      </w:r>
      <w:r w:rsidRPr="00EC3D6F">
        <w:rPr>
          <w:rFonts w:cstheme="minorHAnsi"/>
          <w:sz w:val="24"/>
          <w:szCs w:val="24"/>
        </w:rPr>
        <w:t>fuels more accessible and a</w:t>
      </w:r>
      <w:r w:rsidR="008D6F51">
        <w:rPr>
          <w:rFonts w:cstheme="minorHAnsi"/>
          <w:sz w:val="24"/>
          <w:szCs w:val="24"/>
        </w:rPr>
        <w:t>ff</w:t>
      </w:r>
      <w:r w:rsidRPr="00EC3D6F">
        <w:rPr>
          <w:rFonts w:cstheme="minorHAnsi"/>
          <w:sz w:val="24"/>
          <w:szCs w:val="24"/>
        </w:rPr>
        <w:t xml:space="preserve">ordable. For example, in CPA, in the COVID scenario, we </w:t>
      </w:r>
      <w:r w:rsidR="00493A18">
        <w:rPr>
          <w:rFonts w:cstheme="minorHAnsi"/>
          <w:sz w:val="24"/>
          <w:szCs w:val="24"/>
        </w:rPr>
        <w:t xml:space="preserve">observe </w:t>
      </w:r>
      <w:r w:rsidRPr="00EC3D6F">
        <w:rPr>
          <w:rFonts w:cstheme="minorHAnsi"/>
          <w:sz w:val="24"/>
          <w:szCs w:val="24"/>
        </w:rPr>
        <w:t>a little less than half of the rural population could earn less than 5 USD per capita per day and</w:t>
      </w:r>
      <w:r w:rsidR="008D6F51">
        <w:rPr>
          <w:rFonts w:cstheme="minorHAnsi"/>
          <w:sz w:val="24"/>
          <w:szCs w:val="24"/>
        </w:rPr>
        <w:t xml:space="preserve"> </w:t>
      </w:r>
      <w:r w:rsidRPr="00EC3D6F">
        <w:rPr>
          <w:rFonts w:cstheme="minorHAnsi"/>
          <w:sz w:val="24"/>
          <w:szCs w:val="24"/>
        </w:rPr>
        <w:t xml:space="preserve">depend on </w:t>
      </w:r>
      <w:r w:rsidR="002A5759">
        <w:rPr>
          <w:rFonts w:cstheme="minorHAnsi"/>
          <w:sz w:val="24"/>
          <w:szCs w:val="24"/>
        </w:rPr>
        <w:t>solid</w:t>
      </w:r>
      <w:r w:rsidR="002A5759" w:rsidRPr="00EC3D6F">
        <w:rPr>
          <w:rFonts w:cstheme="minorHAnsi"/>
          <w:sz w:val="24"/>
          <w:szCs w:val="24"/>
        </w:rPr>
        <w:t xml:space="preserve"> </w:t>
      </w:r>
      <w:r w:rsidRPr="00EC3D6F">
        <w:rPr>
          <w:rFonts w:cstheme="minorHAnsi"/>
          <w:sz w:val="24"/>
          <w:szCs w:val="24"/>
        </w:rPr>
        <w:t>fuels, but the percentage of urban households in this category is likely to</w:t>
      </w:r>
      <w:r w:rsidR="008D6F51">
        <w:rPr>
          <w:rFonts w:cstheme="minorHAnsi"/>
          <w:sz w:val="24"/>
          <w:szCs w:val="24"/>
        </w:rPr>
        <w:t xml:space="preserve"> </w:t>
      </w:r>
      <w:r w:rsidR="003B7614">
        <w:rPr>
          <w:rFonts w:cstheme="minorHAnsi"/>
          <w:sz w:val="24"/>
          <w:szCs w:val="24"/>
        </w:rPr>
        <w:t>be</w:t>
      </w:r>
      <w:r w:rsidR="003B7614" w:rsidRPr="00EC3D6F">
        <w:rPr>
          <w:rFonts w:cstheme="minorHAnsi"/>
          <w:sz w:val="24"/>
          <w:szCs w:val="24"/>
        </w:rPr>
        <w:t xml:space="preserve"> </w:t>
      </w:r>
      <w:r w:rsidRPr="00EC3D6F">
        <w:rPr>
          <w:rFonts w:cstheme="minorHAnsi"/>
          <w:sz w:val="24"/>
          <w:szCs w:val="24"/>
        </w:rPr>
        <w:t>negligible.</w:t>
      </w:r>
    </w:p>
    <w:p w14:paraId="57F76815" w14:textId="4960D601" w:rsidR="00835AA7" w:rsidRDefault="00835AA7" w:rsidP="00EC3D6F">
      <w:pPr>
        <w:autoSpaceDE w:val="0"/>
        <w:autoSpaceDN w:val="0"/>
        <w:adjustRightInd w:val="0"/>
        <w:jc w:val="both"/>
        <w:rPr>
          <w:rFonts w:cstheme="minorHAnsi"/>
          <w:sz w:val="24"/>
          <w:szCs w:val="24"/>
        </w:rPr>
      </w:pPr>
    </w:p>
    <w:p w14:paraId="341C3E96" w14:textId="6D1C0B89" w:rsidR="00835AA7" w:rsidRPr="00835AA7" w:rsidRDefault="00835AA7" w:rsidP="00835AA7">
      <w:pPr>
        <w:autoSpaceDE w:val="0"/>
        <w:autoSpaceDN w:val="0"/>
        <w:adjustRightInd w:val="0"/>
        <w:jc w:val="both"/>
        <w:rPr>
          <w:rFonts w:cstheme="minorHAnsi"/>
          <w:sz w:val="24"/>
          <w:szCs w:val="24"/>
        </w:rPr>
      </w:pPr>
      <w:r w:rsidRPr="00835AA7">
        <w:rPr>
          <w:rFonts w:cstheme="minorHAnsi"/>
          <w:sz w:val="24"/>
          <w:szCs w:val="24"/>
        </w:rPr>
        <w:t xml:space="preserve">We </w:t>
      </w:r>
      <w:r>
        <w:rPr>
          <w:rFonts w:cstheme="minorHAnsi"/>
          <w:sz w:val="24"/>
          <w:szCs w:val="24"/>
        </w:rPr>
        <w:t>fi</w:t>
      </w:r>
      <w:r w:rsidRPr="00835AA7">
        <w:rPr>
          <w:rFonts w:cstheme="minorHAnsi"/>
          <w:sz w:val="24"/>
          <w:szCs w:val="24"/>
        </w:rPr>
        <w:t xml:space="preserve">nd </w:t>
      </w:r>
      <w:r w:rsidR="00083573">
        <w:rPr>
          <w:rFonts w:cstheme="minorHAnsi"/>
          <w:sz w:val="24"/>
          <w:szCs w:val="24"/>
        </w:rPr>
        <w:t>outcomes differ</w:t>
      </w:r>
      <w:r w:rsidRPr="00835AA7">
        <w:rPr>
          <w:rFonts w:cstheme="minorHAnsi"/>
          <w:sz w:val="24"/>
          <w:szCs w:val="24"/>
        </w:rPr>
        <w:t xml:space="preserve"> by scenario in MEA, LAM and SAS. In these regions, in SSP1</w:t>
      </w:r>
      <w:r w:rsidR="004556C5">
        <w:rPr>
          <w:rFonts w:cstheme="minorHAnsi"/>
          <w:sz w:val="24"/>
          <w:szCs w:val="24"/>
        </w:rPr>
        <w:t xml:space="preserve"> </w:t>
      </w:r>
      <w:r w:rsidRPr="00835AA7">
        <w:rPr>
          <w:rFonts w:cstheme="minorHAnsi"/>
          <w:sz w:val="24"/>
          <w:szCs w:val="24"/>
        </w:rPr>
        <w:t xml:space="preserve">and SSP2 we observe there could be a reduction in </w:t>
      </w:r>
      <w:r w:rsidR="00D83751">
        <w:rPr>
          <w:rFonts w:cstheme="minorHAnsi"/>
          <w:sz w:val="24"/>
          <w:szCs w:val="24"/>
        </w:rPr>
        <w:t>cooking poor</w:t>
      </w:r>
      <w:r w:rsidRPr="00835AA7">
        <w:rPr>
          <w:rFonts w:cstheme="minorHAnsi"/>
          <w:sz w:val="24"/>
          <w:szCs w:val="24"/>
        </w:rPr>
        <w:t>, but in</w:t>
      </w:r>
      <w:r w:rsidR="004556C5">
        <w:rPr>
          <w:rFonts w:cstheme="minorHAnsi"/>
          <w:sz w:val="24"/>
          <w:szCs w:val="24"/>
        </w:rPr>
        <w:t xml:space="preserve"> </w:t>
      </w:r>
      <w:r w:rsidRPr="00835AA7">
        <w:rPr>
          <w:rFonts w:cstheme="minorHAnsi"/>
          <w:sz w:val="24"/>
          <w:szCs w:val="24"/>
        </w:rPr>
        <w:t xml:space="preserve">SSP3 and COVID scenarios we </w:t>
      </w:r>
      <w:r w:rsidR="004556C5">
        <w:rPr>
          <w:rFonts w:cstheme="minorHAnsi"/>
          <w:sz w:val="24"/>
          <w:szCs w:val="24"/>
        </w:rPr>
        <w:t>fi</w:t>
      </w:r>
      <w:r w:rsidRPr="00835AA7">
        <w:rPr>
          <w:rFonts w:cstheme="minorHAnsi"/>
          <w:sz w:val="24"/>
          <w:szCs w:val="24"/>
        </w:rPr>
        <w:t xml:space="preserve">nd the extent of poverty and </w:t>
      </w:r>
      <w:r w:rsidR="00D83751">
        <w:rPr>
          <w:rFonts w:cstheme="minorHAnsi"/>
          <w:sz w:val="24"/>
          <w:szCs w:val="24"/>
        </w:rPr>
        <w:t>cooking</w:t>
      </w:r>
      <w:r w:rsidR="00D83751" w:rsidRPr="00835AA7">
        <w:rPr>
          <w:rFonts w:cstheme="minorHAnsi"/>
          <w:sz w:val="24"/>
          <w:szCs w:val="24"/>
        </w:rPr>
        <w:t xml:space="preserve"> </w:t>
      </w:r>
      <w:r w:rsidRPr="00835AA7">
        <w:rPr>
          <w:rFonts w:cstheme="minorHAnsi"/>
          <w:sz w:val="24"/>
          <w:szCs w:val="24"/>
        </w:rPr>
        <w:t>poverty could rise. In MEA</w:t>
      </w:r>
      <w:r w:rsidR="004556C5">
        <w:rPr>
          <w:rFonts w:cstheme="minorHAnsi"/>
          <w:sz w:val="24"/>
          <w:szCs w:val="24"/>
        </w:rPr>
        <w:t xml:space="preserve"> </w:t>
      </w:r>
      <w:r w:rsidRPr="00835AA7">
        <w:rPr>
          <w:rFonts w:cstheme="minorHAnsi"/>
          <w:sz w:val="24"/>
          <w:szCs w:val="24"/>
        </w:rPr>
        <w:t xml:space="preserve">and SAS this is largely </w:t>
      </w:r>
      <w:r w:rsidRPr="00835AA7">
        <w:rPr>
          <w:rFonts w:cstheme="minorHAnsi"/>
          <w:sz w:val="24"/>
          <w:szCs w:val="24"/>
        </w:rPr>
        <w:lastRenderedPageBreak/>
        <w:t>explained by di</w:t>
      </w:r>
      <w:r w:rsidR="00037D27">
        <w:rPr>
          <w:rFonts w:cstheme="minorHAnsi"/>
          <w:sz w:val="24"/>
          <w:szCs w:val="24"/>
        </w:rPr>
        <w:t>ff</w:t>
      </w:r>
      <w:r w:rsidRPr="00835AA7">
        <w:rPr>
          <w:rFonts w:cstheme="minorHAnsi"/>
          <w:sz w:val="24"/>
          <w:szCs w:val="24"/>
        </w:rPr>
        <w:t xml:space="preserve">erences in urbanization between the SSP1 and SSP2 scenarios as compared to the SSP3/COVID scenarios. In LAM, </w:t>
      </w:r>
      <w:r w:rsidR="00AE284E">
        <w:rPr>
          <w:rFonts w:cstheme="minorHAnsi"/>
          <w:sz w:val="24"/>
          <w:szCs w:val="24"/>
        </w:rPr>
        <w:t xml:space="preserve">however, </w:t>
      </w:r>
      <w:r w:rsidRPr="00835AA7">
        <w:rPr>
          <w:rFonts w:cstheme="minorHAnsi"/>
          <w:sz w:val="24"/>
          <w:szCs w:val="24"/>
        </w:rPr>
        <w:t xml:space="preserve">we </w:t>
      </w:r>
      <w:r w:rsidR="00037D27">
        <w:rPr>
          <w:rFonts w:cstheme="minorHAnsi"/>
          <w:sz w:val="24"/>
          <w:szCs w:val="24"/>
        </w:rPr>
        <w:t>fi</w:t>
      </w:r>
      <w:r w:rsidRPr="00835AA7">
        <w:rPr>
          <w:rFonts w:cstheme="minorHAnsi"/>
          <w:sz w:val="24"/>
          <w:szCs w:val="24"/>
        </w:rPr>
        <w:t xml:space="preserve">nd even urban households could </w:t>
      </w:r>
      <w:r w:rsidR="00380E3A">
        <w:rPr>
          <w:rFonts w:cstheme="minorHAnsi"/>
          <w:sz w:val="24"/>
          <w:szCs w:val="24"/>
        </w:rPr>
        <w:t>remain</w:t>
      </w:r>
      <w:r w:rsidR="007A6694">
        <w:rPr>
          <w:rFonts w:cstheme="minorHAnsi"/>
          <w:sz w:val="24"/>
          <w:szCs w:val="24"/>
        </w:rPr>
        <w:t xml:space="preserve"> cooking poor</w:t>
      </w:r>
      <w:r w:rsidRPr="00835AA7">
        <w:rPr>
          <w:rFonts w:cstheme="minorHAnsi"/>
          <w:sz w:val="24"/>
          <w:szCs w:val="24"/>
        </w:rPr>
        <w:t>, as income inequality is higher in this region</w:t>
      </w:r>
      <w:r w:rsidR="002C3DC5">
        <w:rPr>
          <w:rFonts w:cstheme="minorHAnsi"/>
          <w:sz w:val="24"/>
          <w:szCs w:val="24"/>
        </w:rPr>
        <w:t>, even in</w:t>
      </w:r>
      <w:r w:rsidR="00331C16">
        <w:rPr>
          <w:rFonts w:cstheme="minorHAnsi"/>
          <w:sz w:val="24"/>
          <w:szCs w:val="24"/>
        </w:rPr>
        <w:t xml:space="preserve"> </w:t>
      </w:r>
      <w:r w:rsidRPr="00835AA7">
        <w:rPr>
          <w:rFonts w:cstheme="minorHAnsi"/>
          <w:sz w:val="24"/>
          <w:szCs w:val="24"/>
        </w:rPr>
        <w:t>countries that have a GDP per capita comparable to that in most developed</w:t>
      </w:r>
      <w:r w:rsidR="00037D27">
        <w:rPr>
          <w:rFonts w:cstheme="minorHAnsi"/>
          <w:sz w:val="24"/>
          <w:szCs w:val="24"/>
        </w:rPr>
        <w:t xml:space="preserve"> </w:t>
      </w:r>
      <w:r w:rsidRPr="00835AA7">
        <w:rPr>
          <w:rFonts w:cstheme="minorHAnsi"/>
          <w:sz w:val="24"/>
          <w:szCs w:val="24"/>
        </w:rPr>
        <w:t xml:space="preserve">regions. Therefore, we </w:t>
      </w:r>
      <w:r w:rsidR="00037D27">
        <w:rPr>
          <w:rFonts w:cstheme="minorHAnsi"/>
          <w:sz w:val="24"/>
          <w:szCs w:val="24"/>
        </w:rPr>
        <w:t>fi</w:t>
      </w:r>
      <w:r w:rsidRPr="00835AA7">
        <w:rPr>
          <w:rFonts w:cstheme="minorHAnsi"/>
          <w:sz w:val="24"/>
          <w:szCs w:val="24"/>
        </w:rPr>
        <w:t xml:space="preserve">nd </w:t>
      </w:r>
      <w:r w:rsidR="009752B6">
        <w:rPr>
          <w:rFonts w:cstheme="minorHAnsi"/>
          <w:sz w:val="24"/>
          <w:szCs w:val="24"/>
        </w:rPr>
        <w:t>many people</w:t>
      </w:r>
      <w:r w:rsidRPr="00835AA7">
        <w:rPr>
          <w:rFonts w:cstheme="minorHAnsi"/>
          <w:sz w:val="24"/>
          <w:szCs w:val="24"/>
        </w:rPr>
        <w:t xml:space="preserve"> could remain </w:t>
      </w:r>
      <w:r w:rsidR="009D0FFE">
        <w:rPr>
          <w:rFonts w:cstheme="minorHAnsi"/>
          <w:sz w:val="24"/>
          <w:szCs w:val="24"/>
        </w:rPr>
        <w:t xml:space="preserve">income </w:t>
      </w:r>
      <w:r w:rsidRPr="00835AA7">
        <w:rPr>
          <w:rFonts w:cstheme="minorHAnsi"/>
          <w:sz w:val="24"/>
          <w:szCs w:val="24"/>
        </w:rPr>
        <w:t xml:space="preserve">poor even in 2030. Especially in the SSP3 and COVID scenarios, we </w:t>
      </w:r>
      <w:r w:rsidR="00037D27">
        <w:rPr>
          <w:rFonts w:cstheme="minorHAnsi"/>
          <w:sz w:val="24"/>
          <w:szCs w:val="24"/>
        </w:rPr>
        <w:t>fi</w:t>
      </w:r>
      <w:r w:rsidRPr="00835AA7">
        <w:rPr>
          <w:rFonts w:cstheme="minorHAnsi"/>
          <w:sz w:val="24"/>
          <w:szCs w:val="24"/>
        </w:rPr>
        <w:t>nd that</w:t>
      </w:r>
      <w:r w:rsidR="00037D27">
        <w:rPr>
          <w:rFonts w:cstheme="minorHAnsi"/>
          <w:sz w:val="24"/>
          <w:szCs w:val="24"/>
        </w:rPr>
        <w:t xml:space="preserve"> </w:t>
      </w:r>
      <w:r w:rsidRPr="00835AA7">
        <w:rPr>
          <w:rFonts w:cstheme="minorHAnsi"/>
          <w:sz w:val="24"/>
          <w:szCs w:val="24"/>
        </w:rPr>
        <w:t>60% of rural and about 50% of urban population</w:t>
      </w:r>
      <w:r w:rsidR="003D5CE2">
        <w:rPr>
          <w:rFonts w:cstheme="minorHAnsi"/>
          <w:sz w:val="24"/>
          <w:szCs w:val="24"/>
        </w:rPr>
        <w:t>s</w:t>
      </w:r>
      <w:r w:rsidRPr="00835AA7">
        <w:rPr>
          <w:rFonts w:cstheme="minorHAnsi"/>
          <w:sz w:val="24"/>
          <w:szCs w:val="24"/>
        </w:rPr>
        <w:t xml:space="preserve"> could earn less than 5 USD per capita</w:t>
      </w:r>
      <w:r w:rsidR="00AA53FD">
        <w:rPr>
          <w:rFonts w:cstheme="minorHAnsi"/>
          <w:sz w:val="24"/>
          <w:szCs w:val="24"/>
        </w:rPr>
        <w:t xml:space="preserve"> </w:t>
      </w:r>
      <w:r w:rsidRPr="00835AA7">
        <w:rPr>
          <w:rFonts w:cstheme="minorHAnsi"/>
          <w:sz w:val="24"/>
          <w:szCs w:val="24"/>
        </w:rPr>
        <w:t xml:space="preserve">per day and depend on </w:t>
      </w:r>
      <w:r w:rsidR="002A5759">
        <w:rPr>
          <w:rFonts w:cstheme="minorHAnsi"/>
          <w:sz w:val="24"/>
          <w:szCs w:val="24"/>
        </w:rPr>
        <w:t>solid</w:t>
      </w:r>
      <w:r w:rsidR="002A5759" w:rsidRPr="00835AA7">
        <w:rPr>
          <w:rFonts w:cstheme="minorHAnsi"/>
          <w:sz w:val="24"/>
          <w:szCs w:val="24"/>
        </w:rPr>
        <w:t xml:space="preserve"> </w:t>
      </w:r>
      <w:r w:rsidRPr="00835AA7">
        <w:rPr>
          <w:rFonts w:cstheme="minorHAnsi"/>
          <w:sz w:val="24"/>
          <w:szCs w:val="24"/>
        </w:rPr>
        <w:t>fuels for cooking.</w:t>
      </w:r>
    </w:p>
    <w:p w14:paraId="204F326E" w14:textId="77777777" w:rsidR="00AA53FD" w:rsidRDefault="00AA53FD" w:rsidP="00835AA7">
      <w:pPr>
        <w:autoSpaceDE w:val="0"/>
        <w:autoSpaceDN w:val="0"/>
        <w:adjustRightInd w:val="0"/>
        <w:jc w:val="both"/>
        <w:rPr>
          <w:rFonts w:cstheme="minorHAnsi"/>
          <w:sz w:val="24"/>
          <w:szCs w:val="24"/>
        </w:rPr>
      </w:pPr>
    </w:p>
    <w:p w14:paraId="33DA137F" w14:textId="75AAC645" w:rsidR="00835AA7" w:rsidRPr="00835AA7" w:rsidRDefault="00835AA7" w:rsidP="00835AA7">
      <w:pPr>
        <w:autoSpaceDE w:val="0"/>
        <w:autoSpaceDN w:val="0"/>
        <w:adjustRightInd w:val="0"/>
        <w:jc w:val="both"/>
        <w:rPr>
          <w:rFonts w:cstheme="minorHAnsi"/>
          <w:sz w:val="24"/>
          <w:szCs w:val="24"/>
        </w:rPr>
      </w:pPr>
      <w:r w:rsidRPr="00835AA7">
        <w:rPr>
          <w:rFonts w:cstheme="minorHAnsi"/>
          <w:sz w:val="24"/>
          <w:szCs w:val="24"/>
        </w:rPr>
        <w:t xml:space="preserve">In general, we </w:t>
      </w:r>
      <w:r w:rsidR="00AA53FD">
        <w:rPr>
          <w:rFonts w:cstheme="minorHAnsi"/>
          <w:sz w:val="24"/>
          <w:szCs w:val="24"/>
        </w:rPr>
        <w:t>fi</w:t>
      </w:r>
      <w:r w:rsidRPr="00835AA7">
        <w:rPr>
          <w:rFonts w:cstheme="minorHAnsi"/>
          <w:sz w:val="24"/>
          <w:szCs w:val="24"/>
        </w:rPr>
        <w:t xml:space="preserve">nd that clean cooking access in the COVID scenario is </w:t>
      </w:r>
      <w:r w:rsidR="00F866CE" w:rsidRPr="00835AA7">
        <w:rPr>
          <w:rFonts w:cstheme="minorHAnsi"/>
          <w:sz w:val="24"/>
          <w:szCs w:val="24"/>
        </w:rPr>
        <w:t>likely</w:t>
      </w:r>
      <w:r w:rsidRPr="00835AA7">
        <w:rPr>
          <w:rFonts w:cstheme="minorHAnsi"/>
          <w:sz w:val="24"/>
          <w:szCs w:val="24"/>
        </w:rPr>
        <w:t xml:space="preserve"> to be lower than</w:t>
      </w:r>
      <w:r w:rsidR="00AA49BA">
        <w:rPr>
          <w:rFonts w:cstheme="minorHAnsi"/>
          <w:sz w:val="24"/>
          <w:szCs w:val="24"/>
        </w:rPr>
        <w:t xml:space="preserve"> </w:t>
      </w:r>
      <w:r w:rsidRPr="00835AA7">
        <w:rPr>
          <w:rFonts w:cstheme="minorHAnsi"/>
          <w:sz w:val="24"/>
          <w:szCs w:val="24"/>
        </w:rPr>
        <w:t xml:space="preserve">under climate mitigation policy scenarios. </w:t>
      </w:r>
      <w:r w:rsidR="00D2204F">
        <w:rPr>
          <w:rFonts w:cstheme="minorHAnsi"/>
          <w:sz w:val="24"/>
          <w:szCs w:val="24"/>
        </w:rPr>
        <w:t xml:space="preserve">In </w:t>
      </w:r>
      <w:r w:rsidR="00F866CE" w:rsidRPr="00835AA7">
        <w:rPr>
          <w:rFonts w:cstheme="minorHAnsi"/>
          <w:sz w:val="24"/>
          <w:szCs w:val="24"/>
        </w:rPr>
        <w:t>SAS</w:t>
      </w:r>
      <w:r w:rsidR="00D2204F">
        <w:rPr>
          <w:rFonts w:cstheme="minorHAnsi"/>
          <w:sz w:val="24"/>
          <w:szCs w:val="24"/>
        </w:rPr>
        <w:t>, however,</w:t>
      </w:r>
      <w:r w:rsidR="00F866CE" w:rsidRPr="00835AA7">
        <w:rPr>
          <w:rFonts w:cstheme="minorHAnsi"/>
          <w:sz w:val="24"/>
          <w:szCs w:val="24"/>
        </w:rPr>
        <w:t xml:space="preserve"> </w:t>
      </w:r>
      <w:r w:rsidRPr="00835AA7">
        <w:rPr>
          <w:rFonts w:cstheme="minorHAnsi"/>
          <w:sz w:val="24"/>
          <w:szCs w:val="24"/>
        </w:rPr>
        <w:t>the urban poor</w:t>
      </w:r>
      <w:r w:rsidR="006F0CD5">
        <w:rPr>
          <w:rFonts w:cstheme="minorHAnsi"/>
          <w:sz w:val="24"/>
          <w:szCs w:val="24"/>
        </w:rPr>
        <w:t xml:space="preserve"> </w:t>
      </w:r>
      <w:r w:rsidRPr="00835AA7">
        <w:rPr>
          <w:rFonts w:cstheme="minorHAnsi"/>
          <w:sz w:val="24"/>
          <w:szCs w:val="24"/>
        </w:rPr>
        <w:t xml:space="preserve">could be particularly </w:t>
      </w:r>
      <w:r w:rsidR="00037C12">
        <w:rPr>
          <w:rFonts w:cstheme="minorHAnsi"/>
          <w:sz w:val="24"/>
          <w:szCs w:val="24"/>
        </w:rPr>
        <w:t>aff</w:t>
      </w:r>
      <w:r w:rsidRPr="00835AA7">
        <w:rPr>
          <w:rFonts w:cstheme="minorHAnsi"/>
          <w:sz w:val="24"/>
          <w:szCs w:val="24"/>
        </w:rPr>
        <w:t xml:space="preserve">ected by </w:t>
      </w:r>
      <w:r w:rsidR="007B27C9">
        <w:rPr>
          <w:rFonts w:cstheme="minorHAnsi"/>
          <w:sz w:val="24"/>
          <w:szCs w:val="24"/>
        </w:rPr>
        <w:t>rising</w:t>
      </w:r>
      <w:r w:rsidRPr="00835AA7">
        <w:rPr>
          <w:rFonts w:cstheme="minorHAnsi"/>
          <w:sz w:val="24"/>
          <w:szCs w:val="24"/>
        </w:rPr>
        <w:t xml:space="preserve"> gas prices under climate</w:t>
      </w:r>
      <w:r w:rsidR="00AA49BA">
        <w:rPr>
          <w:rFonts w:cstheme="minorHAnsi"/>
          <w:sz w:val="24"/>
          <w:szCs w:val="24"/>
        </w:rPr>
        <w:t xml:space="preserve"> </w:t>
      </w:r>
      <w:r w:rsidRPr="00835AA7">
        <w:rPr>
          <w:rFonts w:cstheme="minorHAnsi"/>
          <w:sz w:val="24"/>
          <w:szCs w:val="24"/>
        </w:rPr>
        <w:t>mitigation policy scenarios</w:t>
      </w:r>
      <w:r w:rsidR="00911CA9">
        <w:rPr>
          <w:rFonts w:cstheme="minorHAnsi"/>
          <w:sz w:val="24"/>
          <w:szCs w:val="24"/>
        </w:rPr>
        <w:t>, with</w:t>
      </w:r>
      <w:r w:rsidRPr="00835AA7">
        <w:rPr>
          <w:rFonts w:cstheme="minorHAnsi"/>
          <w:sz w:val="24"/>
          <w:szCs w:val="24"/>
        </w:rPr>
        <w:t xml:space="preserve"> the </w:t>
      </w:r>
      <w:r w:rsidR="00260484">
        <w:rPr>
          <w:rFonts w:cstheme="minorHAnsi"/>
          <w:sz w:val="24"/>
          <w:szCs w:val="24"/>
        </w:rPr>
        <w:t>dependency</w:t>
      </w:r>
      <w:r w:rsidRPr="00835AA7">
        <w:rPr>
          <w:rFonts w:cstheme="minorHAnsi"/>
          <w:sz w:val="24"/>
          <w:szCs w:val="24"/>
        </w:rPr>
        <w:t xml:space="preserve"> on </w:t>
      </w:r>
      <w:r w:rsidR="00783033">
        <w:rPr>
          <w:rFonts w:cstheme="minorHAnsi"/>
          <w:sz w:val="24"/>
          <w:szCs w:val="24"/>
        </w:rPr>
        <w:t>solid</w:t>
      </w:r>
      <w:r w:rsidR="00783033" w:rsidRPr="00835AA7">
        <w:rPr>
          <w:rFonts w:cstheme="minorHAnsi"/>
          <w:sz w:val="24"/>
          <w:szCs w:val="24"/>
        </w:rPr>
        <w:t xml:space="preserve"> </w:t>
      </w:r>
      <w:r w:rsidRPr="00835AA7">
        <w:rPr>
          <w:rFonts w:cstheme="minorHAnsi"/>
          <w:sz w:val="24"/>
          <w:szCs w:val="24"/>
        </w:rPr>
        <w:t xml:space="preserve">fuels </w:t>
      </w:r>
      <w:r w:rsidR="0009791D">
        <w:rPr>
          <w:rFonts w:cstheme="minorHAnsi"/>
          <w:sz w:val="24"/>
          <w:szCs w:val="24"/>
        </w:rPr>
        <w:t xml:space="preserve">for this group </w:t>
      </w:r>
      <w:r w:rsidR="00D4557E">
        <w:rPr>
          <w:rFonts w:cstheme="minorHAnsi"/>
          <w:sz w:val="24"/>
          <w:szCs w:val="24"/>
        </w:rPr>
        <w:t>almost doubl</w:t>
      </w:r>
      <w:r w:rsidR="00AF0C72">
        <w:rPr>
          <w:rFonts w:cstheme="minorHAnsi"/>
          <w:sz w:val="24"/>
          <w:szCs w:val="24"/>
        </w:rPr>
        <w:t>ing</w:t>
      </w:r>
      <w:r w:rsidRPr="00835AA7">
        <w:rPr>
          <w:rFonts w:cstheme="minorHAnsi"/>
          <w:sz w:val="24"/>
          <w:szCs w:val="24"/>
        </w:rPr>
        <w:t xml:space="preserve">. However, even in this </w:t>
      </w:r>
      <w:proofErr w:type="gramStart"/>
      <w:r w:rsidRPr="00835AA7">
        <w:rPr>
          <w:rFonts w:cstheme="minorHAnsi"/>
          <w:sz w:val="24"/>
          <w:szCs w:val="24"/>
        </w:rPr>
        <w:t>region</w:t>
      </w:r>
      <w:r w:rsidR="001349FC">
        <w:rPr>
          <w:rFonts w:cstheme="minorHAnsi"/>
          <w:sz w:val="24"/>
          <w:szCs w:val="24"/>
        </w:rPr>
        <w:t>,</w:t>
      </w:r>
      <w:r w:rsidRPr="00835AA7">
        <w:rPr>
          <w:rFonts w:cstheme="minorHAnsi"/>
          <w:sz w:val="24"/>
          <w:szCs w:val="24"/>
        </w:rPr>
        <w:t xml:space="preserve">  </w:t>
      </w:r>
      <w:r w:rsidR="00B63CB1">
        <w:rPr>
          <w:rFonts w:cstheme="minorHAnsi"/>
          <w:sz w:val="24"/>
          <w:szCs w:val="24"/>
        </w:rPr>
        <w:t>solid</w:t>
      </w:r>
      <w:proofErr w:type="gramEnd"/>
      <w:r w:rsidR="00B63CB1" w:rsidRPr="00835AA7">
        <w:rPr>
          <w:rFonts w:cstheme="minorHAnsi"/>
          <w:sz w:val="24"/>
          <w:szCs w:val="24"/>
        </w:rPr>
        <w:t xml:space="preserve"> fuels </w:t>
      </w:r>
      <w:r w:rsidRPr="00835AA7">
        <w:rPr>
          <w:rFonts w:cstheme="minorHAnsi"/>
          <w:sz w:val="24"/>
          <w:szCs w:val="24"/>
        </w:rPr>
        <w:t>dependen</w:t>
      </w:r>
      <w:r w:rsidR="002D79AD">
        <w:rPr>
          <w:rFonts w:cstheme="minorHAnsi"/>
          <w:sz w:val="24"/>
          <w:szCs w:val="24"/>
        </w:rPr>
        <w:t>cy</w:t>
      </w:r>
      <w:r w:rsidRPr="00835AA7">
        <w:rPr>
          <w:rFonts w:cstheme="minorHAnsi"/>
          <w:sz w:val="24"/>
          <w:szCs w:val="24"/>
        </w:rPr>
        <w:t xml:space="preserve"> is much higher at 7% in</w:t>
      </w:r>
      <w:r w:rsidR="00015176">
        <w:rPr>
          <w:rFonts w:cstheme="minorHAnsi"/>
          <w:sz w:val="24"/>
          <w:szCs w:val="24"/>
        </w:rPr>
        <w:t xml:space="preserve"> the</w:t>
      </w:r>
      <w:r w:rsidRPr="00835AA7">
        <w:rPr>
          <w:rFonts w:cstheme="minorHAnsi"/>
          <w:sz w:val="24"/>
          <w:szCs w:val="24"/>
        </w:rPr>
        <w:t xml:space="preserve"> COVID</w:t>
      </w:r>
      <w:r w:rsidR="00037C12">
        <w:rPr>
          <w:rFonts w:cstheme="minorHAnsi"/>
          <w:sz w:val="24"/>
          <w:szCs w:val="24"/>
        </w:rPr>
        <w:t xml:space="preserve"> </w:t>
      </w:r>
      <w:r w:rsidRPr="00835AA7">
        <w:rPr>
          <w:rFonts w:cstheme="minorHAnsi"/>
          <w:sz w:val="24"/>
          <w:szCs w:val="24"/>
        </w:rPr>
        <w:t xml:space="preserve">scenario </w:t>
      </w:r>
      <w:r w:rsidR="006C363C">
        <w:rPr>
          <w:rFonts w:cstheme="minorHAnsi"/>
          <w:sz w:val="24"/>
          <w:szCs w:val="24"/>
        </w:rPr>
        <w:t>in 2030</w:t>
      </w:r>
      <w:r w:rsidR="004949A5">
        <w:rPr>
          <w:rFonts w:cstheme="minorHAnsi"/>
          <w:sz w:val="24"/>
          <w:szCs w:val="24"/>
        </w:rPr>
        <w:t>,</w:t>
      </w:r>
      <w:r w:rsidR="006C363C">
        <w:rPr>
          <w:rFonts w:cstheme="minorHAnsi"/>
          <w:sz w:val="24"/>
          <w:szCs w:val="24"/>
        </w:rPr>
        <w:t xml:space="preserve"> </w:t>
      </w:r>
      <w:r w:rsidRPr="00835AA7">
        <w:rPr>
          <w:rFonts w:cstheme="minorHAnsi"/>
          <w:sz w:val="24"/>
          <w:szCs w:val="24"/>
        </w:rPr>
        <w:t>as compared to under the climate mitigation policies scenarios (2% in SSP3-CP2C).</w:t>
      </w:r>
    </w:p>
    <w:p w14:paraId="1E76C733" w14:textId="77777777" w:rsidR="00037C12" w:rsidRDefault="00037C12" w:rsidP="00835AA7">
      <w:pPr>
        <w:autoSpaceDE w:val="0"/>
        <w:autoSpaceDN w:val="0"/>
        <w:adjustRightInd w:val="0"/>
        <w:jc w:val="both"/>
        <w:rPr>
          <w:rFonts w:cstheme="minorHAnsi"/>
          <w:sz w:val="24"/>
          <w:szCs w:val="24"/>
        </w:rPr>
      </w:pPr>
    </w:p>
    <w:p w14:paraId="22FEBF2E" w14:textId="083CC5A4" w:rsidR="00835AA7" w:rsidRPr="00C155AA" w:rsidRDefault="00835AA7" w:rsidP="00C155AA">
      <w:pPr>
        <w:autoSpaceDE w:val="0"/>
        <w:autoSpaceDN w:val="0"/>
        <w:adjustRightInd w:val="0"/>
        <w:rPr>
          <w:rFonts w:cstheme="minorHAnsi"/>
          <w:b/>
          <w:bCs/>
          <w:sz w:val="29"/>
          <w:szCs w:val="29"/>
        </w:rPr>
      </w:pPr>
      <w:r w:rsidRPr="00C155AA">
        <w:rPr>
          <w:rFonts w:cstheme="minorHAnsi"/>
          <w:b/>
          <w:bCs/>
          <w:sz w:val="29"/>
          <w:szCs w:val="29"/>
        </w:rPr>
        <w:t>Discussion and Conclusions</w:t>
      </w:r>
    </w:p>
    <w:p w14:paraId="27DC372C" w14:textId="77777777" w:rsidR="007A11C8" w:rsidRPr="007A11C8" w:rsidRDefault="007A11C8" w:rsidP="007A11C8">
      <w:pPr>
        <w:autoSpaceDE w:val="0"/>
        <w:autoSpaceDN w:val="0"/>
        <w:adjustRightInd w:val="0"/>
        <w:jc w:val="both"/>
        <w:rPr>
          <w:rFonts w:cstheme="minorHAnsi"/>
          <w:sz w:val="24"/>
          <w:szCs w:val="24"/>
        </w:rPr>
      </w:pPr>
      <w:r w:rsidRPr="007A11C8">
        <w:rPr>
          <w:rFonts w:cstheme="minorHAnsi"/>
          <w:sz w:val="24"/>
          <w:szCs w:val="24"/>
        </w:rPr>
        <w:t>Our analysis provides new insights on how access to clean cooking services may change under</w:t>
      </w:r>
    </w:p>
    <w:p w14:paraId="35D68092" w14:textId="11758E3E" w:rsidR="00B73244" w:rsidRDefault="007A11C8" w:rsidP="007A11C8">
      <w:pPr>
        <w:autoSpaceDE w:val="0"/>
        <w:autoSpaceDN w:val="0"/>
        <w:adjustRightInd w:val="0"/>
        <w:jc w:val="both"/>
        <w:rPr>
          <w:rFonts w:cstheme="minorHAnsi"/>
          <w:sz w:val="24"/>
          <w:szCs w:val="24"/>
        </w:rPr>
      </w:pPr>
      <w:r w:rsidRPr="007A11C8">
        <w:rPr>
          <w:rFonts w:cstheme="minorHAnsi"/>
          <w:sz w:val="24"/>
          <w:szCs w:val="24"/>
        </w:rPr>
        <w:t xml:space="preserve">alternative reference, a slow pandemic recovery, and climate mitigation policy scenarios. We </w:t>
      </w:r>
      <w:r>
        <w:rPr>
          <w:rFonts w:cstheme="minorHAnsi"/>
          <w:sz w:val="24"/>
          <w:szCs w:val="24"/>
        </w:rPr>
        <w:t>fi</w:t>
      </w:r>
      <w:r w:rsidRPr="007A11C8">
        <w:rPr>
          <w:rFonts w:cstheme="minorHAnsi"/>
          <w:sz w:val="24"/>
          <w:szCs w:val="24"/>
        </w:rPr>
        <w:t>nd</w:t>
      </w:r>
      <w:r>
        <w:rPr>
          <w:rFonts w:cstheme="minorHAnsi"/>
          <w:sz w:val="24"/>
          <w:szCs w:val="24"/>
        </w:rPr>
        <w:t xml:space="preserve"> </w:t>
      </w:r>
      <w:r w:rsidRPr="007A11C8">
        <w:rPr>
          <w:rFonts w:cstheme="minorHAnsi"/>
          <w:sz w:val="24"/>
          <w:szCs w:val="24"/>
        </w:rPr>
        <w:t xml:space="preserve">that the </w:t>
      </w:r>
      <w:r w:rsidR="00B011E4" w:rsidRPr="007A11C8">
        <w:rPr>
          <w:rFonts w:cstheme="minorHAnsi"/>
          <w:sz w:val="24"/>
          <w:szCs w:val="24"/>
        </w:rPr>
        <w:t>S</w:t>
      </w:r>
      <w:r w:rsidR="00B011E4">
        <w:rPr>
          <w:rFonts w:cstheme="minorHAnsi"/>
          <w:sz w:val="24"/>
          <w:szCs w:val="24"/>
        </w:rPr>
        <w:t>DG</w:t>
      </w:r>
      <w:r w:rsidR="00B011E4" w:rsidRPr="007A11C8">
        <w:rPr>
          <w:rFonts w:cstheme="minorHAnsi"/>
          <w:sz w:val="24"/>
          <w:szCs w:val="24"/>
        </w:rPr>
        <w:t xml:space="preserve"> </w:t>
      </w:r>
      <w:r w:rsidRPr="007A11C8">
        <w:rPr>
          <w:rFonts w:cstheme="minorHAnsi"/>
          <w:sz w:val="24"/>
          <w:szCs w:val="24"/>
        </w:rPr>
        <w:t xml:space="preserve">7 target of universal </w:t>
      </w:r>
      <w:r w:rsidR="007B4478" w:rsidRPr="007A11C8">
        <w:rPr>
          <w:rFonts w:cstheme="minorHAnsi"/>
          <w:sz w:val="24"/>
          <w:szCs w:val="24"/>
        </w:rPr>
        <w:t xml:space="preserve">clean cooking </w:t>
      </w:r>
      <w:r w:rsidRPr="007A11C8">
        <w:rPr>
          <w:rFonts w:cstheme="minorHAnsi"/>
          <w:sz w:val="24"/>
          <w:szCs w:val="24"/>
        </w:rPr>
        <w:t>access by 2030 could be out of reach under</w:t>
      </w:r>
      <w:r>
        <w:rPr>
          <w:rFonts w:cstheme="minorHAnsi"/>
          <w:sz w:val="24"/>
          <w:szCs w:val="24"/>
        </w:rPr>
        <w:t xml:space="preserve"> </w:t>
      </w:r>
      <w:r w:rsidRPr="007A11C8">
        <w:rPr>
          <w:rFonts w:cstheme="minorHAnsi"/>
          <w:sz w:val="24"/>
          <w:szCs w:val="24"/>
        </w:rPr>
        <w:t xml:space="preserve">all </w:t>
      </w:r>
      <w:r w:rsidR="006E6237">
        <w:rPr>
          <w:rFonts w:cstheme="minorHAnsi"/>
          <w:sz w:val="24"/>
          <w:szCs w:val="24"/>
        </w:rPr>
        <w:t xml:space="preserve">the </w:t>
      </w:r>
      <w:r w:rsidRPr="007A11C8">
        <w:rPr>
          <w:rFonts w:cstheme="minorHAnsi"/>
          <w:sz w:val="24"/>
          <w:szCs w:val="24"/>
        </w:rPr>
        <w:t>scenarios</w:t>
      </w:r>
      <w:r w:rsidR="006E6237">
        <w:rPr>
          <w:rFonts w:cstheme="minorHAnsi"/>
          <w:sz w:val="24"/>
          <w:szCs w:val="24"/>
        </w:rPr>
        <w:t xml:space="preserve"> we explore</w:t>
      </w:r>
      <w:r w:rsidRPr="007A11C8">
        <w:rPr>
          <w:rFonts w:cstheme="minorHAnsi"/>
          <w:sz w:val="24"/>
          <w:szCs w:val="24"/>
        </w:rPr>
        <w:t xml:space="preserve">. </w:t>
      </w:r>
      <w:r w:rsidR="00FC4108">
        <w:rPr>
          <w:rFonts w:cstheme="minorHAnsi"/>
          <w:sz w:val="24"/>
          <w:szCs w:val="24"/>
        </w:rPr>
        <w:t>In</w:t>
      </w:r>
      <w:r w:rsidRPr="007A11C8">
        <w:rPr>
          <w:rFonts w:cstheme="minorHAnsi"/>
          <w:sz w:val="24"/>
          <w:szCs w:val="24"/>
        </w:rPr>
        <w:t xml:space="preserve"> regions that currently have the </w:t>
      </w:r>
      <w:r w:rsidR="008C530E">
        <w:rPr>
          <w:rFonts w:cstheme="minorHAnsi"/>
          <w:sz w:val="24"/>
          <w:szCs w:val="24"/>
        </w:rPr>
        <w:t>highest access gaps</w:t>
      </w:r>
      <w:r w:rsidRPr="007A11C8">
        <w:rPr>
          <w:rFonts w:cstheme="minorHAnsi"/>
          <w:sz w:val="24"/>
          <w:szCs w:val="24"/>
        </w:rPr>
        <w:t>, speci</w:t>
      </w:r>
      <w:r>
        <w:rPr>
          <w:rFonts w:cstheme="minorHAnsi"/>
          <w:sz w:val="24"/>
          <w:szCs w:val="24"/>
        </w:rPr>
        <w:t>fi</w:t>
      </w:r>
      <w:r w:rsidRPr="007A11C8">
        <w:rPr>
          <w:rFonts w:cstheme="minorHAnsi"/>
          <w:sz w:val="24"/>
          <w:szCs w:val="24"/>
        </w:rPr>
        <w:t>cally AFR, SAS, PAS, and LAM</w:t>
      </w:r>
      <w:r w:rsidR="00684CE2">
        <w:rPr>
          <w:rFonts w:cstheme="minorHAnsi"/>
          <w:sz w:val="24"/>
          <w:szCs w:val="24"/>
        </w:rPr>
        <w:t>,</w:t>
      </w:r>
      <w:r w:rsidRPr="007A11C8">
        <w:rPr>
          <w:rFonts w:cstheme="minorHAnsi"/>
          <w:sz w:val="24"/>
          <w:szCs w:val="24"/>
        </w:rPr>
        <w:t xml:space="preserve"> universal</w:t>
      </w:r>
      <w:r>
        <w:rPr>
          <w:rFonts w:cstheme="minorHAnsi"/>
          <w:sz w:val="24"/>
          <w:szCs w:val="24"/>
        </w:rPr>
        <w:t xml:space="preserve"> </w:t>
      </w:r>
      <w:r w:rsidRPr="007A11C8">
        <w:rPr>
          <w:rFonts w:cstheme="minorHAnsi"/>
          <w:sz w:val="24"/>
          <w:szCs w:val="24"/>
        </w:rPr>
        <w:t xml:space="preserve">access may not be achieved even in 2050. A </w:t>
      </w:r>
      <w:r w:rsidR="00B41869">
        <w:rPr>
          <w:rFonts w:cstheme="minorHAnsi"/>
          <w:sz w:val="24"/>
          <w:szCs w:val="24"/>
        </w:rPr>
        <w:t>protracted recession</w:t>
      </w:r>
      <w:r w:rsidRPr="007A11C8">
        <w:rPr>
          <w:rFonts w:cstheme="minorHAnsi"/>
          <w:sz w:val="24"/>
          <w:szCs w:val="24"/>
        </w:rPr>
        <w:t xml:space="preserve"> </w:t>
      </w:r>
      <w:r w:rsidR="00B6463E">
        <w:rPr>
          <w:rFonts w:cstheme="minorHAnsi"/>
          <w:sz w:val="24"/>
          <w:szCs w:val="24"/>
        </w:rPr>
        <w:t>following</w:t>
      </w:r>
      <w:r w:rsidR="00B6463E" w:rsidRPr="007A11C8">
        <w:rPr>
          <w:rFonts w:cstheme="minorHAnsi"/>
          <w:sz w:val="24"/>
          <w:szCs w:val="24"/>
        </w:rPr>
        <w:t xml:space="preserve"> </w:t>
      </w:r>
      <w:r w:rsidRPr="007A11C8">
        <w:rPr>
          <w:rFonts w:cstheme="minorHAnsi"/>
          <w:sz w:val="24"/>
          <w:szCs w:val="24"/>
        </w:rPr>
        <w:t>the pandemic</w:t>
      </w:r>
      <w:r>
        <w:rPr>
          <w:rFonts w:cstheme="minorHAnsi"/>
          <w:sz w:val="24"/>
          <w:szCs w:val="24"/>
        </w:rPr>
        <w:t xml:space="preserve"> </w:t>
      </w:r>
      <w:r w:rsidRPr="007A11C8">
        <w:rPr>
          <w:rFonts w:cstheme="minorHAnsi"/>
          <w:sz w:val="24"/>
          <w:szCs w:val="24"/>
        </w:rPr>
        <w:t xml:space="preserve">could further retard progress towards achieving this goal. </w:t>
      </w:r>
      <w:r w:rsidR="00416050" w:rsidRPr="007A11C8">
        <w:rPr>
          <w:rFonts w:cstheme="minorHAnsi"/>
          <w:sz w:val="24"/>
          <w:szCs w:val="24"/>
        </w:rPr>
        <w:t xml:space="preserve">Our </w:t>
      </w:r>
      <w:r w:rsidR="00416050">
        <w:rPr>
          <w:rFonts w:cstheme="minorHAnsi"/>
          <w:sz w:val="24"/>
          <w:szCs w:val="24"/>
        </w:rPr>
        <w:t>finding</w:t>
      </w:r>
      <w:r w:rsidRPr="007A11C8">
        <w:rPr>
          <w:rFonts w:cstheme="minorHAnsi"/>
          <w:sz w:val="24"/>
          <w:szCs w:val="24"/>
        </w:rPr>
        <w:t xml:space="preserve"> resonates with</w:t>
      </w:r>
      <w:r>
        <w:rPr>
          <w:rFonts w:cstheme="minorHAnsi"/>
          <w:sz w:val="24"/>
          <w:szCs w:val="24"/>
        </w:rPr>
        <w:t xml:space="preserve"> </w:t>
      </w:r>
      <w:r w:rsidRPr="007A11C8">
        <w:rPr>
          <w:rFonts w:cstheme="minorHAnsi"/>
          <w:sz w:val="24"/>
          <w:szCs w:val="24"/>
        </w:rPr>
        <w:t>recent analysis that suggests that the pandemic aftermath could push half a billion people back</w:t>
      </w:r>
      <w:r>
        <w:rPr>
          <w:rFonts w:cstheme="minorHAnsi"/>
          <w:sz w:val="24"/>
          <w:szCs w:val="24"/>
        </w:rPr>
        <w:t xml:space="preserve"> </w:t>
      </w:r>
      <w:r w:rsidRPr="007A11C8">
        <w:rPr>
          <w:rFonts w:cstheme="minorHAnsi"/>
          <w:sz w:val="24"/>
          <w:szCs w:val="24"/>
        </w:rPr>
        <w:t xml:space="preserve">into </w:t>
      </w:r>
      <w:r w:rsidR="002054A1">
        <w:rPr>
          <w:rFonts w:cstheme="minorHAnsi"/>
          <w:sz w:val="24"/>
          <w:szCs w:val="24"/>
        </w:rPr>
        <w:t xml:space="preserve">extreme </w:t>
      </w:r>
      <w:r w:rsidRPr="007A11C8">
        <w:rPr>
          <w:rFonts w:cstheme="minorHAnsi"/>
          <w:sz w:val="24"/>
          <w:szCs w:val="24"/>
        </w:rPr>
        <w:t>poverty</w:t>
      </w:r>
      <w:r w:rsidR="00322363">
        <w:rPr>
          <w:rFonts w:cstheme="minorHAnsi"/>
          <w:sz w:val="24"/>
          <w:szCs w:val="24"/>
        </w:rPr>
        <w:fldChar w:fldCharType="begin" w:fldLock="1"/>
      </w:r>
      <w:r w:rsidR="00803BBF">
        <w:rPr>
          <w:rFonts w:cstheme="minorHAnsi"/>
          <w:sz w:val="24"/>
          <w:szCs w:val="24"/>
        </w:rPr>
        <w:instrText>ADDIN CSL_CITATION {"citationItems":[{"id":"ITEM-1","itemData":{"ISBN":"9789292568009","abstract":"In this paper we make estimates of the potential short-term economic impact of COVID-19 on global monetary poverty through contractions in per capita household income or consumption. Our estimates are based on three scenarios: low, medium, and high global contractions of 5, 10, and 20 per cent; we calculate the impact of each of these scenarios on the poverty headcount using the international poverty lines of US$1.90, US$3.20 and US$5.50 per day. Our estimates show that COVID poses a real challenge to the UN Sustainable Development Goal of ending poverty by 2030 because global poverty could increase for the first time since 1990 and, depending on the poverty line, such increase could represent a reversal of approximately a decade in the world’s progress in reducing poverty. In some regions the adverse impacts could result in poverty levels similar to those recorded 30 years ago. Under the most extreme scenario of a 20 per cent income or consumption contraction, the number of people living in poverty could increase by 420–580 million, relative to the latest official recorded figures for 2018.","author":[{"dropping-particle":"","family":"Sumner, A., Hoy, C. &amp; Ortiz-Juarez","given":"E.","non-dropping-particle":"","parse-names":false,"suffix":""}],"container-title":"UNU WIDER Working Paper 2020/43","id":"ITEM-1","issue":"April","issued":{"date-parts":[["2020","4"]]},"number":"43","number-of-pages":"1-14","publisher":"UNU-WIDER","publisher-place":"Helsinki, Finland","title":"Estimates of the impact of COVID-19 on global poverty","type":"report"},"uris":["http://www.mendeley.com/documents/?uuid=066dda87-8aa7-405e-ab2f-3822a5f79110","http://www.mendeley.com/documents/?uuid=6ba0a34d-3301-4252-a6d7-f5789722087f"]}],"mendeley":{"formattedCitation":"&lt;sup&gt;28&lt;/sup&gt;","plainTextFormattedCitation":"28","previouslyFormattedCitation":"&lt;sup&gt;28&lt;/sup&gt;"},"properties":{"noteIndex":0},"schema":"https://github.com/citation-style-language/schema/raw/master/csl-citation.json"}</w:instrText>
      </w:r>
      <w:r w:rsidR="00322363">
        <w:rPr>
          <w:rFonts w:cstheme="minorHAnsi"/>
          <w:sz w:val="24"/>
          <w:szCs w:val="24"/>
        </w:rPr>
        <w:fldChar w:fldCharType="separate"/>
      </w:r>
      <w:r w:rsidR="00CE47D8" w:rsidRPr="00CE47D8">
        <w:rPr>
          <w:rFonts w:cstheme="minorHAnsi"/>
          <w:noProof/>
          <w:sz w:val="24"/>
          <w:szCs w:val="24"/>
          <w:vertAlign w:val="superscript"/>
        </w:rPr>
        <w:t>28</w:t>
      </w:r>
      <w:r w:rsidR="00322363">
        <w:rPr>
          <w:rFonts w:cstheme="minorHAnsi"/>
          <w:sz w:val="24"/>
          <w:szCs w:val="24"/>
        </w:rPr>
        <w:fldChar w:fldCharType="end"/>
      </w:r>
      <w:r w:rsidRPr="007A11C8">
        <w:rPr>
          <w:rFonts w:cstheme="minorHAnsi"/>
          <w:sz w:val="24"/>
          <w:szCs w:val="24"/>
        </w:rPr>
        <w:t xml:space="preserve">. Climate mitigation policies </w:t>
      </w:r>
      <w:r w:rsidR="00027B3C">
        <w:rPr>
          <w:rFonts w:cstheme="minorHAnsi"/>
          <w:sz w:val="24"/>
          <w:szCs w:val="24"/>
        </w:rPr>
        <w:t>may</w:t>
      </w:r>
      <w:r w:rsidR="00027B3C" w:rsidRPr="007A11C8">
        <w:rPr>
          <w:rFonts w:cstheme="minorHAnsi"/>
          <w:sz w:val="24"/>
          <w:szCs w:val="24"/>
        </w:rPr>
        <w:t xml:space="preserve"> </w:t>
      </w:r>
      <w:r w:rsidRPr="007A11C8">
        <w:rPr>
          <w:rFonts w:cstheme="minorHAnsi"/>
          <w:sz w:val="24"/>
          <w:szCs w:val="24"/>
        </w:rPr>
        <w:t>also hamper a transition to fossil-based cleaner</w:t>
      </w:r>
      <w:r>
        <w:rPr>
          <w:rFonts w:cstheme="minorHAnsi"/>
          <w:sz w:val="24"/>
          <w:szCs w:val="24"/>
        </w:rPr>
        <w:t xml:space="preserve"> </w:t>
      </w:r>
      <w:r w:rsidRPr="007A11C8">
        <w:rPr>
          <w:rFonts w:cstheme="minorHAnsi"/>
          <w:sz w:val="24"/>
          <w:szCs w:val="24"/>
        </w:rPr>
        <w:t xml:space="preserve">burning cooking fuels by making these more expensive and out of reach </w:t>
      </w:r>
      <w:r w:rsidR="00F1080D">
        <w:rPr>
          <w:rFonts w:cstheme="minorHAnsi"/>
          <w:sz w:val="24"/>
          <w:szCs w:val="24"/>
        </w:rPr>
        <w:t>of</w:t>
      </w:r>
      <w:r w:rsidR="00F1080D" w:rsidRPr="007A11C8">
        <w:rPr>
          <w:rFonts w:cstheme="minorHAnsi"/>
          <w:sz w:val="24"/>
          <w:szCs w:val="24"/>
        </w:rPr>
        <w:t xml:space="preserve"> </w:t>
      </w:r>
      <w:r w:rsidRPr="007A11C8">
        <w:rPr>
          <w:rFonts w:cstheme="minorHAnsi"/>
          <w:sz w:val="24"/>
          <w:szCs w:val="24"/>
        </w:rPr>
        <w:t>many</w:t>
      </w:r>
      <w:r w:rsidR="000912B9">
        <w:rPr>
          <w:rFonts w:cstheme="minorHAnsi"/>
          <w:sz w:val="24"/>
          <w:szCs w:val="24"/>
        </w:rPr>
        <w:t>,</w:t>
      </w:r>
      <w:r w:rsidRPr="007A11C8">
        <w:rPr>
          <w:rFonts w:cstheme="minorHAnsi"/>
          <w:sz w:val="24"/>
          <w:szCs w:val="24"/>
        </w:rPr>
        <w:t xml:space="preserve"> if not twinned</w:t>
      </w:r>
      <w:r w:rsidR="00416050">
        <w:rPr>
          <w:rFonts w:cstheme="minorHAnsi"/>
          <w:sz w:val="24"/>
          <w:szCs w:val="24"/>
        </w:rPr>
        <w:t xml:space="preserve"> </w:t>
      </w:r>
      <w:r w:rsidRPr="007A11C8">
        <w:rPr>
          <w:rFonts w:cstheme="minorHAnsi"/>
          <w:sz w:val="24"/>
          <w:szCs w:val="24"/>
        </w:rPr>
        <w:t>with appropriate additional policies</w:t>
      </w:r>
      <w:r w:rsidR="009D2BAF">
        <w:rPr>
          <w:rFonts w:cstheme="minorHAnsi"/>
          <w:sz w:val="24"/>
          <w:szCs w:val="24"/>
        </w:rPr>
        <w:t xml:space="preserve">, specifically </w:t>
      </w:r>
      <w:r w:rsidR="002715DD">
        <w:rPr>
          <w:rFonts w:cstheme="minorHAnsi"/>
          <w:sz w:val="24"/>
          <w:szCs w:val="24"/>
        </w:rPr>
        <w:t>targeting</w:t>
      </w:r>
      <w:r w:rsidRPr="007A11C8">
        <w:rPr>
          <w:rFonts w:cstheme="minorHAnsi"/>
          <w:sz w:val="24"/>
          <w:szCs w:val="24"/>
        </w:rPr>
        <w:t xml:space="preserve"> the </w:t>
      </w:r>
      <w:r w:rsidR="00442A5E">
        <w:rPr>
          <w:rFonts w:cstheme="minorHAnsi"/>
          <w:sz w:val="24"/>
          <w:szCs w:val="24"/>
        </w:rPr>
        <w:t xml:space="preserve">cooking </w:t>
      </w:r>
      <w:r w:rsidRPr="007A11C8">
        <w:rPr>
          <w:rFonts w:cstheme="minorHAnsi"/>
          <w:sz w:val="24"/>
          <w:szCs w:val="24"/>
        </w:rPr>
        <w:t>poor in AFR, parts of developing Asia, and LAM.</w:t>
      </w:r>
    </w:p>
    <w:p w14:paraId="6C73783C" w14:textId="24D8806C" w:rsidR="00E75494" w:rsidRDefault="00E75494" w:rsidP="007A11C8">
      <w:pPr>
        <w:autoSpaceDE w:val="0"/>
        <w:autoSpaceDN w:val="0"/>
        <w:adjustRightInd w:val="0"/>
        <w:jc w:val="both"/>
        <w:rPr>
          <w:rFonts w:cstheme="minorHAnsi"/>
          <w:sz w:val="24"/>
          <w:szCs w:val="24"/>
        </w:rPr>
      </w:pPr>
    </w:p>
    <w:p w14:paraId="20C374FF" w14:textId="0D373B51" w:rsidR="00E75494" w:rsidRDefault="00113F52" w:rsidP="006379DB">
      <w:pPr>
        <w:autoSpaceDE w:val="0"/>
        <w:autoSpaceDN w:val="0"/>
        <w:adjustRightInd w:val="0"/>
        <w:jc w:val="both"/>
        <w:rPr>
          <w:rFonts w:cstheme="minorHAnsi"/>
          <w:sz w:val="24"/>
          <w:szCs w:val="24"/>
        </w:rPr>
      </w:pPr>
      <w:r>
        <w:rPr>
          <w:rFonts w:cstheme="minorHAnsi"/>
          <w:sz w:val="24"/>
          <w:szCs w:val="24"/>
        </w:rPr>
        <w:t>The</w:t>
      </w:r>
      <w:r w:rsidR="006379DB" w:rsidRPr="006379DB">
        <w:rPr>
          <w:rFonts w:cstheme="minorHAnsi"/>
          <w:sz w:val="24"/>
          <w:szCs w:val="24"/>
        </w:rPr>
        <w:t xml:space="preserve"> location and supply of fuels and their a</w:t>
      </w:r>
      <w:r w:rsidR="008B522A">
        <w:rPr>
          <w:rFonts w:cstheme="minorHAnsi"/>
          <w:sz w:val="24"/>
          <w:szCs w:val="24"/>
        </w:rPr>
        <w:t>ff</w:t>
      </w:r>
      <w:r w:rsidR="006379DB" w:rsidRPr="006379DB">
        <w:rPr>
          <w:rFonts w:cstheme="minorHAnsi"/>
          <w:sz w:val="24"/>
          <w:szCs w:val="24"/>
        </w:rPr>
        <w:t>ordability</w:t>
      </w:r>
      <w:r>
        <w:rPr>
          <w:rFonts w:cstheme="minorHAnsi"/>
          <w:sz w:val="24"/>
          <w:szCs w:val="24"/>
        </w:rPr>
        <w:t xml:space="preserve"> are critical </w:t>
      </w:r>
      <w:r w:rsidR="005C1B8A">
        <w:rPr>
          <w:rFonts w:cstheme="minorHAnsi"/>
          <w:sz w:val="24"/>
          <w:szCs w:val="24"/>
        </w:rPr>
        <w:t>drivers of</w:t>
      </w:r>
      <w:r>
        <w:rPr>
          <w:rFonts w:cstheme="minorHAnsi"/>
          <w:sz w:val="24"/>
          <w:szCs w:val="24"/>
        </w:rPr>
        <w:t xml:space="preserve"> the </w:t>
      </w:r>
      <w:r w:rsidR="0081716F">
        <w:rPr>
          <w:rFonts w:cstheme="minorHAnsi"/>
          <w:sz w:val="24"/>
          <w:szCs w:val="24"/>
        </w:rPr>
        <w:t>trends we observe</w:t>
      </w:r>
      <w:r w:rsidR="006379DB" w:rsidRPr="006379DB">
        <w:rPr>
          <w:rFonts w:cstheme="minorHAnsi"/>
          <w:sz w:val="24"/>
          <w:szCs w:val="24"/>
        </w:rPr>
        <w:t>. In MEA,</w:t>
      </w:r>
      <w:r w:rsidR="008B522A">
        <w:rPr>
          <w:rFonts w:cstheme="minorHAnsi"/>
          <w:sz w:val="24"/>
          <w:szCs w:val="24"/>
        </w:rPr>
        <w:t xml:space="preserve"> </w:t>
      </w:r>
      <w:r w:rsidR="006379DB" w:rsidRPr="006379DB">
        <w:rPr>
          <w:rFonts w:cstheme="minorHAnsi"/>
          <w:sz w:val="24"/>
          <w:szCs w:val="24"/>
        </w:rPr>
        <w:t xml:space="preserve">where biomass supply is limited, </w:t>
      </w:r>
      <w:r w:rsidR="00A57151" w:rsidRPr="006379DB">
        <w:rPr>
          <w:rFonts w:cstheme="minorHAnsi"/>
          <w:sz w:val="24"/>
          <w:szCs w:val="24"/>
        </w:rPr>
        <w:t xml:space="preserve">we </w:t>
      </w:r>
      <w:r w:rsidR="00A57151">
        <w:rPr>
          <w:rFonts w:cstheme="minorHAnsi"/>
          <w:sz w:val="24"/>
          <w:szCs w:val="24"/>
        </w:rPr>
        <w:t>find</w:t>
      </w:r>
      <w:r w:rsidR="006379DB" w:rsidRPr="006379DB">
        <w:rPr>
          <w:rFonts w:cstheme="minorHAnsi"/>
          <w:sz w:val="24"/>
          <w:szCs w:val="24"/>
        </w:rPr>
        <w:t xml:space="preserve"> dependence on cheap kerosene could remain high. In</w:t>
      </w:r>
      <w:r w:rsidR="0063292C">
        <w:rPr>
          <w:rFonts w:cstheme="minorHAnsi"/>
          <w:sz w:val="24"/>
          <w:szCs w:val="24"/>
        </w:rPr>
        <w:t xml:space="preserve"> </w:t>
      </w:r>
      <w:r w:rsidR="006379DB" w:rsidRPr="006379DB">
        <w:rPr>
          <w:rFonts w:cstheme="minorHAnsi"/>
          <w:sz w:val="24"/>
          <w:szCs w:val="24"/>
        </w:rPr>
        <w:t xml:space="preserve">AFR and LAM, where </w:t>
      </w:r>
      <w:r w:rsidR="00E77D42" w:rsidRPr="006379DB">
        <w:rPr>
          <w:rFonts w:cstheme="minorHAnsi"/>
          <w:sz w:val="24"/>
          <w:szCs w:val="24"/>
        </w:rPr>
        <w:t>many</w:t>
      </w:r>
      <w:r w:rsidR="006379DB" w:rsidRPr="006379DB">
        <w:rPr>
          <w:rFonts w:cstheme="minorHAnsi"/>
          <w:sz w:val="24"/>
          <w:szCs w:val="24"/>
        </w:rPr>
        <w:t xml:space="preserve"> households </w:t>
      </w:r>
      <w:r w:rsidR="0081716F">
        <w:rPr>
          <w:rFonts w:cstheme="minorHAnsi"/>
          <w:sz w:val="24"/>
          <w:szCs w:val="24"/>
        </w:rPr>
        <w:t>are</w:t>
      </w:r>
      <w:r w:rsidR="006379DB" w:rsidRPr="006379DB">
        <w:rPr>
          <w:rFonts w:cstheme="minorHAnsi"/>
          <w:sz w:val="24"/>
          <w:szCs w:val="24"/>
        </w:rPr>
        <w:t xml:space="preserve"> remote</w:t>
      </w:r>
      <w:r w:rsidR="00713041">
        <w:rPr>
          <w:rFonts w:cstheme="minorHAnsi"/>
          <w:sz w:val="24"/>
          <w:szCs w:val="24"/>
        </w:rPr>
        <w:t>ly</w:t>
      </w:r>
      <w:r w:rsidR="006379DB" w:rsidRPr="006379DB">
        <w:rPr>
          <w:rFonts w:cstheme="minorHAnsi"/>
          <w:sz w:val="24"/>
          <w:szCs w:val="24"/>
        </w:rPr>
        <w:t xml:space="preserve"> </w:t>
      </w:r>
      <w:r w:rsidR="00713041" w:rsidRPr="006379DB">
        <w:rPr>
          <w:rFonts w:cstheme="minorHAnsi"/>
          <w:sz w:val="24"/>
          <w:szCs w:val="24"/>
        </w:rPr>
        <w:t>locat</w:t>
      </w:r>
      <w:r w:rsidR="00713041">
        <w:rPr>
          <w:rFonts w:cstheme="minorHAnsi"/>
          <w:sz w:val="24"/>
          <w:szCs w:val="24"/>
        </w:rPr>
        <w:t>ed</w:t>
      </w:r>
      <w:r w:rsidR="00D01E91">
        <w:rPr>
          <w:rFonts w:cstheme="minorHAnsi"/>
          <w:sz w:val="24"/>
          <w:szCs w:val="24"/>
        </w:rPr>
        <w:t>,</w:t>
      </w:r>
      <w:r w:rsidR="00862FBC">
        <w:rPr>
          <w:rFonts w:cstheme="minorHAnsi"/>
          <w:sz w:val="24"/>
          <w:szCs w:val="24"/>
        </w:rPr>
        <w:t xml:space="preserve"> with</w:t>
      </w:r>
      <w:r w:rsidR="006315AE">
        <w:rPr>
          <w:rFonts w:cstheme="minorHAnsi"/>
          <w:sz w:val="24"/>
          <w:szCs w:val="24"/>
        </w:rPr>
        <w:t>in</w:t>
      </w:r>
      <w:r w:rsidR="00862FBC">
        <w:rPr>
          <w:rFonts w:cstheme="minorHAnsi"/>
          <w:sz w:val="24"/>
          <w:szCs w:val="24"/>
        </w:rPr>
        <w:t xml:space="preserve"> easy access to</w:t>
      </w:r>
      <w:r w:rsidR="00713041" w:rsidRPr="006379DB">
        <w:rPr>
          <w:rFonts w:cstheme="minorHAnsi"/>
          <w:sz w:val="24"/>
          <w:szCs w:val="24"/>
        </w:rPr>
        <w:t xml:space="preserve"> </w:t>
      </w:r>
      <w:r w:rsidR="00862FBC" w:rsidRPr="006379DB">
        <w:rPr>
          <w:rFonts w:cstheme="minorHAnsi"/>
          <w:sz w:val="24"/>
          <w:szCs w:val="24"/>
        </w:rPr>
        <w:t>biomass</w:t>
      </w:r>
      <w:r w:rsidR="00862FBC">
        <w:rPr>
          <w:rFonts w:cstheme="minorHAnsi"/>
          <w:sz w:val="24"/>
          <w:szCs w:val="24"/>
        </w:rPr>
        <w:t xml:space="preserve"> </w:t>
      </w:r>
      <w:r w:rsidR="00862FBC" w:rsidRPr="006379DB">
        <w:rPr>
          <w:rFonts w:cstheme="minorHAnsi"/>
          <w:sz w:val="24"/>
          <w:szCs w:val="24"/>
        </w:rPr>
        <w:t>resources</w:t>
      </w:r>
      <w:r w:rsidR="00862FBC" w:rsidRPr="006379DB" w:rsidDel="00713041">
        <w:rPr>
          <w:rFonts w:cstheme="minorHAnsi"/>
          <w:sz w:val="24"/>
          <w:szCs w:val="24"/>
        </w:rPr>
        <w:t xml:space="preserve"> </w:t>
      </w:r>
      <w:r w:rsidR="00713041">
        <w:rPr>
          <w:rFonts w:cstheme="minorHAnsi"/>
          <w:sz w:val="24"/>
          <w:szCs w:val="24"/>
        </w:rPr>
        <w:t>and</w:t>
      </w:r>
      <w:r w:rsidR="00713041" w:rsidRPr="006379DB">
        <w:rPr>
          <w:rFonts w:cstheme="minorHAnsi"/>
          <w:sz w:val="24"/>
          <w:szCs w:val="24"/>
        </w:rPr>
        <w:t xml:space="preserve"> </w:t>
      </w:r>
      <w:r w:rsidR="00920E2A">
        <w:rPr>
          <w:rFonts w:cstheme="minorHAnsi"/>
          <w:sz w:val="24"/>
          <w:szCs w:val="24"/>
        </w:rPr>
        <w:t xml:space="preserve">with </w:t>
      </w:r>
      <w:r w:rsidR="006379DB" w:rsidRPr="006379DB">
        <w:rPr>
          <w:rFonts w:cstheme="minorHAnsi"/>
          <w:sz w:val="24"/>
          <w:szCs w:val="24"/>
        </w:rPr>
        <w:t xml:space="preserve">limited access to modern cooking </w:t>
      </w:r>
      <w:r w:rsidR="00AC1296" w:rsidRPr="006379DB">
        <w:rPr>
          <w:rFonts w:cstheme="minorHAnsi"/>
          <w:sz w:val="24"/>
          <w:szCs w:val="24"/>
        </w:rPr>
        <w:t>services</w:t>
      </w:r>
      <w:r w:rsidR="006379DB" w:rsidRPr="006379DB">
        <w:rPr>
          <w:rFonts w:cstheme="minorHAnsi"/>
          <w:sz w:val="24"/>
          <w:szCs w:val="24"/>
        </w:rPr>
        <w:t xml:space="preserve">, we </w:t>
      </w:r>
      <w:r w:rsidR="0063292C">
        <w:rPr>
          <w:rFonts w:cstheme="minorHAnsi"/>
          <w:sz w:val="24"/>
          <w:szCs w:val="24"/>
        </w:rPr>
        <w:t>fi</w:t>
      </w:r>
      <w:r w:rsidR="006379DB" w:rsidRPr="006379DB">
        <w:rPr>
          <w:rFonts w:cstheme="minorHAnsi"/>
          <w:sz w:val="24"/>
          <w:szCs w:val="24"/>
        </w:rPr>
        <w:t xml:space="preserve">nd biomass dependency is likely to persist. For these </w:t>
      </w:r>
      <w:r w:rsidR="00FE01E7">
        <w:rPr>
          <w:rFonts w:cstheme="minorHAnsi"/>
          <w:sz w:val="24"/>
          <w:szCs w:val="24"/>
        </w:rPr>
        <w:t>populations</w:t>
      </w:r>
      <w:r w:rsidR="00AC067E">
        <w:rPr>
          <w:rFonts w:cstheme="minorHAnsi"/>
          <w:sz w:val="24"/>
          <w:szCs w:val="24"/>
        </w:rPr>
        <w:t>,</w:t>
      </w:r>
      <w:r w:rsidR="006379DB" w:rsidRPr="006379DB">
        <w:rPr>
          <w:rFonts w:cstheme="minorHAnsi"/>
          <w:sz w:val="24"/>
          <w:szCs w:val="24"/>
        </w:rPr>
        <w:t xml:space="preserve"> the inconveniences and health impacts of cooking with </w:t>
      </w:r>
      <w:r w:rsidR="00CE760A">
        <w:rPr>
          <w:rFonts w:cstheme="minorHAnsi"/>
          <w:sz w:val="24"/>
          <w:szCs w:val="24"/>
        </w:rPr>
        <w:t xml:space="preserve">polluting </w:t>
      </w:r>
      <w:r w:rsidR="00E83500">
        <w:rPr>
          <w:rFonts w:cstheme="minorHAnsi"/>
          <w:sz w:val="24"/>
          <w:szCs w:val="24"/>
        </w:rPr>
        <w:t>stoves</w:t>
      </w:r>
      <w:r w:rsidR="00CE760A">
        <w:rPr>
          <w:rFonts w:cstheme="minorHAnsi"/>
          <w:sz w:val="24"/>
          <w:szCs w:val="24"/>
        </w:rPr>
        <w:t xml:space="preserve"> need to be</w:t>
      </w:r>
      <w:r w:rsidR="006379DB" w:rsidRPr="006379DB">
        <w:rPr>
          <w:rFonts w:cstheme="minorHAnsi"/>
          <w:sz w:val="24"/>
          <w:szCs w:val="24"/>
        </w:rPr>
        <w:t xml:space="preserve"> factored into the household choice decision.</w:t>
      </w:r>
      <w:r w:rsidR="0063292C">
        <w:rPr>
          <w:rFonts w:cstheme="minorHAnsi"/>
          <w:sz w:val="24"/>
          <w:szCs w:val="24"/>
        </w:rPr>
        <w:t xml:space="preserve"> </w:t>
      </w:r>
      <w:r w:rsidR="004A6CB6">
        <w:rPr>
          <w:rFonts w:cstheme="minorHAnsi"/>
          <w:sz w:val="24"/>
          <w:szCs w:val="24"/>
        </w:rPr>
        <w:t>This requires</w:t>
      </w:r>
      <w:r w:rsidR="004A6CB6" w:rsidRPr="006379DB">
        <w:rPr>
          <w:rFonts w:cstheme="minorHAnsi"/>
          <w:sz w:val="24"/>
          <w:szCs w:val="24"/>
        </w:rPr>
        <w:t xml:space="preserve"> </w:t>
      </w:r>
      <w:r w:rsidR="006379DB" w:rsidRPr="006379DB">
        <w:rPr>
          <w:rFonts w:cstheme="minorHAnsi"/>
          <w:sz w:val="24"/>
          <w:szCs w:val="24"/>
        </w:rPr>
        <w:t>committed and sustained policies to provide easy access to modern fuels and stoves at</w:t>
      </w:r>
      <w:r w:rsidR="0063292C">
        <w:rPr>
          <w:rFonts w:cstheme="minorHAnsi"/>
          <w:sz w:val="24"/>
          <w:szCs w:val="24"/>
        </w:rPr>
        <w:t xml:space="preserve"> </w:t>
      </w:r>
      <w:r w:rsidR="006379DB" w:rsidRPr="006379DB">
        <w:rPr>
          <w:rFonts w:cstheme="minorHAnsi"/>
          <w:sz w:val="24"/>
          <w:szCs w:val="24"/>
        </w:rPr>
        <w:t>a</w:t>
      </w:r>
      <w:r w:rsidR="004A0C7C">
        <w:rPr>
          <w:rFonts w:cstheme="minorHAnsi"/>
          <w:sz w:val="24"/>
          <w:szCs w:val="24"/>
        </w:rPr>
        <w:t>ff</w:t>
      </w:r>
      <w:r w:rsidR="006379DB" w:rsidRPr="006379DB">
        <w:rPr>
          <w:rFonts w:cstheme="minorHAnsi"/>
          <w:sz w:val="24"/>
          <w:szCs w:val="24"/>
        </w:rPr>
        <w:t>ordable prices, and information and behavior change messaging. If anything, studies in regions that are enforcing such</w:t>
      </w:r>
      <w:r w:rsidR="004A0C7C">
        <w:rPr>
          <w:rFonts w:cstheme="minorHAnsi"/>
          <w:sz w:val="24"/>
          <w:szCs w:val="24"/>
        </w:rPr>
        <w:t xml:space="preserve"> </w:t>
      </w:r>
      <w:r w:rsidR="006379DB" w:rsidRPr="006379DB">
        <w:rPr>
          <w:rFonts w:cstheme="minorHAnsi"/>
          <w:sz w:val="24"/>
          <w:szCs w:val="24"/>
        </w:rPr>
        <w:t>policies</w:t>
      </w:r>
      <w:r w:rsidR="00225E81">
        <w:rPr>
          <w:rFonts w:cstheme="minorHAnsi"/>
          <w:sz w:val="24"/>
          <w:szCs w:val="24"/>
        </w:rPr>
        <w:t xml:space="preserve"> now</w:t>
      </w:r>
      <w:r w:rsidR="006379DB" w:rsidRPr="006379DB">
        <w:rPr>
          <w:rFonts w:cstheme="minorHAnsi"/>
          <w:sz w:val="24"/>
          <w:szCs w:val="24"/>
        </w:rPr>
        <w:t xml:space="preserve"> (e.g. India) show that these </w:t>
      </w:r>
      <w:r w:rsidR="002606FF" w:rsidRPr="006379DB">
        <w:rPr>
          <w:rFonts w:cstheme="minorHAnsi"/>
          <w:sz w:val="24"/>
          <w:szCs w:val="24"/>
        </w:rPr>
        <w:t>behaviors</w:t>
      </w:r>
      <w:r w:rsidR="006379DB" w:rsidRPr="006379DB">
        <w:rPr>
          <w:rFonts w:cstheme="minorHAnsi"/>
          <w:sz w:val="24"/>
          <w:szCs w:val="24"/>
        </w:rPr>
        <w:t xml:space="preserve"> </w:t>
      </w:r>
      <w:r w:rsidR="006C15A4">
        <w:rPr>
          <w:rFonts w:cstheme="minorHAnsi"/>
          <w:sz w:val="24"/>
          <w:szCs w:val="24"/>
        </w:rPr>
        <w:t>can be</w:t>
      </w:r>
      <w:r w:rsidR="006C15A4" w:rsidRPr="006379DB">
        <w:rPr>
          <w:rFonts w:cstheme="minorHAnsi"/>
          <w:sz w:val="24"/>
          <w:szCs w:val="24"/>
        </w:rPr>
        <w:t xml:space="preserve"> </w:t>
      </w:r>
      <w:r w:rsidR="006379DB" w:rsidRPr="006379DB">
        <w:rPr>
          <w:rFonts w:cstheme="minorHAnsi"/>
          <w:sz w:val="24"/>
          <w:szCs w:val="24"/>
        </w:rPr>
        <w:t>persistent, and providing households access to new stoves and cleaner burning fuels alone may not be enough to promote their regular use</w:t>
      </w:r>
      <w:r w:rsidR="004F163C">
        <w:rPr>
          <w:rFonts w:cstheme="minorHAnsi"/>
          <w:sz w:val="24"/>
          <w:szCs w:val="24"/>
        </w:rPr>
        <w:fldChar w:fldCharType="begin" w:fldLock="1"/>
      </w:r>
      <w:r w:rsidR="00D80A04">
        <w:rPr>
          <w:rFonts w:cstheme="minorHAnsi"/>
          <w:sz w:val="24"/>
          <w:szCs w:val="24"/>
        </w:rPr>
        <w:instrText>ADDIN CSL_CITATION {"citationItems":[{"id":"ITEM-1","itemData":{"DOI":"10.1038/s41560-019-0429-8","ISSN":"2058-7546","author":[{"dropping-particle":"","family":"Kar","given":"Abhishek","non-dropping-particle":"","parse-names":false,"suffix":""},{"dropping-particle":"","family":"Pachauri","given":"Shonali","non-dropping-particle":"","parse-names":false,"suffix":""},{"dropping-particle":"","family":"Bailis","given":"Rob","non-dropping-particle":"","parse-names":false,"suffix":""},{"dropping-particle":"","family":"Zerriffi","given":"Hisham","non-dropping-particle":"","parse-names":false,"suffix":""}],"container-title":"Nature Energy","id":"ITEM-1","issue":"9","issued":{"date-parts":[["2019"]]},"page":"806–814","title":"Using sales data to assess cooking gas adoption and the impact of India’s Ujjwala programme in rural Karnataka","type":"article-journal","volume":"4"},"uris":["http://www.mendeley.com/documents/?uuid=7865e6a2-f6ce-3998-8f27-85a102f6df98"]},{"id":"ITEM-2","itemData":{"DOI":"10.1038/s41560-020-0635-4","ISSN":"2058-7546","author":[{"dropping-particle":"","family":"Mani","given":"Sunil","non-dropping-particle":"","parse-names":false,"suffix":""},{"dropping-particle":"","family":"Jain","given":"Abhishek","non-dropping-particle":"","parse-names":false,"suffix":""},{"dropping-particle":"","family":"Tripathi","given":"Saurabh","non-dropping-particle":"","parse-names":false,"suffix":""},{"dropping-particle":"","family":"Gould","given":"Carlos F","non-dropping-particle":"","parse-names":false,"suffix":""}],"container-title":"Nature Energy","id":"ITEM-2","issue":"6","issued":{"date-parts":[["2020"]]},"page":"430–431","title":"Sustained LPG use requires progress on broader development outcomes","type":"article-journal","volume":"5"},"uris":["http://www.mendeley.com/documents/?uuid=4a45c65c-aeba-3949-b6e7-a01efc970912"]}],"mendeley":{"formattedCitation":"&lt;sup&gt;29,30&lt;/sup&gt;","plainTextFormattedCitation":"29,30","previouslyFormattedCitation":"&lt;sup&gt;29,30&lt;/sup&gt;"},"properties":{"noteIndex":0},"schema":"https://github.com/citation-style-language/schema/raw/master/csl-citation.json"}</w:instrText>
      </w:r>
      <w:r w:rsidR="004F163C">
        <w:rPr>
          <w:rFonts w:cstheme="minorHAnsi"/>
          <w:sz w:val="24"/>
          <w:szCs w:val="24"/>
        </w:rPr>
        <w:fldChar w:fldCharType="separate"/>
      </w:r>
      <w:r w:rsidR="00CE47D8" w:rsidRPr="00CE47D8">
        <w:rPr>
          <w:rFonts w:cstheme="minorHAnsi"/>
          <w:noProof/>
          <w:sz w:val="24"/>
          <w:szCs w:val="24"/>
          <w:vertAlign w:val="superscript"/>
        </w:rPr>
        <w:t>29,30</w:t>
      </w:r>
      <w:r w:rsidR="004F163C">
        <w:rPr>
          <w:rFonts w:cstheme="minorHAnsi"/>
          <w:sz w:val="24"/>
          <w:szCs w:val="24"/>
        </w:rPr>
        <w:fldChar w:fldCharType="end"/>
      </w:r>
      <w:r w:rsidR="006379DB" w:rsidRPr="006379DB">
        <w:rPr>
          <w:rFonts w:cstheme="minorHAnsi"/>
          <w:sz w:val="24"/>
          <w:szCs w:val="24"/>
        </w:rPr>
        <w:t>.</w:t>
      </w:r>
    </w:p>
    <w:p w14:paraId="3BE3ACB2" w14:textId="77777777" w:rsidR="006C15A4" w:rsidRDefault="006C15A4" w:rsidP="006379DB">
      <w:pPr>
        <w:autoSpaceDE w:val="0"/>
        <w:autoSpaceDN w:val="0"/>
        <w:adjustRightInd w:val="0"/>
        <w:jc w:val="both"/>
        <w:rPr>
          <w:rFonts w:cstheme="minorHAnsi"/>
          <w:sz w:val="24"/>
          <w:szCs w:val="24"/>
        </w:rPr>
      </w:pPr>
    </w:p>
    <w:p w14:paraId="22CC0015" w14:textId="711E8F3F" w:rsidR="00482EB6" w:rsidRDefault="00A16ABB" w:rsidP="00A16ABB">
      <w:pPr>
        <w:autoSpaceDE w:val="0"/>
        <w:autoSpaceDN w:val="0"/>
        <w:adjustRightInd w:val="0"/>
        <w:jc w:val="both"/>
        <w:rPr>
          <w:rFonts w:cstheme="minorHAnsi"/>
          <w:sz w:val="24"/>
          <w:szCs w:val="24"/>
        </w:rPr>
      </w:pPr>
      <w:r w:rsidRPr="00A16ABB">
        <w:rPr>
          <w:rFonts w:cstheme="minorHAnsi"/>
          <w:sz w:val="24"/>
          <w:szCs w:val="24"/>
        </w:rPr>
        <w:t xml:space="preserve">Our analysis has some limitations that point to important avenues for future research. </w:t>
      </w:r>
      <w:r w:rsidR="002821E9">
        <w:rPr>
          <w:rFonts w:cstheme="minorHAnsi"/>
          <w:sz w:val="24"/>
          <w:szCs w:val="24"/>
        </w:rPr>
        <w:t>Our</w:t>
      </w:r>
      <w:r w:rsidR="002821E9" w:rsidRPr="00A16ABB">
        <w:rPr>
          <w:rFonts w:cstheme="minorHAnsi"/>
          <w:sz w:val="24"/>
          <w:szCs w:val="24"/>
        </w:rPr>
        <w:t xml:space="preserve"> </w:t>
      </w:r>
      <w:r w:rsidRPr="00A16ABB">
        <w:rPr>
          <w:rFonts w:cstheme="minorHAnsi"/>
          <w:sz w:val="24"/>
          <w:szCs w:val="24"/>
        </w:rPr>
        <w:t>model</w:t>
      </w:r>
      <w:r>
        <w:rPr>
          <w:rFonts w:cstheme="minorHAnsi"/>
          <w:sz w:val="24"/>
          <w:szCs w:val="24"/>
        </w:rPr>
        <w:t xml:space="preserve"> </w:t>
      </w:r>
      <w:r w:rsidR="00233887" w:rsidRPr="00A16ABB">
        <w:rPr>
          <w:rFonts w:cstheme="minorHAnsi"/>
          <w:sz w:val="24"/>
          <w:szCs w:val="24"/>
        </w:rPr>
        <w:t>can</w:t>
      </w:r>
      <w:r w:rsidRPr="00A16ABB">
        <w:rPr>
          <w:rFonts w:cstheme="minorHAnsi"/>
          <w:sz w:val="24"/>
          <w:szCs w:val="24"/>
        </w:rPr>
        <w:t xml:space="preserve"> capture a wide variety of heterogeneity in circumstances and </w:t>
      </w:r>
      <w:r w:rsidR="00F51D7B" w:rsidRPr="00A16ABB">
        <w:rPr>
          <w:rFonts w:cstheme="minorHAnsi"/>
          <w:sz w:val="24"/>
          <w:szCs w:val="24"/>
        </w:rPr>
        <w:t xml:space="preserve">population </w:t>
      </w:r>
      <w:r w:rsidRPr="00A16ABB">
        <w:rPr>
          <w:rFonts w:cstheme="minorHAnsi"/>
          <w:sz w:val="24"/>
          <w:szCs w:val="24"/>
        </w:rPr>
        <w:t>characteristics, but our results are only as good as the input data used. As</w:t>
      </w:r>
      <w:r>
        <w:rPr>
          <w:rFonts w:cstheme="minorHAnsi"/>
          <w:sz w:val="24"/>
          <w:szCs w:val="24"/>
        </w:rPr>
        <w:t xml:space="preserve"> </w:t>
      </w:r>
      <w:r w:rsidRPr="00A16ABB">
        <w:rPr>
          <w:rFonts w:cstheme="minorHAnsi"/>
          <w:sz w:val="24"/>
          <w:szCs w:val="24"/>
        </w:rPr>
        <w:t>our methods are based on empirical data, we can only include cooking options that exist in the</w:t>
      </w:r>
      <w:r>
        <w:rPr>
          <w:rFonts w:cstheme="minorHAnsi"/>
          <w:sz w:val="24"/>
          <w:szCs w:val="24"/>
        </w:rPr>
        <w:t xml:space="preserve"> </w:t>
      </w:r>
      <w:r w:rsidRPr="00A16ABB">
        <w:rPr>
          <w:rFonts w:cstheme="minorHAnsi"/>
          <w:sz w:val="24"/>
          <w:szCs w:val="24"/>
        </w:rPr>
        <w:t xml:space="preserve">datasets we employ. While </w:t>
      </w:r>
      <w:r w:rsidR="00CE5BB5">
        <w:rPr>
          <w:rFonts w:cstheme="minorHAnsi"/>
          <w:sz w:val="24"/>
          <w:szCs w:val="24"/>
        </w:rPr>
        <w:t>newer alternatives</w:t>
      </w:r>
      <w:r w:rsidR="0095676A">
        <w:rPr>
          <w:rFonts w:cstheme="minorHAnsi"/>
          <w:sz w:val="24"/>
          <w:szCs w:val="24"/>
        </w:rPr>
        <w:t xml:space="preserve"> that</w:t>
      </w:r>
      <w:r w:rsidR="009E33DE" w:rsidRPr="00A16ABB">
        <w:rPr>
          <w:rFonts w:cstheme="minorHAnsi"/>
          <w:sz w:val="24"/>
          <w:szCs w:val="24"/>
        </w:rPr>
        <w:t xml:space="preserve"> might become</w:t>
      </w:r>
      <w:r w:rsidR="009E33DE">
        <w:rPr>
          <w:rFonts w:cstheme="minorHAnsi"/>
          <w:sz w:val="24"/>
          <w:szCs w:val="24"/>
        </w:rPr>
        <w:t xml:space="preserve"> </w:t>
      </w:r>
      <w:r w:rsidR="009E33DE" w:rsidRPr="00A16ABB">
        <w:rPr>
          <w:rFonts w:cstheme="minorHAnsi"/>
          <w:sz w:val="24"/>
          <w:szCs w:val="24"/>
        </w:rPr>
        <w:t xml:space="preserve">viable </w:t>
      </w:r>
      <w:r w:rsidR="001B1C9D">
        <w:rPr>
          <w:rFonts w:cstheme="minorHAnsi"/>
          <w:sz w:val="24"/>
          <w:szCs w:val="24"/>
        </w:rPr>
        <w:t xml:space="preserve">in the future </w:t>
      </w:r>
      <w:r w:rsidRPr="00A16ABB">
        <w:rPr>
          <w:rFonts w:cstheme="minorHAnsi"/>
          <w:sz w:val="24"/>
          <w:szCs w:val="24"/>
        </w:rPr>
        <w:t xml:space="preserve">are not explicitly </w:t>
      </w:r>
      <w:r w:rsidR="001B1C9D">
        <w:rPr>
          <w:rFonts w:cstheme="minorHAnsi"/>
          <w:sz w:val="24"/>
          <w:szCs w:val="24"/>
        </w:rPr>
        <w:t>model</w:t>
      </w:r>
      <w:r w:rsidR="00EF3F91">
        <w:rPr>
          <w:rFonts w:cstheme="minorHAnsi"/>
          <w:sz w:val="24"/>
          <w:szCs w:val="24"/>
        </w:rPr>
        <w:t>ed</w:t>
      </w:r>
      <w:r w:rsidRPr="00A16ABB">
        <w:rPr>
          <w:rFonts w:cstheme="minorHAnsi"/>
          <w:sz w:val="24"/>
          <w:szCs w:val="24"/>
        </w:rPr>
        <w:t>, our analysis can inform policy under what price points and at what income levels,</w:t>
      </w:r>
      <w:r>
        <w:rPr>
          <w:rFonts w:cstheme="minorHAnsi"/>
          <w:sz w:val="24"/>
          <w:szCs w:val="24"/>
        </w:rPr>
        <w:t xml:space="preserve"> </w:t>
      </w:r>
      <w:r w:rsidRPr="00A16ABB">
        <w:rPr>
          <w:rFonts w:cstheme="minorHAnsi"/>
          <w:sz w:val="24"/>
          <w:szCs w:val="24"/>
        </w:rPr>
        <w:t>populations in di</w:t>
      </w:r>
      <w:r w:rsidR="00B73BAA">
        <w:rPr>
          <w:rFonts w:cstheme="minorHAnsi"/>
          <w:sz w:val="24"/>
          <w:szCs w:val="24"/>
        </w:rPr>
        <w:t>ff</w:t>
      </w:r>
      <w:r w:rsidRPr="00A16ABB">
        <w:rPr>
          <w:rFonts w:cstheme="minorHAnsi"/>
          <w:sz w:val="24"/>
          <w:szCs w:val="24"/>
        </w:rPr>
        <w:t>erent regions will be able to a</w:t>
      </w:r>
      <w:r w:rsidR="00B73BAA">
        <w:rPr>
          <w:rFonts w:cstheme="minorHAnsi"/>
          <w:sz w:val="24"/>
          <w:szCs w:val="24"/>
        </w:rPr>
        <w:t>ff</w:t>
      </w:r>
      <w:r w:rsidRPr="00A16ABB">
        <w:rPr>
          <w:rFonts w:cstheme="minorHAnsi"/>
          <w:sz w:val="24"/>
          <w:szCs w:val="24"/>
        </w:rPr>
        <w:t xml:space="preserve">ord </w:t>
      </w:r>
      <w:r w:rsidR="006A4791">
        <w:rPr>
          <w:rFonts w:cstheme="minorHAnsi"/>
          <w:sz w:val="24"/>
          <w:szCs w:val="24"/>
        </w:rPr>
        <w:t>new</w:t>
      </w:r>
      <w:r w:rsidR="006A4791" w:rsidRPr="00A16ABB">
        <w:rPr>
          <w:rFonts w:cstheme="minorHAnsi"/>
          <w:sz w:val="24"/>
          <w:szCs w:val="24"/>
        </w:rPr>
        <w:t xml:space="preserve"> </w:t>
      </w:r>
      <w:r w:rsidRPr="00A16ABB">
        <w:rPr>
          <w:rFonts w:cstheme="minorHAnsi"/>
          <w:sz w:val="24"/>
          <w:szCs w:val="24"/>
        </w:rPr>
        <w:t xml:space="preserve">fuels and technologies. Since </w:t>
      </w:r>
      <w:r w:rsidRPr="00A16ABB">
        <w:rPr>
          <w:rFonts w:cstheme="minorHAnsi"/>
          <w:sz w:val="24"/>
          <w:szCs w:val="24"/>
        </w:rPr>
        <w:lastRenderedPageBreak/>
        <w:t>cooking behaviors appear to be quite persistent, future</w:t>
      </w:r>
      <w:r w:rsidR="00B73BAA">
        <w:rPr>
          <w:rFonts w:cstheme="minorHAnsi"/>
          <w:sz w:val="24"/>
          <w:szCs w:val="24"/>
        </w:rPr>
        <w:t xml:space="preserve"> </w:t>
      </w:r>
      <w:r w:rsidRPr="00A16ABB">
        <w:rPr>
          <w:rFonts w:cstheme="minorHAnsi"/>
          <w:sz w:val="24"/>
          <w:szCs w:val="24"/>
        </w:rPr>
        <w:t>research should consider using panel or pseudo-panel datasets that can better capture longitudinal</w:t>
      </w:r>
      <w:r w:rsidR="00B73BAA">
        <w:rPr>
          <w:rFonts w:cstheme="minorHAnsi"/>
          <w:sz w:val="24"/>
          <w:szCs w:val="24"/>
        </w:rPr>
        <w:t xml:space="preserve"> </w:t>
      </w:r>
      <w:r w:rsidRPr="00A16ABB">
        <w:rPr>
          <w:rFonts w:cstheme="minorHAnsi"/>
          <w:sz w:val="24"/>
          <w:szCs w:val="24"/>
        </w:rPr>
        <w:t>shifts. Our analysis could also be further expanded to better assess how societal changes</w:t>
      </w:r>
      <w:r w:rsidR="00030E05">
        <w:rPr>
          <w:rFonts w:cstheme="minorHAnsi"/>
          <w:sz w:val="24"/>
          <w:szCs w:val="24"/>
        </w:rPr>
        <w:t>,</w:t>
      </w:r>
      <w:r w:rsidRPr="00A16ABB">
        <w:rPr>
          <w:rFonts w:cstheme="minorHAnsi"/>
          <w:sz w:val="24"/>
          <w:szCs w:val="24"/>
        </w:rPr>
        <w:t xml:space="preserve"> </w:t>
      </w:r>
      <w:r w:rsidR="00030E05">
        <w:rPr>
          <w:rFonts w:cstheme="minorHAnsi"/>
          <w:sz w:val="24"/>
          <w:szCs w:val="24"/>
        </w:rPr>
        <w:t>like</w:t>
      </w:r>
      <w:r w:rsidR="00B73BAA">
        <w:rPr>
          <w:rFonts w:cstheme="minorHAnsi"/>
          <w:sz w:val="24"/>
          <w:szCs w:val="24"/>
        </w:rPr>
        <w:t xml:space="preserve"> </w:t>
      </w:r>
      <w:r w:rsidRPr="00A16ABB">
        <w:rPr>
          <w:rFonts w:cstheme="minorHAnsi"/>
          <w:sz w:val="24"/>
          <w:szCs w:val="24"/>
        </w:rPr>
        <w:t xml:space="preserve">better education and women's empowerment and </w:t>
      </w:r>
      <w:r w:rsidR="00D76A1F" w:rsidRPr="00A16ABB">
        <w:rPr>
          <w:rFonts w:cstheme="minorHAnsi"/>
          <w:sz w:val="24"/>
          <w:szCs w:val="24"/>
        </w:rPr>
        <w:t>labor</w:t>
      </w:r>
      <w:r w:rsidRPr="00A16ABB">
        <w:rPr>
          <w:rFonts w:cstheme="minorHAnsi"/>
          <w:sz w:val="24"/>
          <w:szCs w:val="24"/>
        </w:rPr>
        <w:t xml:space="preserve"> force participation relate to cooking</w:t>
      </w:r>
      <w:r w:rsidR="00B73BAA">
        <w:rPr>
          <w:rFonts w:cstheme="minorHAnsi"/>
          <w:sz w:val="24"/>
          <w:szCs w:val="24"/>
        </w:rPr>
        <w:t xml:space="preserve"> </w:t>
      </w:r>
      <w:r w:rsidRPr="00A16ABB">
        <w:rPr>
          <w:rFonts w:cstheme="minorHAnsi"/>
          <w:sz w:val="24"/>
          <w:szCs w:val="24"/>
        </w:rPr>
        <w:t>energy choices. We do not include institutional capacity and governance constraints that might</w:t>
      </w:r>
      <w:r w:rsidR="00B73BAA">
        <w:rPr>
          <w:rFonts w:cstheme="minorHAnsi"/>
          <w:sz w:val="24"/>
          <w:szCs w:val="24"/>
        </w:rPr>
        <w:t xml:space="preserve"> </w:t>
      </w:r>
      <w:r w:rsidRPr="00A16ABB">
        <w:rPr>
          <w:rFonts w:cstheme="minorHAnsi"/>
          <w:sz w:val="24"/>
          <w:szCs w:val="24"/>
        </w:rPr>
        <w:t>limit the expansion of supply of certain cooking options</w:t>
      </w:r>
      <w:r w:rsidR="0064680C">
        <w:rPr>
          <w:rFonts w:cstheme="minorHAnsi"/>
          <w:sz w:val="24"/>
          <w:szCs w:val="24"/>
        </w:rPr>
        <w:t xml:space="preserve"> or effectiveness of policies</w:t>
      </w:r>
      <w:r w:rsidRPr="00A16ABB">
        <w:rPr>
          <w:rFonts w:cstheme="minorHAnsi"/>
          <w:sz w:val="24"/>
          <w:szCs w:val="24"/>
        </w:rPr>
        <w:t xml:space="preserve"> in speci</w:t>
      </w:r>
      <w:r w:rsidR="00A03A64">
        <w:rPr>
          <w:rFonts w:cstheme="minorHAnsi"/>
          <w:sz w:val="24"/>
          <w:szCs w:val="24"/>
        </w:rPr>
        <w:t>fi</w:t>
      </w:r>
      <w:r w:rsidRPr="00A16ABB">
        <w:rPr>
          <w:rFonts w:cstheme="minorHAnsi"/>
          <w:sz w:val="24"/>
          <w:szCs w:val="24"/>
        </w:rPr>
        <w:t>c contexts. In addition, our</w:t>
      </w:r>
      <w:r w:rsidR="00A03A64">
        <w:rPr>
          <w:rFonts w:cstheme="minorHAnsi"/>
          <w:sz w:val="24"/>
          <w:szCs w:val="24"/>
        </w:rPr>
        <w:t xml:space="preserve"> </w:t>
      </w:r>
      <w:r w:rsidRPr="00A16ABB">
        <w:rPr>
          <w:rFonts w:cstheme="minorHAnsi"/>
          <w:sz w:val="24"/>
          <w:szCs w:val="24"/>
        </w:rPr>
        <w:t>analysis does not assume any climate feedback on biomass</w:t>
      </w:r>
      <w:r w:rsidR="009907C7" w:rsidRPr="009907C7">
        <w:rPr>
          <w:rFonts w:cstheme="minorHAnsi"/>
          <w:sz w:val="24"/>
          <w:szCs w:val="24"/>
        </w:rPr>
        <w:t xml:space="preserve"> </w:t>
      </w:r>
      <w:r w:rsidR="009907C7" w:rsidRPr="00A16ABB">
        <w:rPr>
          <w:rFonts w:cstheme="minorHAnsi"/>
          <w:sz w:val="24"/>
          <w:szCs w:val="24"/>
        </w:rPr>
        <w:t>availability</w:t>
      </w:r>
      <w:r w:rsidRPr="00A16ABB">
        <w:rPr>
          <w:rFonts w:cstheme="minorHAnsi"/>
          <w:sz w:val="24"/>
          <w:szCs w:val="24"/>
        </w:rPr>
        <w:t>. Both unsustainable</w:t>
      </w:r>
      <w:r w:rsidR="00A03A64">
        <w:rPr>
          <w:rFonts w:cstheme="minorHAnsi"/>
          <w:sz w:val="24"/>
          <w:szCs w:val="24"/>
        </w:rPr>
        <w:t xml:space="preserve"> </w:t>
      </w:r>
      <w:r w:rsidRPr="00A16ABB">
        <w:rPr>
          <w:rFonts w:cstheme="minorHAnsi"/>
          <w:sz w:val="24"/>
          <w:szCs w:val="24"/>
        </w:rPr>
        <w:t>harvesting and future climate change could reduce the availability of abundant biomass resources</w:t>
      </w:r>
      <w:r w:rsidR="00A03A64">
        <w:rPr>
          <w:rFonts w:cstheme="minorHAnsi"/>
          <w:sz w:val="24"/>
          <w:szCs w:val="24"/>
        </w:rPr>
        <w:t xml:space="preserve"> </w:t>
      </w:r>
      <w:r w:rsidRPr="00A16ABB">
        <w:rPr>
          <w:rFonts w:cstheme="minorHAnsi"/>
          <w:sz w:val="24"/>
          <w:szCs w:val="24"/>
        </w:rPr>
        <w:t>in certain regions.</w:t>
      </w:r>
      <w:r w:rsidR="0022146D">
        <w:rPr>
          <w:rFonts w:cstheme="minorHAnsi"/>
          <w:sz w:val="24"/>
          <w:szCs w:val="24"/>
        </w:rPr>
        <w:t xml:space="preserve"> Alternatively, </w:t>
      </w:r>
      <w:r w:rsidR="008A30D1">
        <w:rPr>
          <w:rFonts w:cstheme="minorHAnsi"/>
          <w:sz w:val="24"/>
          <w:szCs w:val="24"/>
        </w:rPr>
        <w:t>more sustainable land and biomass management</w:t>
      </w:r>
      <w:r w:rsidR="00BA26DE">
        <w:rPr>
          <w:rFonts w:cstheme="minorHAnsi"/>
          <w:sz w:val="24"/>
          <w:szCs w:val="24"/>
        </w:rPr>
        <w:t xml:space="preserve"> could make </w:t>
      </w:r>
      <w:r w:rsidR="00E85E2B">
        <w:rPr>
          <w:rFonts w:cstheme="minorHAnsi"/>
          <w:sz w:val="24"/>
          <w:szCs w:val="24"/>
        </w:rPr>
        <w:t>suppl</w:t>
      </w:r>
      <w:r w:rsidR="00021B9B">
        <w:rPr>
          <w:rFonts w:cstheme="minorHAnsi"/>
          <w:sz w:val="24"/>
          <w:szCs w:val="24"/>
        </w:rPr>
        <w:t>ies</w:t>
      </w:r>
      <w:r w:rsidR="00BA26DE">
        <w:rPr>
          <w:rFonts w:cstheme="minorHAnsi"/>
          <w:sz w:val="24"/>
          <w:szCs w:val="24"/>
        </w:rPr>
        <w:t xml:space="preserve"> </w:t>
      </w:r>
      <w:r w:rsidR="00D5241A">
        <w:rPr>
          <w:rFonts w:cstheme="minorHAnsi"/>
          <w:sz w:val="24"/>
          <w:szCs w:val="24"/>
        </w:rPr>
        <w:t>more abundant</w:t>
      </w:r>
      <w:r w:rsidR="00021B9B">
        <w:rPr>
          <w:rFonts w:cstheme="minorHAnsi"/>
          <w:sz w:val="24"/>
          <w:szCs w:val="24"/>
        </w:rPr>
        <w:t>,</w:t>
      </w:r>
      <w:r w:rsidR="00060E40">
        <w:rPr>
          <w:rFonts w:cstheme="minorHAnsi"/>
          <w:sz w:val="24"/>
          <w:szCs w:val="24"/>
        </w:rPr>
        <w:t xml:space="preserve"> and</w:t>
      </w:r>
      <w:r w:rsidR="008F4076">
        <w:rPr>
          <w:rFonts w:cstheme="minorHAnsi"/>
          <w:sz w:val="24"/>
          <w:szCs w:val="24"/>
        </w:rPr>
        <w:t xml:space="preserve"> </w:t>
      </w:r>
      <w:r w:rsidR="00060E40">
        <w:rPr>
          <w:rFonts w:cstheme="minorHAnsi"/>
          <w:sz w:val="24"/>
          <w:szCs w:val="24"/>
        </w:rPr>
        <w:t>encourage</w:t>
      </w:r>
      <w:r w:rsidR="008F4076">
        <w:rPr>
          <w:rFonts w:cstheme="minorHAnsi"/>
          <w:sz w:val="24"/>
          <w:szCs w:val="24"/>
        </w:rPr>
        <w:t xml:space="preserve"> </w:t>
      </w:r>
      <w:r w:rsidR="00A462C6">
        <w:rPr>
          <w:rFonts w:cstheme="minorHAnsi"/>
          <w:sz w:val="24"/>
          <w:szCs w:val="24"/>
        </w:rPr>
        <w:t xml:space="preserve">new </w:t>
      </w:r>
      <w:r w:rsidR="00DF29E6">
        <w:rPr>
          <w:rFonts w:cstheme="minorHAnsi"/>
          <w:sz w:val="24"/>
          <w:szCs w:val="24"/>
        </w:rPr>
        <w:t>biomass</w:t>
      </w:r>
      <w:r w:rsidR="002C13FE">
        <w:rPr>
          <w:rFonts w:cstheme="minorHAnsi"/>
          <w:sz w:val="24"/>
          <w:szCs w:val="24"/>
        </w:rPr>
        <w:t xml:space="preserve">-based </w:t>
      </w:r>
      <w:r w:rsidR="00060E40">
        <w:rPr>
          <w:rFonts w:cstheme="minorHAnsi"/>
          <w:sz w:val="24"/>
          <w:szCs w:val="24"/>
        </w:rPr>
        <w:t>clean</w:t>
      </w:r>
      <w:r w:rsidR="00A924BD">
        <w:rPr>
          <w:rFonts w:cstheme="minorHAnsi"/>
          <w:sz w:val="24"/>
          <w:szCs w:val="24"/>
        </w:rPr>
        <w:t xml:space="preserve"> cooking</w:t>
      </w:r>
      <w:r w:rsidR="00060E40">
        <w:rPr>
          <w:rFonts w:cstheme="minorHAnsi"/>
          <w:sz w:val="24"/>
          <w:szCs w:val="24"/>
        </w:rPr>
        <w:t xml:space="preserve"> </w:t>
      </w:r>
      <w:r w:rsidR="002C13FE">
        <w:rPr>
          <w:rFonts w:cstheme="minorHAnsi"/>
          <w:sz w:val="24"/>
          <w:szCs w:val="24"/>
        </w:rPr>
        <w:t>options</w:t>
      </w:r>
      <w:r w:rsidR="00E647D5">
        <w:rPr>
          <w:rFonts w:cstheme="minorHAnsi"/>
          <w:sz w:val="24"/>
          <w:szCs w:val="24"/>
        </w:rPr>
        <w:fldChar w:fldCharType="begin" w:fldLock="1"/>
      </w:r>
      <w:r w:rsidR="00754F83">
        <w:rPr>
          <w:rFonts w:cstheme="minorHAnsi"/>
          <w:sz w:val="24"/>
          <w:szCs w:val="24"/>
        </w:rPr>
        <w:instrText>ADDIN CSL_CITATION {"citationItems":[{"id":"ITEM-1","itemData":{"DOI":"10.1088/1748-9326/ab375d","abstract":"Heavy reliance on traditional biomass for household energy in eastern Africa has significant negative health and environmental impacts. The African context for energy access is rather different from historical experiences elsewhere as challenges in achieving energy access have coincided with major climate ambitions. Policies focusing on household energy needs in eastern Africa contribute to at least three sustainable development goals (SDGs): climate action, good health, and improved energy access. This study uses an integrated assessment model to simulate the impact of land policies and technology subsidies, as well as the interaction of both, on greenhouse gas (GHG) emissions, exposure to air pollution and energy access in eastern Africa under a range of socioeconomic pathways. We find that land policies focusing on increasing the sustainable output of biomass resources can reduce GHG emissions in the region by about 10%, but also slightly delay progress in health and energy access goals. An optimised portfolio of energy technology subsidies consistent with a global Green Climate Funds budget of 30–35 billion dollar, can yield another 10% savings in GHG emissions, while decreasing mortality related to air pollution by 20%, and improving energy access by up to 15%. After 2030, both land and technology policies become less effective, and more dependent on the overall development path of the region. The analysis shows that support for biogas technology should be prioritised in both the short and long term, while financing liquefied petroleum gas and ethanol technologies also has synergetic climate, health and energy access benefits. Instead, financing PV technologies is mostly relevant for improving energy access, while charcoal and to a lesser extend fuelwood technologies are relevant for curbing GHG emissions if their finance is linked to land policies. We suggest that integrated policy analysis is needed in the African context for simultaneously reaching progress in multiple SDGs.","author":[{"dropping-particle":"Van","family":"Ven","given":"Dirk-Jan","non-dropping-particle":"de","parse-names":false,"suffix":""},{"dropping-particle":"","family":"Sampedro","given":"Jon","non-dropping-particle":"","parse-names":false,"suffix":""},{"dropping-particle":"","family":"Johnson","given":"Francis X","non-dropping-particle":"","parse-names":false,"suffix":""},{"dropping-particle":"","family":"Bailis","given":"Rob","non-dropping-particle":"","parse-names":false,"suffix":""},{"dropping-particle":"","family":"Forouli","given":"Aikaterini","non-dropping-particle":"","parse-names":false,"suffix":""},{"dropping-particle":"","family":"Nikas","given":"Alexandros","non-dropping-particle":"","parse-names":false,"suffix":""},{"dropping-particle":"","family":"Yu","given":"Sha","non-dropping-particle":"","parse-names":false,"suffix":""},{"dropping-particle":"","family":"Pardo","given":"Guillermo","non-dropping-particle":"","parse-names":false,"suffix":""},{"dropping-particle":"","family":"Jalón","given":"Silvestre Garc\\'\\ia","non-dropping-particle":"de","parse-names":false,"suffix":""},{"dropping-particle":"","family":"Wise","given":"Marshall","non-dropping-particle":"","parse-names":false,"suffix":""},{"dropping-particle":"","family":"Doukas","given":"Haris","non-dropping-particle":"","parse-names":false,"suffix":""}],"container-title":"Environmental Research Letters","id":"ITEM-1","issue":"9","issued":{"date-parts":[["2019","8"]]},"page":"94001","publisher":"{IOP} Publishing","title":"Integrated policy assessment and optimisation over multiple sustainable development goals in Eastern Africa","type":"article-journal","volume":"14"},"uris":["http://www.mendeley.com/documents/?uuid=5bff9bee-ace2-3f55-8bc5-ee7cb133bcae"]},{"id":"ITEM-2","itemData":{"author":[{"dropping-particle":"","family":"Hosier","given":"Richard","non-dropping-particle":"","parse-names":false,"suffix":""},{"dropping-particle":"","family":"Kappen","given":"Jan","non-dropping-particle":"","parse-names":false,"suffix":""},{"dropping-particle":"","family":"Hyseni","given":"Besnik","non-dropping-particle":"","parse-names":false,"suffix":""},{"dropping-particle":"","family":"Tao","given":"Nuyi","non-dropping-particle":"","parse-names":false,"suffix":""},{"dropping-particle":"","family":"Usui","given":"Kenta","non-dropping-particle":"","parse-names":false,"suffix":""}],"id":"ITEM-2","issued":{"date-parts":[["2017"]]},"publisher":"World Bank, Washington, DC","title":"Scalable Business Models for Alternative Biomass Cooking Fuels and Their Potential in Sub-Saharan Africa","type":"report"},"uris":["http://www.mendeley.com/documents/?uuid=b7c908bd-d274-3cdd-830c-8ef9747c350a"]}],"mendeley":{"formattedCitation":"&lt;sup&gt;31,32&lt;/sup&gt;","plainTextFormattedCitation":"31,32","previouslyFormattedCitation":"&lt;sup&gt;31,32&lt;/sup&gt;"},"properties":{"noteIndex":0},"schema":"https://github.com/citation-style-language/schema/raw/master/csl-citation.json"}</w:instrText>
      </w:r>
      <w:r w:rsidR="00E647D5">
        <w:rPr>
          <w:rFonts w:cstheme="minorHAnsi"/>
          <w:sz w:val="24"/>
          <w:szCs w:val="24"/>
        </w:rPr>
        <w:fldChar w:fldCharType="separate"/>
      </w:r>
      <w:r w:rsidR="00CE47D8" w:rsidRPr="00CE47D8">
        <w:rPr>
          <w:rFonts w:cstheme="minorHAnsi"/>
          <w:noProof/>
          <w:sz w:val="24"/>
          <w:szCs w:val="24"/>
          <w:vertAlign w:val="superscript"/>
        </w:rPr>
        <w:t>31,32</w:t>
      </w:r>
      <w:r w:rsidR="00E647D5">
        <w:rPr>
          <w:rFonts w:cstheme="minorHAnsi"/>
          <w:sz w:val="24"/>
          <w:szCs w:val="24"/>
        </w:rPr>
        <w:fldChar w:fldCharType="end"/>
      </w:r>
      <w:r w:rsidR="00B64FDE">
        <w:rPr>
          <w:rFonts w:cstheme="minorHAnsi"/>
          <w:sz w:val="24"/>
          <w:szCs w:val="24"/>
        </w:rPr>
        <w:t>.</w:t>
      </w:r>
      <w:r w:rsidR="00D5241A">
        <w:rPr>
          <w:rFonts w:cstheme="minorHAnsi"/>
          <w:sz w:val="24"/>
          <w:szCs w:val="24"/>
        </w:rPr>
        <w:t xml:space="preserve"> </w:t>
      </w:r>
    </w:p>
    <w:p w14:paraId="2F21C8EE" w14:textId="3E261440" w:rsidR="00A03A64" w:rsidRDefault="00A03A64" w:rsidP="00A16ABB">
      <w:pPr>
        <w:autoSpaceDE w:val="0"/>
        <w:autoSpaceDN w:val="0"/>
        <w:adjustRightInd w:val="0"/>
        <w:jc w:val="both"/>
        <w:rPr>
          <w:rFonts w:cstheme="minorHAnsi"/>
          <w:sz w:val="24"/>
          <w:szCs w:val="24"/>
        </w:rPr>
      </w:pPr>
    </w:p>
    <w:p w14:paraId="1C5FA1DE" w14:textId="77777777" w:rsidR="00506397" w:rsidRPr="00506397" w:rsidRDefault="00506397" w:rsidP="00506397">
      <w:pPr>
        <w:autoSpaceDE w:val="0"/>
        <w:autoSpaceDN w:val="0"/>
        <w:adjustRightInd w:val="0"/>
        <w:jc w:val="both"/>
        <w:rPr>
          <w:rFonts w:cstheme="minorHAnsi"/>
          <w:sz w:val="24"/>
          <w:szCs w:val="24"/>
        </w:rPr>
      </w:pPr>
      <w:r w:rsidRPr="00506397">
        <w:rPr>
          <w:rFonts w:cstheme="minorHAnsi"/>
          <w:sz w:val="24"/>
          <w:szCs w:val="24"/>
        </w:rPr>
        <w:t>Insights from our analysis emphasize the increased urgency to address this issue that has been</w:t>
      </w:r>
    </w:p>
    <w:p w14:paraId="55E3A128" w14:textId="21601D89" w:rsidR="00A03A64" w:rsidRDefault="00506397" w:rsidP="00506397">
      <w:pPr>
        <w:autoSpaceDE w:val="0"/>
        <w:autoSpaceDN w:val="0"/>
        <w:adjustRightInd w:val="0"/>
        <w:jc w:val="both"/>
        <w:rPr>
          <w:rFonts w:cstheme="minorHAnsi"/>
          <w:sz w:val="24"/>
          <w:szCs w:val="24"/>
        </w:rPr>
      </w:pPr>
      <w:r w:rsidRPr="00506397">
        <w:rPr>
          <w:rFonts w:cstheme="minorHAnsi"/>
          <w:sz w:val="24"/>
          <w:szCs w:val="24"/>
        </w:rPr>
        <w:t>left on the back burner for far too long. A recent report highlights chronic under investment in</w:t>
      </w:r>
      <w:r>
        <w:rPr>
          <w:rFonts w:cstheme="minorHAnsi"/>
          <w:sz w:val="24"/>
          <w:szCs w:val="24"/>
        </w:rPr>
        <w:t xml:space="preserve"> </w:t>
      </w:r>
      <w:r w:rsidRPr="00506397">
        <w:rPr>
          <w:rFonts w:cstheme="minorHAnsi"/>
          <w:sz w:val="24"/>
          <w:szCs w:val="24"/>
        </w:rPr>
        <w:t xml:space="preserve">the sector, particularly </w:t>
      </w:r>
      <w:r w:rsidR="00C802C1">
        <w:rPr>
          <w:rFonts w:cstheme="minorHAnsi"/>
          <w:sz w:val="24"/>
          <w:szCs w:val="24"/>
        </w:rPr>
        <w:t>in</w:t>
      </w:r>
      <w:r w:rsidRPr="00506397">
        <w:rPr>
          <w:rFonts w:cstheme="minorHAnsi"/>
          <w:sz w:val="24"/>
          <w:szCs w:val="24"/>
        </w:rPr>
        <w:t xml:space="preserve"> regions where this is needed most</w:t>
      </w:r>
      <w:r w:rsidR="0027421E">
        <w:rPr>
          <w:rFonts w:cstheme="minorHAnsi"/>
          <w:sz w:val="24"/>
          <w:szCs w:val="24"/>
        </w:rPr>
        <w:fldChar w:fldCharType="begin" w:fldLock="1"/>
      </w:r>
      <w:r w:rsidR="005C5E29">
        <w:rPr>
          <w:rFonts w:cstheme="minorHAnsi"/>
          <w:sz w:val="24"/>
          <w:szCs w:val="24"/>
        </w:rPr>
        <w:instrText>ADDIN CSL_CITATION {"citationItems":[{"id":"ITEM-1","itemData":{"author":[{"dropping-particle":"","family":"Sustainable Energy for All","given":"","non-dropping-particle":"","parse-names":false,"suffix":""}],"id":"ITEM-1","issued":{"date-parts":[["2020"]]},"publisher":"SEforALL","title":"Energizing Finance: Understanding the Landscape","type":"report"},"uris":["http://www.mendeley.com/documents/?uuid=e061d267-bc36-3e92-b8aa-d2f375cc34b5"]}],"mendeley":{"formattedCitation":"&lt;sup&gt;33&lt;/sup&gt;","plainTextFormattedCitation":"33","previouslyFormattedCitation":"&lt;sup&gt;33&lt;/sup&gt;"},"properties":{"noteIndex":0},"schema":"https://github.com/citation-style-language/schema/raw/master/csl-citation.json"}</w:instrText>
      </w:r>
      <w:r w:rsidR="0027421E">
        <w:rPr>
          <w:rFonts w:cstheme="minorHAnsi"/>
          <w:sz w:val="24"/>
          <w:szCs w:val="24"/>
        </w:rPr>
        <w:fldChar w:fldCharType="separate"/>
      </w:r>
      <w:r w:rsidR="00CE47D8" w:rsidRPr="00CE47D8">
        <w:rPr>
          <w:rFonts w:cstheme="minorHAnsi"/>
          <w:noProof/>
          <w:sz w:val="24"/>
          <w:szCs w:val="24"/>
          <w:vertAlign w:val="superscript"/>
        </w:rPr>
        <w:t>33</w:t>
      </w:r>
      <w:r w:rsidR="0027421E">
        <w:rPr>
          <w:rFonts w:cstheme="minorHAnsi"/>
          <w:sz w:val="24"/>
          <w:szCs w:val="24"/>
        </w:rPr>
        <w:fldChar w:fldCharType="end"/>
      </w:r>
      <w:r w:rsidRPr="00506397">
        <w:rPr>
          <w:rFonts w:cstheme="minorHAnsi"/>
          <w:sz w:val="24"/>
          <w:szCs w:val="24"/>
        </w:rPr>
        <w:t>.</w:t>
      </w:r>
      <w:r>
        <w:rPr>
          <w:rFonts w:cstheme="minorHAnsi"/>
          <w:sz w:val="24"/>
          <w:szCs w:val="24"/>
        </w:rPr>
        <w:t xml:space="preserve"> </w:t>
      </w:r>
      <w:r w:rsidRPr="00506397">
        <w:rPr>
          <w:rFonts w:cstheme="minorHAnsi"/>
          <w:sz w:val="24"/>
          <w:szCs w:val="24"/>
        </w:rPr>
        <w:t>Recent estimates suggest that achieving universal access to clean cooking services by 2030 will</w:t>
      </w:r>
      <w:r>
        <w:rPr>
          <w:rFonts w:cstheme="minorHAnsi"/>
          <w:sz w:val="24"/>
          <w:szCs w:val="24"/>
        </w:rPr>
        <w:t xml:space="preserve"> </w:t>
      </w:r>
      <w:r w:rsidRPr="00506397">
        <w:rPr>
          <w:rFonts w:cstheme="minorHAnsi"/>
          <w:sz w:val="24"/>
          <w:szCs w:val="24"/>
        </w:rPr>
        <w:t>require USD 4.5-9.8 billion annually</w:t>
      </w:r>
      <w:r w:rsidR="00FA41DC">
        <w:rPr>
          <w:rFonts w:cstheme="minorHAnsi"/>
          <w:sz w:val="24"/>
          <w:szCs w:val="24"/>
        </w:rPr>
        <w:fldChar w:fldCharType="begin" w:fldLock="1"/>
      </w:r>
      <w:r w:rsidR="005C5E29">
        <w:rPr>
          <w:rFonts w:cstheme="minorHAnsi"/>
          <w:sz w:val="24"/>
          <w:szCs w:val="24"/>
        </w:rPr>
        <w:instrText>ADDIN CSL_CITATION {"citationItems":[{"id":"ITEM-1","itemData":{"author":[{"dropping-particle":"","family":"Sustainable Energy for All","given":"","non-dropping-particle":"","parse-names":false,"suffix":""}],"id":"ITEM-1","issued":{"date-parts":[["2020"]]},"publisher":"SEforALL","title":"Energizing Finance: Understanding the Landscape","type":"report"},"uris":["http://www.mendeley.com/documents/?uuid=e061d267-bc36-3e92-b8aa-d2f375cc34b5"]},{"id":"ITEM-2","itemData":{"author":[{"dropping-particle":"","family":"Energy Sector Management Assistance Program","given":"","non-dropping-particle":"","parse-names":false,"suffix":""}],"id":"ITEM-2","issued":{"date-parts":[["2020"]]},"publisher":"World Bank","title":"The State of Access to Modern Energy Cooking Services","type":"report"},"uris":["http://www.mendeley.com/documents/?uuid=d6923c86-eb2e-3434-8d9b-b940956bc501"]}],"mendeley":{"formattedCitation":"&lt;sup&gt;5,33&lt;/sup&gt;","plainTextFormattedCitation":"5,33","previouslyFormattedCitation":"&lt;sup&gt;5,33&lt;/sup&gt;"},"properties":{"noteIndex":0},"schema":"https://github.com/citation-style-language/schema/raw/master/csl-citation.json"}</w:instrText>
      </w:r>
      <w:r w:rsidR="00FA41DC">
        <w:rPr>
          <w:rFonts w:cstheme="minorHAnsi"/>
          <w:sz w:val="24"/>
          <w:szCs w:val="24"/>
        </w:rPr>
        <w:fldChar w:fldCharType="separate"/>
      </w:r>
      <w:r w:rsidR="00CE47D8" w:rsidRPr="00CE47D8">
        <w:rPr>
          <w:rFonts w:cstheme="minorHAnsi"/>
          <w:noProof/>
          <w:sz w:val="24"/>
          <w:szCs w:val="24"/>
          <w:vertAlign w:val="superscript"/>
        </w:rPr>
        <w:t>5,33</w:t>
      </w:r>
      <w:r w:rsidR="00FA41DC">
        <w:rPr>
          <w:rFonts w:cstheme="minorHAnsi"/>
          <w:sz w:val="24"/>
          <w:szCs w:val="24"/>
        </w:rPr>
        <w:fldChar w:fldCharType="end"/>
      </w:r>
      <w:r w:rsidRPr="00506397">
        <w:rPr>
          <w:rFonts w:cstheme="minorHAnsi"/>
          <w:sz w:val="24"/>
          <w:szCs w:val="24"/>
        </w:rPr>
        <w:t>.</w:t>
      </w:r>
      <w:r w:rsidR="000C2A0A">
        <w:rPr>
          <w:rFonts w:cstheme="minorHAnsi"/>
          <w:sz w:val="24"/>
          <w:szCs w:val="24"/>
        </w:rPr>
        <w:t xml:space="preserve"> </w:t>
      </w:r>
      <w:r w:rsidRPr="00506397">
        <w:rPr>
          <w:rFonts w:cstheme="minorHAnsi"/>
          <w:sz w:val="24"/>
          <w:szCs w:val="24"/>
        </w:rPr>
        <w:t>We estimate an average</w:t>
      </w:r>
      <w:r>
        <w:rPr>
          <w:rFonts w:cstheme="minorHAnsi"/>
          <w:sz w:val="24"/>
          <w:szCs w:val="24"/>
        </w:rPr>
        <w:t xml:space="preserve"> </w:t>
      </w:r>
      <w:r w:rsidRPr="00506397">
        <w:rPr>
          <w:rFonts w:cstheme="minorHAnsi"/>
          <w:sz w:val="24"/>
          <w:szCs w:val="24"/>
        </w:rPr>
        <w:t>expenditure gap of USD 10.5 billion annually between 2020 and 2030 comparing the reference</w:t>
      </w:r>
      <w:r>
        <w:rPr>
          <w:rFonts w:cstheme="minorHAnsi"/>
          <w:sz w:val="24"/>
          <w:szCs w:val="24"/>
        </w:rPr>
        <w:t xml:space="preserve"> </w:t>
      </w:r>
      <w:r w:rsidRPr="00506397">
        <w:rPr>
          <w:rFonts w:cstheme="minorHAnsi"/>
          <w:sz w:val="24"/>
          <w:szCs w:val="24"/>
        </w:rPr>
        <w:t>SSP3 and COVID scenario. This includes the cost of stoves and expenditures on fuels</w:t>
      </w:r>
      <w:r>
        <w:rPr>
          <w:rFonts w:cstheme="minorHAnsi"/>
          <w:sz w:val="24"/>
          <w:szCs w:val="24"/>
        </w:rPr>
        <w:t xml:space="preserve"> </w:t>
      </w:r>
      <w:r w:rsidRPr="00506397">
        <w:rPr>
          <w:rFonts w:cstheme="minorHAnsi"/>
          <w:sz w:val="24"/>
          <w:szCs w:val="24"/>
        </w:rPr>
        <w:t xml:space="preserve">and is in line with </w:t>
      </w:r>
      <w:r w:rsidR="00E2740C">
        <w:rPr>
          <w:rFonts w:cstheme="minorHAnsi"/>
          <w:sz w:val="24"/>
          <w:szCs w:val="24"/>
        </w:rPr>
        <w:t xml:space="preserve">the </w:t>
      </w:r>
      <w:r w:rsidRPr="00506397">
        <w:rPr>
          <w:rFonts w:cstheme="minorHAnsi"/>
          <w:sz w:val="24"/>
          <w:szCs w:val="24"/>
        </w:rPr>
        <w:t>previous estimates.</w:t>
      </w:r>
      <w:r w:rsidR="00D15E3A">
        <w:rPr>
          <w:rFonts w:cstheme="minorHAnsi"/>
          <w:sz w:val="24"/>
          <w:szCs w:val="24"/>
        </w:rPr>
        <w:t xml:space="preserve"> </w:t>
      </w:r>
      <w:r w:rsidRPr="00506397">
        <w:rPr>
          <w:rFonts w:cstheme="minorHAnsi"/>
          <w:sz w:val="24"/>
          <w:szCs w:val="24"/>
        </w:rPr>
        <w:t>These estimates are an order of magnitude lower than the US$2 trillion each year of estimated</w:t>
      </w:r>
      <w:r w:rsidR="00D15E3A">
        <w:rPr>
          <w:rFonts w:cstheme="minorHAnsi"/>
          <w:sz w:val="24"/>
          <w:szCs w:val="24"/>
        </w:rPr>
        <w:t xml:space="preserve"> </w:t>
      </w:r>
      <w:r w:rsidRPr="00506397">
        <w:rPr>
          <w:rFonts w:cstheme="minorHAnsi"/>
          <w:sz w:val="24"/>
          <w:szCs w:val="24"/>
        </w:rPr>
        <w:t>losses incurred from a lack of access</w:t>
      </w:r>
      <w:r w:rsidR="007449FF">
        <w:rPr>
          <w:rFonts w:cstheme="minorHAnsi"/>
          <w:sz w:val="24"/>
          <w:szCs w:val="24"/>
        </w:rPr>
        <w:fldChar w:fldCharType="begin" w:fldLock="1"/>
      </w:r>
      <w:r w:rsidR="000136ED">
        <w:rPr>
          <w:rFonts w:cstheme="minorHAnsi"/>
          <w:sz w:val="24"/>
          <w:szCs w:val="24"/>
        </w:rPr>
        <w:instrText>ADDIN CSL_CITATION {"citationItems":[{"id":"ITEM-1","itemData":{"author":[{"dropping-particle":"","family":"Energy Sector Management Assistance Program","given":"","non-dropping-particle":"","parse-names":false,"suffix":""}],"id":"ITEM-1","issued":{"date-parts":[["2020"]]},"publisher":"World Bank","title":"The State of Access to Modern Energy Cooking Services","type":"report"},"uris":["http://www.mendeley.com/documents/?uuid=d6923c86-eb2e-3434-8d9b-b940956bc501"]}],"mendeley":{"formattedCitation":"&lt;sup&gt;5&lt;/sup&gt;","plainTextFormattedCitation":"5","previouslyFormattedCitation":"&lt;sup&gt;5&lt;/sup&gt;"},"properties":{"noteIndex":0},"schema":"https://github.com/citation-style-language/schema/raw/master/csl-citation.json"}</w:instrText>
      </w:r>
      <w:r w:rsidR="007449FF">
        <w:rPr>
          <w:rFonts w:cstheme="minorHAnsi"/>
          <w:sz w:val="24"/>
          <w:szCs w:val="24"/>
        </w:rPr>
        <w:fldChar w:fldCharType="separate"/>
      </w:r>
      <w:r w:rsidR="00CE47D8" w:rsidRPr="00CE47D8">
        <w:rPr>
          <w:rFonts w:cstheme="minorHAnsi"/>
          <w:noProof/>
          <w:sz w:val="24"/>
          <w:szCs w:val="24"/>
          <w:vertAlign w:val="superscript"/>
        </w:rPr>
        <w:t>5</w:t>
      </w:r>
      <w:r w:rsidR="007449FF">
        <w:rPr>
          <w:rFonts w:cstheme="minorHAnsi"/>
          <w:sz w:val="24"/>
          <w:szCs w:val="24"/>
        </w:rPr>
        <w:fldChar w:fldCharType="end"/>
      </w:r>
      <w:r w:rsidRPr="00506397">
        <w:rPr>
          <w:rFonts w:cstheme="minorHAnsi"/>
          <w:sz w:val="24"/>
          <w:szCs w:val="24"/>
        </w:rPr>
        <w:t xml:space="preserve">. Recent commitments pledged to </w:t>
      </w:r>
      <w:r w:rsidR="003D599A" w:rsidRPr="00C86867">
        <w:rPr>
          <w:rFonts w:cstheme="minorHAnsi"/>
          <w:sz w:val="24"/>
          <w:szCs w:val="24"/>
        </w:rPr>
        <w:t xml:space="preserve">COVID-19 </w:t>
      </w:r>
      <w:r w:rsidRPr="00506397">
        <w:rPr>
          <w:rFonts w:cstheme="minorHAnsi"/>
          <w:sz w:val="24"/>
          <w:szCs w:val="24"/>
        </w:rPr>
        <w:t>recovery funds</w:t>
      </w:r>
      <w:r w:rsidR="00D15E3A">
        <w:rPr>
          <w:rFonts w:cstheme="minorHAnsi"/>
          <w:sz w:val="24"/>
          <w:szCs w:val="24"/>
        </w:rPr>
        <w:t xml:space="preserve"> </w:t>
      </w:r>
      <w:r w:rsidRPr="00506397">
        <w:rPr>
          <w:rFonts w:cstheme="minorHAnsi"/>
          <w:sz w:val="24"/>
          <w:szCs w:val="24"/>
        </w:rPr>
        <w:t>range from USD 9 to 15 trillion</w:t>
      </w:r>
      <w:r w:rsidR="004140DF">
        <w:rPr>
          <w:rFonts w:cstheme="minorHAnsi"/>
          <w:sz w:val="24"/>
          <w:szCs w:val="24"/>
        </w:rPr>
        <w:fldChar w:fldCharType="begin" w:fldLock="1"/>
      </w:r>
      <w:r w:rsidR="00423D10">
        <w:rPr>
          <w:rFonts w:cstheme="minorHAnsi"/>
          <w:sz w:val="24"/>
          <w:szCs w:val="24"/>
        </w:rPr>
        <w:instrText>ADDIN CSL_CITATION {"citationItems":[{"id":"ITEM-1","itemData":{"author":[{"dropping-particle":"","family":"Andrijevic","given":"Marina","non-dropping-particle":"","parse-names":false,"suffix":""},{"dropping-particle":"","family":"Schleussner","given":"Carl-Friedrich","non-dropping-particle":"","parse-names":false,"suffix":""},{"dropping-particle":"","family":"Gidden","given":"Matthew J","non-dropping-particle":"","parse-names":false,"suffix":""},{"dropping-particle":"","family":"McCollum","given":"David L","non-dropping-particle":"","parse-names":false,"suffix":""},{"dropping-particle":"","family":"Rogelj","given":"Joeri","non-dropping-particle":"","parse-names":false,"suffix":""}],"container-title":"Science","id":"ITEM-1","issue":"5614","issued":{"date-parts":[["2020"]]},"page":"298-300","title":"COVID-19 recovery funds dwarf clean energy investment needs","type":"article-journal","volume":"370"},"uris":["http://www.mendeley.com/documents/?uuid=690241d4-e528-33ea-a71b-a9cf56e303c6"]},{"id":"ITEM-2","itemData":{"DOI":"10.1016/j.erss.2020.101701","ISSN":"2214-6296","author":[{"dropping-particle":"","family":"Sovacool","given":"Benjamin K","non-dropping-particle":"","parse-names":false,"suffix":""},{"dropping-particle":"","family":"Furszyfer Del Rio","given":"Dylan","non-dropping-particle":"","parse-names":false,"suffix":""},{"dropping-particle":"","family":"Griffiths","given":"Steve","non-dropping-particle":"","parse-names":false,"suffix":""}],"container-title":"Energy Research &amp; Social Science","id":"ITEM-2","issued":{"date-parts":[["2020"]]},"page":"101701","title":"Contextualizing the Covid-19 pandemic for a carbon-constrained world: Insights for sustainability transitions, energy justice, and research methodology","type":"article-journal","volume":"68"},"uris":["http://www.mendeley.com/documents/?uuid=dbb81d5d-5791-3fec-9462-4c57f4dbcb9b"]}],"mendeley":{"formattedCitation":"&lt;sup&gt;34,35&lt;/sup&gt;","plainTextFormattedCitation":"34,35","previouslyFormattedCitation":"&lt;sup&gt;34,35&lt;/sup&gt;"},"properties":{"noteIndex":0},"schema":"https://github.com/citation-style-language/schema/raw/master/csl-citation.json"}</w:instrText>
      </w:r>
      <w:r w:rsidR="004140DF">
        <w:rPr>
          <w:rFonts w:cstheme="minorHAnsi"/>
          <w:sz w:val="24"/>
          <w:szCs w:val="24"/>
        </w:rPr>
        <w:fldChar w:fldCharType="separate"/>
      </w:r>
      <w:r w:rsidR="006C7017" w:rsidRPr="006C7017">
        <w:rPr>
          <w:rFonts w:cstheme="minorHAnsi"/>
          <w:noProof/>
          <w:sz w:val="24"/>
          <w:szCs w:val="24"/>
          <w:vertAlign w:val="superscript"/>
        </w:rPr>
        <w:t>34,35</w:t>
      </w:r>
      <w:r w:rsidR="004140DF">
        <w:rPr>
          <w:rFonts w:cstheme="minorHAnsi"/>
          <w:sz w:val="24"/>
          <w:szCs w:val="24"/>
        </w:rPr>
        <w:fldChar w:fldCharType="end"/>
      </w:r>
      <w:r w:rsidRPr="00506397">
        <w:rPr>
          <w:rFonts w:cstheme="minorHAnsi"/>
          <w:sz w:val="24"/>
          <w:szCs w:val="24"/>
        </w:rPr>
        <w:t>. Directing even a fraction of one percent of these funds</w:t>
      </w:r>
      <w:r w:rsidR="00D15E3A">
        <w:rPr>
          <w:rFonts w:cstheme="minorHAnsi"/>
          <w:sz w:val="24"/>
          <w:szCs w:val="24"/>
        </w:rPr>
        <w:t xml:space="preserve"> </w:t>
      </w:r>
      <w:r w:rsidR="00B702D0">
        <w:rPr>
          <w:rFonts w:cstheme="minorHAnsi"/>
          <w:sz w:val="24"/>
          <w:szCs w:val="24"/>
        </w:rPr>
        <w:t>to eradicating cooking poverty</w:t>
      </w:r>
      <w:r w:rsidRPr="00506397">
        <w:rPr>
          <w:rFonts w:cstheme="minorHAnsi"/>
          <w:sz w:val="24"/>
          <w:szCs w:val="24"/>
        </w:rPr>
        <w:t xml:space="preserve"> could help bridge the </w:t>
      </w:r>
      <w:r w:rsidR="00D15E3A">
        <w:rPr>
          <w:rFonts w:cstheme="minorHAnsi"/>
          <w:sz w:val="24"/>
          <w:szCs w:val="24"/>
        </w:rPr>
        <w:t>fi</w:t>
      </w:r>
      <w:r w:rsidRPr="00506397">
        <w:rPr>
          <w:rFonts w:cstheme="minorHAnsi"/>
          <w:sz w:val="24"/>
          <w:szCs w:val="24"/>
        </w:rPr>
        <w:t>nancing gap to meet the SDG 7 target.</w:t>
      </w:r>
    </w:p>
    <w:p w14:paraId="6CF9CD93" w14:textId="465064E2" w:rsidR="00D15E3A" w:rsidRDefault="00D15E3A" w:rsidP="00506397">
      <w:pPr>
        <w:autoSpaceDE w:val="0"/>
        <w:autoSpaceDN w:val="0"/>
        <w:adjustRightInd w:val="0"/>
        <w:jc w:val="both"/>
        <w:rPr>
          <w:rFonts w:cstheme="minorHAnsi"/>
          <w:sz w:val="24"/>
          <w:szCs w:val="24"/>
        </w:rPr>
      </w:pPr>
    </w:p>
    <w:p w14:paraId="153AFBE9" w14:textId="40A5E8AE" w:rsidR="00D15E3A" w:rsidRDefault="00A356D6" w:rsidP="00C22CEC">
      <w:pPr>
        <w:autoSpaceDE w:val="0"/>
        <w:autoSpaceDN w:val="0"/>
        <w:adjustRightInd w:val="0"/>
        <w:jc w:val="both"/>
        <w:rPr>
          <w:rFonts w:cstheme="minorHAnsi"/>
          <w:sz w:val="24"/>
          <w:szCs w:val="24"/>
        </w:rPr>
      </w:pPr>
      <w:r>
        <w:rPr>
          <w:rFonts w:cstheme="minorHAnsi"/>
          <w:sz w:val="24"/>
          <w:szCs w:val="24"/>
        </w:rPr>
        <w:t>C</w:t>
      </w:r>
      <w:r w:rsidR="00C22CEC" w:rsidRPr="00C22CEC">
        <w:rPr>
          <w:rFonts w:cstheme="minorHAnsi"/>
          <w:sz w:val="24"/>
          <w:szCs w:val="24"/>
        </w:rPr>
        <w:t xml:space="preserve">ountries, like Brazil India and Indonesia, </w:t>
      </w:r>
      <w:r>
        <w:rPr>
          <w:rFonts w:cstheme="minorHAnsi"/>
          <w:sz w:val="24"/>
          <w:szCs w:val="24"/>
        </w:rPr>
        <w:t xml:space="preserve">have </w:t>
      </w:r>
      <w:r w:rsidRPr="00C22CEC">
        <w:rPr>
          <w:rFonts w:cstheme="minorHAnsi"/>
          <w:sz w:val="24"/>
          <w:szCs w:val="24"/>
        </w:rPr>
        <w:t>expand</w:t>
      </w:r>
      <w:r>
        <w:rPr>
          <w:rFonts w:cstheme="minorHAnsi"/>
          <w:sz w:val="24"/>
          <w:szCs w:val="24"/>
        </w:rPr>
        <w:t>ed</w:t>
      </w:r>
      <w:r w:rsidRPr="00C22CEC">
        <w:rPr>
          <w:rFonts w:cstheme="minorHAnsi"/>
          <w:sz w:val="24"/>
          <w:szCs w:val="24"/>
        </w:rPr>
        <w:t xml:space="preserve"> </w:t>
      </w:r>
      <w:r w:rsidR="00C22CEC" w:rsidRPr="00C22CEC">
        <w:rPr>
          <w:rFonts w:cstheme="minorHAnsi"/>
          <w:sz w:val="24"/>
          <w:szCs w:val="24"/>
        </w:rPr>
        <w:t>access to</w:t>
      </w:r>
      <w:r>
        <w:rPr>
          <w:rFonts w:cstheme="minorHAnsi"/>
          <w:sz w:val="24"/>
          <w:szCs w:val="24"/>
        </w:rPr>
        <w:t xml:space="preserve"> </w:t>
      </w:r>
      <w:r w:rsidR="00C22CEC" w:rsidRPr="00C22CEC">
        <w:rPr>
          <w:rFonts w:cstheme="minorHAnsi"/>
          <w:sz w:val="24"/>
          <w:szCs w:val="24"/>
        </w:rPr>
        <w:t xml:space="preserve">clean cooking services </w:t>
      </w:r>
      <w:r w:rsidR="004204E6">
        <w:rPr>
          <w:rFonts w:cstheme="minorHAnsi"/>
          <w:sz w:val="24"/>
          <w:szCs w:val="24"/>
        </w:rPr>
        <w:t>considerably</w:t>
      </w:r>
      <w:r w:rsidR="000E6D4D">
        <w:rPr>
          <w:rFonts w:cstheme="minorHAnsi"/>
          <w:sz w:val="24"/>
          <w:szCs w:val="24"/>
        </w:rPr>
        <w:t>,</w:t>
      </w:r>
      <w:r w:rsidR="004204E6" w:rsidRPr="00C22CEC">
        <w:rPr>
          <w:rFonts w:cstheme="minorHAnsi"/>
          <w:sz w:val="24"/>
          <w:szCs w:val="24"/>
        </w:rPr>
        <w:t xml:space="preserve"> </w:t>
      </w:r>
      <w:r w:rsidR="00C22CEC" w:rsidRPr="00C22CEC">
        <w:rPr>
          <w:rFonts w:cstheme="minorHAnsi"/>
          <w:sz w:val="24"/>
          <w:szCs w:val="24"/>
        </w:rPr>
        <w:t>in recent years</w:t>
      </w:r>
      <w:r w:rsidR="00A31E4D">
        <w:rPr>
          <w:rFonts w:cstheme="minorHAnsi"/>
          <w:sz w:val="24"/>
          <w:szCs w:val="24"/>
        </w:rPr>
        <w:fldChar w:fldCharType="begin" w:fldLock="1"/>
      </w:r>
      <w:r w:rsidR="00423D10">
        <w:rPr>
          <w:rFonts w:cstheme="minorHAnsi"/>
          <w:sz w:val="24"/>
          <w:szCs w:val="24"/>
        </w:rPr>
        <w:instrText>ADDIN CSL_CITATION {"citationItems":[{"id":"ITEM-1","itemData":{"DOI":"10.1088/1748-9326/aaa49d","author":[{"dropping-particle":"","family":"Goldemberg","given":"Jose","non-dropping-particle":"","parse-names":false,"suffix":""},{"dropping-particle":"","family":"Martinez-Gomez","given":"Javier","non-dropping-particle":"","parse-names":false,"suffix":""},{"dropping-particle":"","family":"Sagar","given":"Ambuj","non-dropping-particle":"","parse-names":false,"suffix":""},{"dropping-particle":"","family":"Smith","given":"Kirk R","non-dropping-particle":"","parse-names":false,"suffix":""}],"container-title":"Environmental Research Letters","id":"ITEM-1","issue":"3","issued":{"date-parts":[["2018","2"]]},"page":"30201","publisher":"{IOP} Publishing","title":"Household air pollution, health, and climate change: cleaning the air","type":"article-journal","volume":"13"},"uris":["http://www.mendeley.com/documents/?uuid=2a792fc4-1383-4bb1-9f7c-46f93007553c","http://www.mendeley.com/documents/?uuid=32e24b69-9884-4fa1-8e12-562a93a30910"]}],"mendeley":{"formattedCitation":"&lt;sup&gt;36&lt;/sup&gt;","plainTextFormattedCitation":"36","previouslyFormattedCitation":"&lt;sup&gt;36&lt;/sup&gt;"},"properties":{"noteIndex":0},"schema":"https://github.com/citation-style-language/schema/raw/master/csl-citation.json"}</w:instrText>
      </w:r>
      <w:r w:rsidR="00A31E4D">
        <w:rPr>
          <w:rFonts w:cstheme="minorHAnsi"/>
          <w:sz w:val="24"/>
          <w:szCs w:val="24"/>
        </w:rPr>
        <w:fldChar w:fldCharType="separate"/>
      </w:r>
      <w:r w:rsidR="006C7017" w:rsidRPr="006C7017">
        <w:rPr>
          <w:rFonts w:cstheme="minorHAnsi"/>
          <w:noProof/>
          <w:sz w:val="24"/>
          <w:szCs w:val="24"/>
          <w:vertAlign w:val="superscript"/>
        </w:rPr>
        <w:t>36</w:t>
      </w:r>
      <w:r w:rsidR="00A31E4D">
        <w:rPr>
          <w:rFonts w:cstheme="minorHAnsi"/>
          <w:sz w:val="24"/>
          <w:szCs w:val="24"/>
        </w:rPr>
        <w:fldChar w:fldCharType="end"/>
      </w:r>
      <w:r w:rsidR="00C22CEC" w:rsidRPr="00C22CEC">
        <w:rPr>
          <w:rFonts w:cstheme="minorHAnsi"/>
          <w:sz w:val="24"/>
          <w:szCs w:val="24"/>
        </w:rPr>
        <w:t xml:space="preserve">. This has </w:t>
      </w:r>
      <w:r w:rsidR="00B77920">
        <w:rPr>
          <w:rFonts w:cstheme="minorHAnsi"/>
          <w:sz w:val="24"/>
          <w:szCs w:val="24"/>
        </w:rPr>
        <w:t>been achieved through</w:t>
      </w:r>
      <w:r w:rsidR="00EE02F2">
        <w:rPr>
          <w:rFonts w:cstheme="minorHAnsi"/>
          <w:sz w:val="24"/>
          <w:szCs w:val="24"/>
        </w:rPr>
        <w:t xml:space="preserve"> strong</w:t>
      </w:r>
      <w:r w:rsidR="00C22CEC" w:rsidRPr="00C22CEC">
        <w:rPr>
          <w:rFonts w:cstheme="minorHAnsi"/>
          <w:sz w:val="24"/>
          <w:szCs w:val="24"/>
        </w:rPr>
        <w:t xml:space="preserve"> government</w:t>
      </w:r>
      <w:r w:rsidR="00C22CEC">
        <w:rPr>
          <w:rFonts w:cstheme="minorHAnsi"/>
          <w:sz w:val="24"/>
          <w:szCs w:val="24"/>
        </w:rPr>
        <w:t xml:space="preserve"> </w:t>
      </w:r>
      <w:r w:rsidR="00C22CEC" w:rsidRPr="00C22CEC">
        <w:rPr>
          <w:rFonts w:cstheme="minorHAnsi"/>
          <w:sz w:val="24"/>
          <w:szCs w:val="24"/>
        </w:rPr>
        <w:t xml:space="preserve">commitment and extensive subsidies. </w:t>
      </w:r>
      <w:proofErr w:type="gramStart"/>
      <w:r w:rsidR="00A33971">
        <w:rPr>
          <w:rFonts w:cstheme="minorHAnsi"/>
          <w:sz w:val="24"/>
          <w:szCs w:val="24"/>
        </w:rPr>
        <w:t>But,</w:t>
      </w:r>
      <w:proofErr w:type="gramEnd"/>
      <w:r w:rsidR="00A33971">
        <w:rPr>
          <w:rFonts w:cstheme="minorHAnsi"/>
          <w:sz w:val="24"/>
          <w:szCs w:val="24"/>
        </w:rPr>
        <w:t xml:space="preserve"> s</w:t>
      </w:r>
      <w:r w:rsidR="00C22CEC" w:rsidRPr="00C22CEC">
        <w:rPr>
          <w:rFonts w:cstheme="minorHAnsi"/>
          <w:sz w:val="24"/>
          <w:szCs w:val="24"/>
        </w:rPr>
        <w:t xml:space="preserve">ustaining these subsidies </w:t>
      </w:r>
      <w:r w:rsidR="00E5042B">
        <w:rPr>
          <w:rFonts w:cstheme="minorHAnsi"/>
          <w:sz w:val="24"/>
          <w:szCs w:val="24"/>
        </w:rPr>
        <w:t>can become a fiscal burden</w:t>
      </w:r>
      <w:r w:rsidR="00C22CEC" w:rsidRPr="00C22CEC">
        <w:rPr>
          <w:rFonts w:cstheme="minorHAnsi"/>
          <w:sz w:val="24"/>
          <w:szCs w:val="24"/>
        </w:rPr>
        <w:t xml:space="preserve">. </w:t>
      </w:r>
      <w:r w:rsidR="00EE02F2">
        <w:rPr>
          <w:rFonts w:cstheme="minorHAnsi"/>
          <w:sz w:val="24"/>
          <w:szCs w:val="24"/>
        </w:rPr>
        <w:t>Better</w:t>
      </w:r>
      <w:r w:rsidR="00C22CEC" w:rsidRPr="00C22CEC">
        <w:rPr>
          <w:rFonts w:cstheme="minorHAnsi"/>
          <w:sz w:val="24"/>
          <w:szCs w:val="24"/>
        </w:rPr>
        <w:t xml:space="preserve"> targeting </w:t>
      </w:r>
      <w:r w:rsidR="00EE02F2">
        <w:rPr>
          <w:rFonts w:cstheme="minorHAnsi"/>
          <w:sz w:val="24"/>
          <w:szCs w:val="24"/>
        </w:rPr>
        <w:t xml:space="preserve">of </w:t>
      </w:r>
      <w:r w:rsidR="00C22CEC" w:rsidRPr="00C22CEC">
        <w:rPr>
          <w:rFonts w:cstheme="minorHAnsi"/>
          <w:sz w:val="24"/>
          <w:szCs w:val="24"/>
        </w:rPr>
        <w:t>subsidies, through</w:t>
      </w:r>
      <w:r w:rsidR="00EE02F2">
        <w:rPr>
          <w:rFonts w:cstheme="minorHAnsi"/>
          <w:sz w:val="24"/>
          <w:szCs w:val="24"/>
        </w:rPr>
        <w:t xml:space="preserve"> efforts like</w:t>
      </w:r>
      <w:r w:rsidR="00C22CEC" w:rsidRPr="00C22CEC">
        <w:rPr>
          <w:rFonts w:cstheme="minorHAnsi"/>
          <w:sz w:val="24"/>
          <w:szCs w:val="24"/>
        </w:rPr>
        <w:t xml:space="preserve"> India's Give It Up campaign, and better</w:t>
      </w:r>
      <w:r w:rsidR="00C22CEC">
        <w:rPr>
          <w:rFonts w:cstheme="minorHAnsi"/>
          <w:sz w:val="24"/>
          <w:szCs w:val="24"/>
        </w:rPr>
        <w:t xml:space="preserve"> </w:t>
      </w:r>
      <w:r w:rsidR="00C22CEC" w:rsidRPr="00C22CEC">
        <w:rPr>
          <w:rFonts w:cstheme="minorHAnsi"/>
          <w:sz w:val="24"/>
          <w:szCs w:val="24"/>
        </w:rPr>
        <w:t>market segmentation can help</w:t>
      </w:r>
      <w:r w:rsidR="00BB6B3C">
        <w:rPr>
          <w:rFonts w:cstheme="minorHAnsi"/>
          <w:sz w:val="24"/>
          <w:szCs w:val="24"/>
        </w:rPr>
        <w:fldChar w:fldCharType="begin" w:fldLock="1"/>
      </w:r>
      <w:r w:rsidR="00423D10">
        <w:rPr>
          <w:rFonts w:cstheme="minorHAnsi"/>
          <w:sz w:val="24"/>
          <w:szCs w:val="24"/>
        </w:rPr>
        <w:instrText>ADDIN CSL_CITATION {"citationItems":[{"id":"ITEM-1","itemData":{"author":[{"dropping-particle":"","family":"Tripathi","given":"Alok","non-dropping-particle":"","parse-names":false,"suffix":""},{"dropping-particle":"","family":"Sagar","given":"Ambuj","non-dropping-particle":"","parse-names":false,"suffix":""}],"id":"ITEM-1","issued":{"date-parts":[["2019"]]},"publisher":"Collaborative Clean Air Policy Centre, New Delhi","title":"Ujjwala, V2.0: What should be done next?","type":"report"},"uris":["http://www.mendeley.com/documents/?uuid=6b9281ce-0761-3a5d-8533-969814192f46"]}],"mendeley":{"formattedCitation":"&lt;sup&gt;37&lt;/sup&gt;","plainTextFormattedCitation":"37","previouslyFormattedCitation":"&lt;sup&gt;37&lt;/sup&gt;"},"properties":{"noteIndex":0},"schema":"https://github.com/citation-style-language/schema/raw/master/csl-citation.json"}</w:instrText>
      </w:r>
      <w:r w:rsidR="00BB6B3C">
        <w:rPr>
          <w:rFonts w:cstheme="minorHAnsi"/>
          <w:sz w:val="24"/>
          <w:szCs w:val="24"/>
        </w:rPr>
        <w:fldChar w:fldCharType="separate"/>
      </w:r>
      <w:r w:rsidR="006C7017" w:rsidRPr="006C7017">
        <w:rPr>
          <w:rFonts w:cstheme="minorHAnsi"/>
          <w:noProof/>
          <w:sz w:val="24"/>
          <w:szCs w:val="24"/>
          <w:vertAlign w:val="superscript"/>
        </w:rPr>
        <w:t>37</w:t>
      </w:r>
      <w:r w:rsidR="00BB6B3C">
        <w:rPr>
          <w:rFonts w:cstheme="minorHAnsi"/>
          <w:sz w:val="24"/>
          <w:szCs w:val="24"/>
        </w:rPr>
        <w:fldChar w:fldCharType="end"/>
      </w:r>
      <w:r w:rsidR="00C22CEC" w:rsidRPr="00C22CEC">
        <w:rPr>
          <w:rFonts w:cstheme="minorHAnsi"/>
          <w:sz w:val="24"/>
          <w:szCs w:val="24"/>
        </w:rPr>
        <w:t xml:space="preserve">. In addition, directing </w:t>
      </w:r>
      <w:r w:rsidR="00241B3C">
        <w:rPr>
          <w:rFonts w:cstheme="minorHAnsi"/>
          <w:sz w:val="24"/>
          <w:szCs w:val="24"/>
        </w:rPr>
        <w:t>green and climate funds</w:t>
      </w:r>
      <w:r w:rsidR="00C22CEC" w:rsidRPr="00C22CEC">
        <w:rPr>
          <w:rFonts w:cstheme="minorHAnsi"/>
          <w:sz w:val="24"/>
          <w:szCs w:val="24"/>
        </w:rPr>
        <w:t xml:space="preserve"> </w:t>
      </w:r>
      <w:r w:rsidR="007C2D37">
        <w:rPr>
          <w:rFonts w:cstheme="minorHAnsi"/>
          <w:sz w:val="24"/>
          <w:szCs w:val="24"/>
        </w:rPr>
        <w:t xml:space="preserve">and </w:t>
      </w:r>
      <w:r w:rsidR="00475451" w:rsidRPr="00C22CEC">
        <w:rPr>
          <w:rFonts w:cstheme="minorHAnsi"/>
          <w:sz w:val="24"/>
          <w:szCs w:val="24"/>
        </w:rPr>
        <w:t xml:space="preserve">revenues from </w:t>
      </w:r>
      <w:r w:rsidR="007C2D37">
        <w:rPr>
          <w:rFonts w:cstheme="minorHAnsi"/>
          <w:sz w:val="24"/>
          <w:szCs w:val="24"/>
        </w:rPr>
        <w:t xml:space="preserve">carbon pricing </w:t>
      </w:r>
      <w:r w:rsidR="00C22CEC" w:rsidRPr="00C22CEC">
        <w:rPr>
          <w:rFonts w:cstheme="minorHAnsi"/>
          <w:sz w:val="24"/>
          <w:szCs w:val="24"/>
        </w:rPr>
        <w:t>to the</w:t>
      </w:r>
      <w:r w:rsidR="00C22CEC">
        <w:rPr>
          <w:rFonts w:cstheme="minorHAnsi"/>
          <w:sz w:val="24"/>
          <w:szCs w:val="24"/>
        </w:rPr>
        <w:t xml:space="preserve"> </w:t>
      </w:r>
      <w:r w:rsidR="00C22CEC" w:rsidRPr="00C22CEC">
        <w:rPr>
          <w:rFonts w:cstheme="minorHAnsi"/>
          <w:sz w:val="24"/>
          <w:szCs w:val="24"/>
        </w:rPr>
        <w:t xml:space="preserve">clean cooking sector can be another way of increasing </w:t>
      </w:r>
      <w:r w:rsidR="00D261C4">
        <w:rPr>
          <w:rFonts w:cstheme="minorHAnsi"/>
          <w:sz w:val="24"/>
          <w:szCs w:val="24"/>
        </w:rPr>
        <w:t>fi</w:t>
      </w:r>
      <w:r w:rsidR="00C22CEC" w:rsidRPr="00C22CEC">
        <w:rPr>
          <w:rFonts w:cstheme="minorHAnsi"/>
          <w:sz w:val="24"/>
          <w:szCs w:val="24"/>
        </w:rPr>
        <w:t>nancing to this sector</w:t>
      </w:r>
      <w:r w:rsidR="00A23F06">
        <w:rPr>
          <w:rFonts w:cstheme="minorHAnsi"/>
          <w:sz w:val="24"/>
          <w:szCs w:val="24"/>
        </w:rPr>
        <w:fldChar w:fldCharType="begin" w:fldLock="1"/>
      </w:r>
      <w:r w:rsidR="00423D10">
        <w:rPr>
          <w:rFonts w:cstheme="minorHAnsi"/>
          <w:sz w:val="24"/>
          <w:szCs w:val="24"/>
        </w:rPr>
        <w:instrText>ADDIN CSL_CITATION {"citationItems":[{"id":"ITEM-1","itemData":{"DOI":"10.1038/nenergy.2015.10","ISSN":"2058-7546","author":[{"dropping-particle":"","family":"Cameron","given":"Colin","non-dropping-particle":"","parse-names":false,"suffix":""},{"dropping-particle":"","family":"Pachauri","given":"Shonali","non-dropping-particle":"","parse-names":false,"suffix":""},{"dropping-particle":"","family":"Rao","given":"Narasimha D","non-dropping-particle":"","parse-names":false,"suffix":""},{"dropping-particle":"","family":"McCollum","given":"David","non-dropping-particle":"","parse-names":false,"suffix":""},{"dropping-particle":"","family":"Rogelj","given":"Joeri","non-dropping-particle":"","parse-names":false,"suffix":""},{"dropping-particle":"","family":"Riahi","given":"Keywan","non-dropping-particle":"","parse-names":false,"suffix":""}],"container-title":"Nature Energy","id":"ITEM-1","issue":"1","issued":{"date-parts":[["2016"]]},"page":"15010","title":"Policy trade-offs between climate mitigation and clean cook-stove access in South Asia","type":"article-journal","volume":"1"},"uris":["http://www.mendeley.com/documents/?uuid=ead5074d-2db1-32ed-b2d0-385d6f4fb8a6"]}],"mendeley":{"formattedCitation":"&lt;sup&gt;38&lt;/sup&gt;","plainTextFormattedCitation":"38","previouslyFormattedCitation":"&lt;sup&gt;38&lt;/sup&gt;"},"properties":{"noteIndex":0},"schema":"https://github.com/citation-style-language/schema/raw/master/csl-citation.json"}</w:instrText>
      </w:r>
      <w:r w:rsidR="00A23F06">
        <w:rPr>
          <w:rFonts w:cstheme="minorHAnsi"/>
          <w:sz w:val="24"/>
          <w:szCs w:val="24"/>
        </w:rPr>
        <w:fldChar w:fldCharType="separate"/>
      </w:r>
      <w:r w:rsidR="006C7017" w:rsidRPr="006C7017">
        <w:rPr>
          <w:rFonts w:cstheme="minorHAnsi"/>
          <w:noProof/>
          <w:sz w:val="24"/>
          <w:szCs w:val="24"/>
          <w:vertAlign w:val="superscript"/>
        </w:rPr>
        <w:t>38</w:t>
      </w:r>
      <w:r w:rsidR="00A23F06">
        <w:rPr>
          <w:rFonts w:cstheme="minorHAnsi"/>
          <w:sz w:val="24"/>
          <w:szCs w:val="24"/>
        </w:rPr>
        <w:fldChar w:fldCharType="end"/>
      </w:r>
      <w:r w:rsidR="00C22CEC" w:rsidRPr="00C22CEC">
        <w:rPr>
          <w:rFonts w:cstheme="minorHAnsi"/>
          <w:sz w:val="24"/>
          <w:szCs w:val="24"/>
        </w:rPr>
        <w:t>.</w:t>
      </w:r>
    </w:p>
    <w:p w14:paraId="2910DC10" w14:textId="06D707EA" w:rsidR="00D261C4" w:rsidRDefault="00D261C4" w:rsidP="00C22CEC">
      <w:pPr>
        <w:autoSpaceDE w:val="0"/>
        <w:autoSpaceDN w:val="0"/>
        <w:adjustRightInd w:val="0"/>
        <w:jc w:val="both"/>
        <w:rPr>
          <w:rFonts w:cstheme="minorHAnsi"/>
          <w:sz w:val="24"/>
          <w:szCs w:val="24"/>
        </w:rPr>
      </w:pPr>
    </w:p>
    <w:p w14:paraId="02575508" w14:textId="3E007090" w:rsidR="00D261C4" w:rsidRDefault="00D261C4" w:rsidP="00D261C4">
      <w:pPr>
        <w:autoSpaceDE w:val="0"/>
        <w:autoSpaceDN w:val="0"/>
        <w:adjustRightInd w:val="0"/>
        <w:jc w:val="both"/>
        <w:rPr>
          <w:rFonts w:cstheme="minorHAnsi"/>
          <w:sz w:val="24"/>
          <w:szCs w:val="24"/>
        </w:rPr>
      </w:pPr>
      <w:r w:rsidRPr="00D261C4">
        <w:rPr>
          <w:rFonts w:cstheme="minorHAnsi"/>
          <w:sz w:val="24"/>
          <w:szCs w:val="24"/>
        </w:rPr>
        <w:t>Despite the challenges in extending clean cooking</w:t>
      </w:r>
      <w:r w:rsidR="00F413EB" w:rsidRPr="00F413EB">
        <w:rPr>
          <w:rFonts w:cstheme="minorHAnsi"/>
          <w:sz w:val="24"/>
          <w:szCs w:val="24"/>
        </w:rPr>
        <w:t xml:space="preserve"> </w:t>
      </w:r>
      <w:r w:rsidR="00F413EB" w:rsidRPr="00D261C4">
        <w:rPr>
          <w:rFonts w:cstheme="minorHAnsi"/>
          <w:sz w:val="24"/>
          <w:szCs w:val="24"/>
        </w:rPr>
        <w:t>access</w:t>
      </w:r>
      <w:r w:rsidRPr="00D261C4">
        <w:rPr>
          <w:rFonts w:cstheme="minorHAnsi"/>
          <w:sz w:val="24"/>
          <w:szCs w:val="24"/>
        </w:rPr>
        <w:t>, recent advances in technologies</w:t>
      </w:r>
      <w:r w:rsidR="00404FC6">
        <w:rPr>
          <w:rFonts w:cstheme="minorHAnsi"/>
          <w:sz w:val="24"/>
          <w:szCs w:val="24"/>
        </w:rPr>
        <w:fldChar w:fldCharType="begin" w:fldLock="1"/>
      </w:r>
      <w:r w:rsidR="00423D10">
        <w:rPr>
          <w:rFonts w:cstheme="minorHAnsi"/>
          <w:sz w:val="24"/>
          <w:szCs w:val="24"/>
        </w:rPr>
        <w:instrText>ADDIN CSL_CITATION {"citationItems":[{"id":"ITEM-1","itemData":{"author":[{"dropping-particle":"","family":"Batchelor","given":"Simon","non-dropping-particle":"","parse-names":false,"suffix":""},{"dropping-particle":"","family":"Talukder","given":"Md","non-dropping-particle":"","parse-names":false,"suffix":""},{"dropping-particle":"","family":"Rahman","given":"Arifur","non-dropping-particle":"","parse-names":false,"suffix":""},{"dropping-particle":"","family":"Uddin","given":"Md","non-dropping-particle":"","parse-names":false,"suffix":""},{"dropping-particle":"","family":"Mondal","given":"Sandip Kumar","non-dropping-particle":"","parse-names":false,"suffix":""},{"dropping-particle":"","family":"Islam","given":"Shemim","non-dropping-particle":"","parse-names":false,"suffix":""},{"dropping-particle":"","family":"Redoy","given":"Rezwanul Karim","non-dropping-particle":"","parse-names":false,"suffix":""},{"dropping-particle":"","family":"Hanlin","given":"Rebecca","non-dropping-particle":"","parse-names":false,"suffix":""},{"dropping-particle":"","family":"Khan","given":"M Rezwan","non-dropping-particle":"","parse-names":false,"suffix":""},{"dropping-particle":"","family":"others","given":"","non-dropping-particle":"","parse-names":false,"suffix":""}],"container-title":"Energies","id":"ITEM-1","issue":"11","issued":{"date-parts":[["2018"]]},"page":"2933","publisher":"Multidisciplinary Digital Publishing Institute","title":"Solar e-Cooking: A Proposition for Solar Home System Integrated Clean Cooking","type":"article-journal","volume":"11"},"uris":["http://www.mendeley.com/documents/?uuid=61b25adc-e537-3483-be89-4e64efc5b4b7"]}],"mendeley":{"formattedCitation":"&lt;sup&gt;39&lt;/sup&gt;","plainTextFormattedCitation":"39","previouslyFormattedCitation":"&lt;sup&gt;39&lt;/sup&gt;"},"properties":{"noteIndex":0},"schema":"https://github.com/citation-style-language/schema/raw/master/csl-citation.json"}</w:instrText>
      </w:r>
      <w:r w:rsidR="00404FC6">
        <w:rPr>
          <w:rFonts w:cstheme="minorHAnsi"/>
          <w:sz w:val="24"/>
          <w:szCs w:val="24"/>
        </w:rPr>
        <w:fldChar w:fldCharType="separate"/>
      </w:r>
      <w:r w:rsidR="006C7017" w:rsidRPr="006C7017">
        <w:rPr>
          <w:rFonts w:cstheme="minorHAnsi"/>
          <w:noProof/>
          <w:sz w:val="24"/>
          <w:szCs w:val="24"/>
          <w:vertAlign w:val="superscript"/>
        </w:rPr>
        <w:t>39</w:t>
      </w:r>
      <w:r w:rsidR="00404FC6">
        <w:rPr>
          <w:rFonts w:cstheme="minorHAnsi"/>
          <w:sz w:val="24"/>
          <w:szCs w:val="24"/>
        </w:rPr>
        <w:fldChar w:fldCharType="end"/>
      </w:r>
      <w:r>
        <w:rPr>
          <w:rFonts w:cstheme="minorHAnsi"/>
          <w:sz w:val="24"/>
          <w:szCs w:val="24"/>
        </w:rPr>
        <w:t xml:space="preserve"> </w:t>
      </w:r>
      <w:r w:rsidRPr="00D261C4">
        <w:rPr>
          <w:rFonts w:cstheme="minorHAnsi"/>
          <w:sz w:val="24"/>
          <w:szCs w:val="24"/>
        </w:rPr>
        <w:t xml:space="preserve">and new payment and </w:t>
      </w:r>
      <w:r>
        <w:rPr>
          <w:rFonts w:cstheme="minorHAnsi"/>
          <w:sz w:val="24"/>
          <w:szCs w:val="24"/>
        </w:rPr>
        <w:t>fi</w:t>
      </w:r>
      <w:r w:rsidRPr="00D261C4">
        <w:rPr>
          <w:rFonts w:cstheme="minorHAnsi"/>
          <w:sz w:val="24"/>
          <w:szCs w:val="24"/>
        </w:rPr>
        <w:t>nancing models</w:t>
      </w:r>
      <w:r w:rsidR="00AA3AF0">
        <w:rPr>
          <w:rFonts w:cstheme="minorHAnsi"/>
          <w:sz w:val="24"/>
          <w:szCs w:val="24"/>
        </w:rPr>
        <w:fldChar w:fldCharType="begin" w:fldLock="1"/>
      </w:r>
      <w:r w:rsidR="00423D10">
        <w:rPr>
          <w:rFonts w:cstheme="minorHAnsi"/>
          <w:sz w:val="24"/>
          <w:szCs w:val="24"/>
        </w:rPr>
        <w:instrText>ADDIN CSL_CITATION {"citationItems":[{"id":"ITEM-1","itemData":{"DOI":"10.1016/J.APENERGY.2021.116769","ISSN":"0306-2619","abstract":"Approximately 2.8 billion people rely on polluting fuels (e.g. wood, kerosene) for cooking. With affordability being a key access barrier to clean cooking fuels, such as liquefied petroleum gas (LPG), pay-as-you-go (PAYG) LPG smart meter technology may help resource-poor households adopt LPG by allowing incremental fuel payments. To understand the potential for PAYG LPG to facilitate clean cooking, objective evaluations of customers’ cooking and spending patterns are needed. This study uses novel smart meter data collected between January 2018-June 2020, spanning COVID-19 lockdown, from 426 PAYG LPG customers living in an informal settlement in Nairobi, Kenya to evaluate stove usage (e.g. cooking events/day, cooking event length). Seven semi-structured interviews were conducted in August 2020 to provide context for potential changes in cooking behaviours during lockdown. Using stove monitoring data, objective comparisons of cooking patterns are made with households using purchased 6 kg cylinder LPG in peri-urban Eldoret, Kenya. In Nairobi, 95% of study households continued using PAYG LPG during COVID-19 lockdown, with consumption increasing from 0.97 to 1.22 kg/capita/month. Daily cooking event frequency also increased by 60% (1.07 to 1.72 events/day). In contrast, average days/month using LPG declined by 75% during lockdown (17 to four days) among seven households purchasing 6 kg cylinder LPG in Eldoret. Interviewed customers reported benefits of PAYG LPG beyond fuel affordability, including safety, time savings and cylinder delivery. In the first study assessing PAYG LPG cooking patterns, LPG use was sustained despite a COVID-19 lockdown, illustrating how PAYG smart meter technology may help foster clean cooking access.","author":[{"dropping-particle":"","family":"Shupler","given":"Matthew","non-dropping-particle":"","parse-names":false,"suffix":""},{"dropping-particle":"","family":"O'Keefe","given":"Mark","non-dropping-particle":"","parse-names":false,"suffix":""},{"dropping-particle":"","family":"Puzzolo","given":"Elisa","non-dropping-particle":"","parse-names":false,"suffix":""},{"dropping-particle":"","family":"Nix","given":"Emily","non-dropping-particle":"","parse-names":false,"suffix":""},{"dropping-particle":"","family":"Anderson de Cuevas","given":"Rachel","non-dropping-particle":"","parse-names":false,"suffix":""},{"dropping-particle":"","family":"Mwitari","given":"James","non-dropping-particle":"","parse-names":false,"suffix":""},{"dropping-particle":"","family":"Gohole","given":"Arthur","non-dropping-particle":"","parse-names":false,"suffix":""},{"dropping-particle":"","family":"Sang","given":"Edna","non-dropping-particle":"","parse-names":false,"suffix":""},{"dropping-particle":"","family":"Čukić","given":"Iva","non-dropping-particle":"","parse-names":false,"suffix":""},{"dropping-particle":"","family":"Menya","given":"Diana","non-dropping-particle":"","parse-names":false,"suffix":""},{"dropping-particle":"","family":"Pope","given":"Daniel","non-dropping-particle":"","parse-names":false,"suffix":""}],"container-title":"Applied Energy","id":"ITEM-1","issued":{"date-parts":[["2021","6","15"]]},"page":"116769","publisher":"Elsevier","title":"Pay-as-you-go liquefied petroleum gas supports sustainable clean cooking in Kenyan informal urban settlement during COVID-19 lockdown","type":"article-journal","volume":"292"},"uris":["http://www.mendeley.com/documents/?uuid=15f32cd4-6152-423c-8a55-b28d9f143d91"]}],"mendeley":{"formattedCitation":"&lt;sup&gt;40&lt;/sup&gt;","plainTextFormattedCitation":"40","previouslyFormattedCitation":"&lt;sup&gt;40&lt;/sup&gt;"},"properties":{"noteIndex":0},"schema":"https://github.com/citation-style-language/schema/raw/master/csl-citation.json"}</w:instrText>
      </w:r>
      <w:r w:rsidR="00AA3AF0">
        <w:rPr>
          <w:rFonts w:cstheme="minorHAnsi"/>
          <w:sz w:val="24"/>
          <w:szCs w:val="24"/>
        </w:rPr>
        <w:fldChar w:fldCharType="separate"/>
      </w:r>
      <w:r w:rsidR="006C7017" w:rsidRPr="006C7017">
        <w:rPr>
          <w:rFonts w:cstheme="minorHAnsi"/>
          <w:noProof/>
          <w:sz w:val="24"/>
          <w:szCs w:val="24"/>
          <w:vertAlign w:val="superscript"/>
        </w:rPr>
        <w:t>40</w:t>
      </w:r>
      <w:r w:rsidR="00AA3AF0">
        <w:rPr>
          <w:rFonts w:cstheme="minorHAnsi"/>
          <w:sz w:val="24"/>
          <w:szCs w:val="24"/>
        </w:rPr>
        <w:fldChar w:fldCharType="end"/>
      </w:r>
      <w:r w:rsidRPr="00D261C4">
        <w:rPr>
          <w:rFonts w:cstheme="minorHAnsi"/>
          <w:sz w:val="24"/>
          <w:szCs w:val="24"/>
        </w:rPr>
        <w:t xml:space="preserve"> can help reach even </w:t>
      </w:r>
      <w:r w:rsidR="00AE6B32">
        <w:rPr>
          <w:rFonts w:cstheme="minorHAnsi"/>
          <w:sz w:val="24"/>
          <w:szCs w:val="24"/>
        </w:rPr>
        <w:t>low-income</w:t>
      </w:r>
      <w:r w:rsidR="00AE6B32" w:rsidRPr="00D261C4">
        <w:rPr>
          <w:rFonts w:cstheme="minorHAnsi"/>
          <w:sz w:val="24"/>
          <w:szCs w:val="24"/>
        </w:rPr>
        <w:t xml:space="preserve"> </w:t>
      </w:r>
      <w:r w:rsidRPr="00D261C4">
        <w:rPr>
          <w:rFonts w:cstheme="minorHAnsi"/>
          <w:sz w:val="24"/>
          <w:szCs w:val="24"/>
        </w:rPr>
        <w:t xml:space="preserve">households. </w:t>
      </w:r>
      <w:r w:rsidR="00854849">
        <w:rPr>
          <w:rFonts w:cstheme="minorHAnsi"/>
          <w:sz w:val="24"/>
          <w:szCs w:val="24"/>
        </w:rPr>
        <w:t>In</w:t>
      </w:r>
      <w:r w:rsidR="00854849" w:rsidRPr="00D261C4">
        <w:rPr>
          <w:rFonts w:cstheme="minorHAnsi"/>
          <w:sz w:val="24"/>
          <w:szCs w:val="24"/>
        </w:rPr>
        <w:t xml:space="preserve"> </w:t>
      </w:r>
      <w:r w:rsidRPr="00D261C4">
        <w:rPr>
          <w:rFonts w:cstheme="minorHAnsi"/>
          <w:sz w:val="24"/>
          <w:szCs w:val="24"/>
        </w:rPr>
        <w:t xml:space="preserve">urban </w:t>
      </w:r>
      <w:r w:rsidR="00854849">
        <w:rPr>
          <w:rFonts w:cstheme="minorHAnsi"/>
          <w:sz w:val="24"/>
          <w:szCs w:val="24"/>
        </w:rPr>
        <w:t>centers</w:t>
      </w:r>
      <w:r w:rsidRPr="00D261C4">
        <w:rPr>
          <w:rFonts w:cstheme="minorHAnsi"/>
          <w:sz w:val="24"/>
          <w:szCs w:val="24"/>
        </w:rPr>
        <w:t xml:space="preserve">, providing piped gas in dense settlements, </w:t>
      </w:r>
      <w:r w:rsidR="00BB311A">
        <w:rPr>
          <w:rFonts w:cstheme="minorHAnsi"/>
          <w:sz w:val="24"/>
          <w:szCs w:val="24"/>
        </w:rPr>
        <w:t xml:space="preserve">introducing </w:t>
      </w:r>
      <w:r w:rsidRPr="00D261C4">
        <w:rPr>
          <w:rFonts w:cstheme="minorHAnsi"/>
          <w:sz w:val="24"/>
          <w:szCs w:val="24"/>
        </w:rPr>
        <w:t>smaller</w:t>
      </w:r>
      <w:r w:rsidR="00815E70">
        <w:rPr>
          <w:rFonts w:cstheme="minorHAnsi"/>
          <w:sz w:val="24"/>
          <w:szCs w:val="24"/>
        </w:rPr>
        <w:t xml:space="preserve"> </w:t>
      </w:r>
      <w:r w:rsidRPr="00D261C4">
        <w:rPr>
          <w:rFonts w:cstheme="minorHAnsi"/>
          <w:sz w:val="24"/>
          <w:szCs w:val="24"/>
        </w:rPr>
        <w:t xml:space="preserve">LPG cylinder sizes, pay-for-service </w:t>
      </w:r>
      <w:r w:rsidR="00815E70">
        <w:rPr>
          <w:rFonts w:cstheme="minorHAnsi"/>
          <w:sz w:val="24"/>
          <w:szCs w:val="24"/>
        </w:rPr>
        <w:t>fi</w:t>
      </w:r>
      <w:r w:rsidRPr="00D261C4">
        <w:rPr>
          <w:rFonts w:cstheme="minorHAnsi"/>
          <w:sz w:val="24"/>
          <w:szCs w:val="24"/>
        </w:rPr>
        <w:t>nancing models, smart metering for gas with e-payment options, as well as more reliable and a</w:t>
      </w:r>
      <w:r w:rsidR="00815E70">
        <w:rPr>
          <w:rFonts w:cstheme="minorHAnsi"/>
          <w:sz w:val="24"/>
          <w:szCs w:val="24"/>
        </w:rPr>
        <w:t>ff</w:t>
      </w:r>
      <w:r w:rsidRPr="00D261C4">
        <w:rPr>
          <w:rFonts w:cstheme="minorHAnsi"/>
          <w:sz w:val="24"/>
          <w:szCs w:val="24"/>
        </w:rPr>
        <w:t>ordable electricity can be instrumental in encouraging a</w:t>
      </w:r>
      <w:r w:rsidR="00815E70">
        <w:rPr>
          <w:rFonts w:cstheme="minorHAnsi"/>
          <w:sz w:val="24"/>
          <w:szCs w:val="24"/>
        </w:rPr>
        <w:t xml:space="preserve"> </w:t>
      </w:r>
      <w:r w:rsidRPr="00D261C4">
        <w:rPr>
          <w:rFonts w:cstheme="minorHAnsi"/>
          <w:sz w:val="24"/>
          <w:szCs w:val="24"/>
        </w:rPr>
        <w:t xml:space="preserve">more rapid transition to clean cooking. For rural regions, awareness-raising and </w:t>
      </w:r>
      <w:r w:rsidR="00854849" w:rsidRPr="00D261C4">
        <w:rPr>
          <w:rFonts w:cstheme="minorHAnsi"/>
          <w:sz w:val="24"/>
          <w:szCs w:val="24"/>
        </w:rPr>
        <w:t>behavior</w:t>
      </w:r>
      <w:r w:rsidR="00815E70">
        <w:rPr>
          <w:rFonts w:cstheme="minorHAnsi"/>
          <w:sz w:val="24"/>
          <w:szCs w:val="24"/>
        </w:rPr>
        <w:t xml:space="preserve"> </w:t>
      </w:r>
      <w:r w:rsidRPr="00D261C4">
        <w:rPr>
          <w:rFonts w:cstheme="minorHAnsi"/>
          <w:sz w:val="24"/>
          <w:szCs w:val="24"/>
        </w:rPr>
        <w:t xml:space="preserve">change campaigns are </w:t>
      </w:r>
      <w:r w:rsidR="00BC6450">
        <w:rPr>
          <w:rFonts w:cstheme="minorHAnsi"/>
          <w:sz w:val="24"/>
          <w:szCs w:val="24"/>
        </w:rPr>
        <w:t>also</w:t>
      </w:r>
      <w:r w:rsidRPr="00D261C4">
        <w:rPr>
          <w:rFonts w:cstheme="minorHAnsi"/>
          <w:sz w:val="24"/>
          <w:szCs w:val="24"/>
        </w:rPr>
        <w:t xml:space="preserve"> important to ensure that</w:t>
      </w:r>
      <w:r w:rsidR="00815E70">
        <w:rPr>
          <w:rFonts w:cstheme="minorHAnsi"/>
          <w:sz w:val="24"/>
          <w:szCs w:val="24"/>
        </w:rPr>
        <w:t xml:space="preserve"> </w:t>
      </w:r>
      <w:r w:rsidRPr="00D261C4">
        <w:rPr>
          <w:rFonts w:cstheme="minorHAnsi"/>
          <w:sz w:val="24"/>
          <w:szCs w:val="24"/>
        </w:rPr>
        <w:t xml:space="preserve">those who gain access use </w:t>
      </w:r>
      <w:r w:rsidR="00736201">
        <w:rPr>
          <w:rFonts w:cstheme="minorHAnsi"/>
          <w:sz w:val="24"/>
          <w:szCs w:val="24"/>
        </w:rPr>
        <w:t>new stoves</w:t>
      </w:r>
      <w:r w:rsidR="00736201" w:rsidRPr="00D261C4">
        <w:rPr>
          <w:rFonts w:cstheme="minorHAnsi"/>
          <w:sz w:val="24"/>
          <w:szCs w:val="24"/>
        </w:rPr>
        <w:t xml:space="preserve"> </w:t>
      </w:r>
      <w:r w:rsidRPr="00D261C4">
        <w:rPr>
          <w:rFonts w:cstheme="minorHAnsi"/>
          <w:sz w:val="24"/>
          <w:szCs w:val="24"/>
        </w:rPr>
        <w:t>regularly</w:t>
      </w:r>
      <w:r w:rsidR="00217BCF">
        <w:rPr>
          <w:rFonts w:cstheme="minorHAnsi"/>
          <w:sz w:val="24"/>
          <w:szCs w:val="24"/>
        </w:rPr>
        <w:fldChar w:fldCharType="begin" w:fldLock="1"/>
      </w:r>
      <w:r w:rsidR="00F43037">
        <w:rPr>
          <w:rFonts w:cstheme="minorHAnsi"/>
          <w:sz w:val="24"/>
          <w:szCs w:val="24"/>
        </w:rPr>
        <w:instrText>ADDIN CSL_CITATION {"citationItems":[{"id":"ITEM-1","itemData":{"DOI":"10.1080/10810730.2014.996305","author":[{"dropping-particle":"","family":"Barnes","given":"Brendon","non-dropping-particle":"","parse-names":false,"suffix":""},{"dropping-particle":"","family":"Rosenbaum","given":"Julia","non-dropping-particle":"","parse-names":false,"suffix":""},{"dropping-particle":"","family":"Mehta","given":"Sumi","non-dropping-particle":"","parse-names":false,"suffix":""},{"dropping-particle":"","family":"Williams","given":"Kendra N","non-dropping-particle":"","parse-names":false,"suffix":""},{"dropping-particle":"","family":"Jagoe","given":"Kirstie","non-dropping-particle":"","parse-names":false,"suffix":""},{"dropping-particle":"","family":"Graham","given":"Jay","non-dropping-particle":"","parse-names":false,"suffix":""}],"container-title":"Journal of Health Communication","id":"ITEM-1","issue":"sup1","issued":{"date-parts":[["2015"]]},"page":"3-5","publisher":"Taylor &amp; Francis","title":"Behavior Change Communication: A Key Ingredient for Advancing Clean Cooking","type":"article-journal","volume":"20"},"uris":["http://www.mendeley.com/documents/?uuid=555faf07-fb15-3cd5-af3c-8249d51b0e1e"]}],"mendeley":{"formattedCitation":"&lt;sup&gt;41&lt;/sup&gt;","plainTextFormattedCitation":"41","previouslyFormattedCitation":"&lt;sup&gt;41&lt;/sup&gt;"},"properties":{"noteIndex":0},"schema":"https://github.com/citation-style-language/schema/raw/master/csl-citation.json"}</w:instrText>
      </w:r>
      <w:r w:rsidR="00217BCF">
        <w:rPr>
          <w:rFonts w:cstheme="minorHAnsi"/>
          <w:sz w:val="24"/>
          <w:szCs w:val="24"/>
        </w:rPr>
        <w:fldChar w:fldCharType="separate"/>
      </w:r>
      <w:r w:rsidR="000F3215" w:rsidRPr="000F3215">
        <w:rPr>
          <w:rFonts w:cstheme="minorHAnsi"/>
          <w:noProof/>
          <w:sz w:val="24"/>
          <w:szCs w:val="24"/>
          <w:vertAlign w:val="superscript"/>
        </w:rPr>
        <w:t>41</w:t>
      </w:r>
      <w:r w:rsidR="00217BCF">
        <w:rPr>
          <w:rFonts w:cstheme="minorHAnsi"/>
          <w:sz w:val="24"/>
          <w:szCs w:val="24"/>
        </w:rPr>
        <w:fldChar w:fldCharType="end"/>
      </w:r>
      <w:r w:rsidRPr="00D261C4">
        <w:rPr>
          <w:rFonts w:cstheme="minorHAnsi"/>
          <w:sz w:val="24"/>
          <w:szCs w:val="24"/>
        </w:rPr>
        <w:t>. Our results suggest a need</w:t>
      </w:r>
      <w:r w:rsidR="00815E70">
        <w:rPr>
          <w:rFonts w:cstheme="minorHAnsi"/>
          <w:sz w:val="24"/>
          <w:szCs w:val="24"/>
        </w:rPr>
        <w:t xml:space="preserve"> </w:t>
      </w:r>
      <w:r w:rsidRPr="00D261C4">
        <w:rPr>
          <w:rFonts w:cstheme="minorHAnsi"/>
          <w:sz w:val="24"/>
          <w:szCs w:val="24"/>
        </w:rPr>
        <w:t xml:space="preserve">for much greater </w:t>
      </w:r>
      <w:r w:rsidR="009E7526">
        <w:rPr>
          <w:rFonts w:cstheme="minorHAnsi"/>
          <w:sz w:val="24"/>
          <w:szCs w:val="24"/>
        </w:rPr>
        <w:t>prioritization and coordinated policies to</w:t>
      </w:r>
      <w:r w:rsidR="00FE3943">
        <w:rPr>
          <w:rFonts w:cstheme="minorHAnsi"/>
          <w:sz w:val="24"/>
          <w:szCs w:val="24"/>
        </w:rPr>
        <w:t xml:space="preserve"> </w:t>
      </w:r>
      <w:r w:rsidR="00A308F7">
        <w:rPr>
          <w:rFonts w:cstheme="minorHAnsi"/>
          <w:sz w:val="24"/>
          <w:szCs w:val="24"/>
        </w:rPr>
        <w:t>provide</w:t>
      </w:r>
      <w:r w:rsidRPr="00D261C4">
        <w:rPr>
          <w:rFonts w:cstheme="minorHAnsi"/>
          <w:sz w:val="24"/>
          <w:szCs w:val="24"/>
        </w:rPr>
        <w:t xml:space="preserve"> access to clean cooking globally</w:t>
      </w:r>
      <w:r w:rsidR="00E30051">
        <w:rPr>
          <w:rFonts w:cstheme="minorHAnsi"/>
          <w:sz w:val="24"/>
          <w:szCs w:val="24"/>
        </w:rPr>
        <w:t>, with</w:t>
      </w:r>
      <w:r w:rsidRPr="00D261C4">
        <w:rPr>
          <w:rFonts w:cstheme="minorHAnsi"/>
          <w:sz w:val="24"/>
          <w:szCs w:val="24"/>
        </w:rPr>
        <w:t xml:space="preserve"> e</w:t>
      </w:r>
      <w:r w:rsidR="00815E70">
        <w:rPr>
          <w:rFonts w:cstheme="minorHAnsi"/>
          <w:sz w:val="24"/>
          <w:szCs w:val="24"/>
        </w:rPr>
        <w:t>ff</w:t>
      </w:r>
      <w:r w:rsidRPr="00D261C4">
        <w:rPr>
          <w:rFonts w:cstheme="minorHAnsi"/>
          <w:sz w:val="24"/>
          <w:szCs w:val="24"/>
        </w:rPr>
        <w:t>orts targeted at the most disadvantaged, speci</w:t>
      </w:r>
      <w:r w:rsidR="002E0490">
        <w:rPr>
          <w:rFonts w:cstheme="minorHAnsi"/>
          <w:sz w:val="24"/>
          <w:szCs w:val="24"/>
        </w:rPr>
        <w:t>fi</w:t>
      </w:r>
      <w:r w:rsidRPr="00D261C4">
        <w:rPr>
          <w:rFonts w:cstheme="minorHAnsi"/>
          <w:sz w:val="24"/>
          <w:szCs w:val="24"/>
        </w:rPr>
        <w:t>cally</w:t>
      </w:r>
      <w:r w:rsidR="002E0490">
        <w:rPr>
          <w:rFonts w:cstheme="minorHAnsi"/>
          <w:sz w:val="24"/>
          <w:szCs w:val="24"/>
        </w:rPr>
        <w:t xml:space="preserve"> </w:t>
      </w:r>
      <w:r w:rsidRPr="00D261C4">
        <w:rPr>
          <w:rFonts w:cstheme="minorHAnsi"/>
          <w:sz w:val="24"/>
          <w:szCs w:val="24"/>
        </w:rPr>
        <w:t xml:space="preserve">the poorest regions and populations. </w:t>
      </w:r>
      <w:r w:rsidR="001D7E70">
        <w:rPr>
          <w:rFonts w:cstheme="minorHAnsi"/>
          <w:sz w:val="24"/>
          <w:szCs w:val="24"/>
        </w:rPr>
        <w:t xml:space="preserve">This </w:t>
      </w:r>
      <w:r w:rsidR="00642F61">
        <w:rPr>
          <w:rFonts w:cstheme="minorHAnsi"/>
          <w:sz w:val="24"/>
          <w:szCs w:val="24"/>
        </w:rPr>
        <w:t xml:space="preserve">will </w:t>
      </w:r>
      <w:r w:rsidR="001D7E70">
        <w:rPr>
          <w:rFonts w:cstheme="minorHAnsi"/>
          <w:sz w:val="24"/>
          <w:szCs w:val="24"/>
        </w:rPr>
        <w:t>require</w:t>
      </w:r>
      <w:r w:rsidRPr="00D261C4">
        <w:rPr>
          <w:rFonts w:cstheme="minorHAnsi"/>
          <w:sz w:val="24"/>
          <w:szCs w:val="24"/>
        </w:rPr>
        <w:t xml:space="preserve"> </w:t>
      </w:r>
      <w:r w:rsidR="008B6AF6">
        <w:rPr>
          <w:rFonts w:cstheme="minorHAnsi"/>
          <w:sz w:val="24"/>
          <w:szCs w:val="24"/>
        </w:rPr>
        <w:t>considerable</w:t>
      </w:r>
      <w:r w:rsidRPr="00D261C4">
        <w:rPr>
          <w:rFonts w:cstheme="minorHAnsi"/>
          <w:sz w:val="24"/>
          <w:szCs w:val="24"/>
        </w:rPr>
        <w:t xml:space="preserve"> up scaling of investments</w:t>
      </w:r>
      <w:r w:rsidR="00464199">
        <w:rPr>
          <w:rFonts w:cstheme="minorHAnsi"/>
          <w:sz w:val="24"/>
          <w:szCs w:val="24"/>
        </w:rPr>
        <w:t>, capacity</w:t>
      </w:r>
      <w:r w:rsidRPr="00D261C4">
        <w:rPr>
          <w:rFonts w:cstheme="minorHAnsi"/>
          <w:sz w:val="24"/>
          <w:szCs w:val="24"/>
        </w:rPr>
        <w:t xml:space="preserve"> and</w:t>
      </w:r>
      <w:r w:rsidR="002E0490">
        <w:rPr>
          <w:rFonts w:cstheme="minorHAnsi"/>
          <w:sz w:val="24"/>
          <w:szCs w:val="24"/>
        </w:rPr>
        <w:t xml:space="preserve"> </w:t>
      </w:r>
      <w:r w:rsidR="007B7AA1" w:rsidRPr="00D261C4">
        <w:rPr>
          <w:rFonts w:cstheme="minorHAnsi"/>
          <w:sz w:val="24"/>
          <w:szCs w:val="24"/>
        </w:rPr>
        <w:t>commitments but</w:t>
      </w:r>
      <w:r w:rsidRPr="00D261C4">
        <w:rPr>
          <w:rFonts w:cstheme="minorHAnsi"/>
          <w:sz w:val="24"/>
          <w:szCs w:val="24"/>
        </w:rPr>
        <w:t xml:space="preserve"> can result in big bene</w:t>
      </w:r>
      <w:r w:rsidR="002E0490">
        <w:rPr>
          <w:rFonts w:cstheme="minorHAnsi"/>
          <w:sz w:val="24"/>
          <w:szCs w:val="24"/>
        </w:rPr>
        <w:t>fi</w:t>
      </w:r>
      <w:r w:rsidRPr="00D261C4">
        <w:rPr>
          <w:rFonts w:cstheme="minorHAnsi"/>
          <w:sz w:val="24"/>
          <w:szCs w:val="24"/>
        </w:rPr>
        <w:t>ts for planetary and population health, and wellbeing.</w:t>
      </w:r>
    </w:p>
    <w:p w14:paraId="51204C8E" w14:textId="5F25B3D5" w:rsidR="008A5618" w:rsidRDefault="008A5618" w:rsidP="00D261C4">
      <w:pPr>
        <w:autoSpaceDE w:val="0"/>
        <w:autoSpaceDN w:val="0"/>
        <w:adjustRightInd w:val="0"/>
        <w:jc w:val="both"/>
        <w:rPr>
          <w:rFonts w:cstheme="minorHAnsi"/>
          <w:sz w:val="24"/>
          <w:szCs w:val="24"/>
        </w:rPr>
      </w:pPr>
    </w:p>
    <w:p w14:paraId="341D1835" w14:textId="77777777" w:rsidR="00F225A4" w:rsidRDefault="00F225A4">
      <w:pPr>
        <w:rPr>
          <w:rFonts w:cstheme="minorHAnsi"/>
          <w:b/>
          <w:bCs/>
          <w:sz w:val="29"/>
          <w:szCs w:val="29"/>
        </w:rPr>
      </w:pPr>
      <w:r>
        <w:rPr>
          <w:rFonts w:cstheme="minorHAnsi"/>
          <w:b/>
          <w:bCs/>
          <w:sz w:val="29"/>
          <w:szCs w:val="29"/>
        </w:rPr>
        <w:br w:type="page"/>
      </w:r>
    </w:p>
    <w:p w14:paraId="2C1B69FD" w14:textId="3ECF5C84" w:rsidR="008A5618" w:rsidRPr="008A5618" w:rsidRDefault="008A5618" w:rsidP="008A5618">
      <w:pPr>
        <w:autoSpaceDE w:val="0"/>
        <w:autoSpaceDN w:val="0"/>
        <w:adjustRightInd w:val="0"/>
        <w:rPr>
          <w:rFonts w:cstheme="minorHAnsi"/>
          <w:b/>
          <w:bCs/>
          <w:sz w:val="29"/>
          <w:szCs w:val="29"/>
        </w:rPr>
      </w:pPr>
      <w:r w:rsidRPr="008A5618">
        <w:rPr>
          <w:rFonts w:cstheme="minorHAnsi"/>
          <w:b/>
          <w:bCs/>
          <w:sz w:val="29"/>
          <w:szCs w:val="29"/>
        </w:rPr>
        <w:lastRenderedPageBreak/>
        <w:t>Methods</w:t>
      </w:r>
    </w:p>
    <w:p w14:paraId="32BDCD67" w14:textId="77777777" w:rsidR="008A5618" w:rsidRPr="008A5618" w:rsidRDefault="008A5618" w:rsidP="008A5618">
      <w:pPr>
        <w:autoSpaceDE w:val="0"/>
        <w:autoSpaceDN w:val="0"/>
        <w:adjustRightInd w:val="0"/>
        <w:jc w:val="both"/>
        <w:rPr>
          <w:rFonts w:cstheme="minorHAnsi"/>
          <w:b/>
          <w:bCs/>
          <w:sz w:val="24"/>
          <w:szCs w:val="24"/>
        </w:rPr>
      </w:pPr>
      <w:r w:rsidRPr="008A5618">
        <w:rPr>
          <w:rFonts w:cstheme="minorHAnsi"/>
          <w:b/>
          <w:bCs/>
          <w:sz w:val="24"/>
          <w:szCs w:val="24"/>
        </w:rPr>
        <w:t>Data Sources</w:t>
      </w:r>
    </w:p>
    <w:p w14:paraId="4470E0D3" w14:textId="27F6EA41" w:rsidR="008A5618" w:rsidRDefault="692F5498" w:rsidP="008A5618">
      <w:pPr>
        <w:autoSpaceDE w:val="0"/>
        <w:autoSpaceDN w:val="0"/>
        <w:adjustRightInd w:val="0"/>
        <w:jc w:val="both"/>
        <w:rPr>
          <w:sz w:val="24"/>
          <w:szCs w:val="24"/>
        </w:rPr>
      </w:pPr>
      <w:r w:rsidRPr="39BF59DC">
        <w:rPr>
          <w:sz w:val="24"/>
          <w:szCs w:val="24"/>
        </w:rPr>
        <w:t xml:space="preserve">We use microdata from a large set of nationally representative household surveys of different countries to estimate energy and cooking technology choices for regions of the world. We aggregate nations in line with the 11 regions of </w:t>
      </w:r>
      <w:proofErr w:type="spellStart"/>
      <w:r w:rsidRPr="39BF59DC">
        <w:rPr>
          <w:sz w:val="24"/>
          <w:szCs w:val="24"/>
        </w:rPr>
        <w:t>MESSAGEix</w:t>
      </w:r>
      <w:proofErr w:type="spellEnd"/>
      <w:r w:rsidRPr="39BF59DC">
        <w:rPr>
          <w:sz w:val="24"/>
          <w:szCs w:val="24"/>
        </w:rPr>
        <w:t>-GLOBIOM model</w:t>
      </w:r>
      <w:r w:rsidR="008A5618" w:rsidRPr="39BF59DC">
        <w:rPr>
          <w:sz w:val="24"/>
          <w:szCs w:val="24"/>
        </w:rPr>
        <w:fldChar w:fldCharType="begin"/>
      </w:r>
      <w:r w:rsidR="008A5618" w:rsidRPr="39BF59DC">
        <w:rPr>
          <w:sz w:val="24"/>
          <w:szCs w:val="24"/>
        </w:rPr>
        <w:instrText>ADDIN CSL_CITATION {"citationItems":[{"id":"ITEM-1","itemData":{"DOI":"10.22022/IACC/03-2021.17115","author":[{"dropping-particle":"","family":"Krey","given":"V","non-dropping-particle":"","parse-names":false,"suffix":""},{"dropping-particle":"","family":"Havlik","given":"P","non-dropping-particle":"","parse-names":false,"suffix":""},{"dropping-particle":"","family":"Kishimoto","given":"P","non-dropping-particle":"","parse-names":false,"suffix":""},{"dropping-particle":"","family":"Fricko","given":"O","non-dropping-particle":"","parse-names":false,"suffix":""},{"dropping-particle":"","family":"Zilliacus","given":"J","non-dropping-particle":"","parse-names":false,"suffix":""},{"dropping-particle":"","family":"Gidden","given":"M","non-dropping-particle":"","parse-names":false,"suffix":""},{"dropping-particle":"","family":"Strubegger","given":"M","non-dropping-particle":"","parse-names":false,"suffix":""},{"dropping-particle":"","family":"Kartasasmita","given":"G","non-dropping-particle":"","parse-names":false,"suffix":""},{"dropping-particle":"","family":"Ermolieva","given":"T","non-dropping-particle":"","parse-names":false,"suffix":""},{"dropping-particle":"","family":"Forsell","given":"N","non-dropping-particle":"","parse-names":false,"suffix":""},{"dropping-particle":"","family":"Guo","given":"F","non-dropping-particle":"","parse-names":false,"suffix":""},{"dropping-particle":"","family":"Gusti","given":"M","non-dropping-particle":"","parse-names":false,"suffix":""},{"dropping-particle":"","family":"Huppmann","given":"D","non-dropping-particle":"","parse-names":false,"suffix":""},{"dropping-particle":"","family":"Johnson","given":"N","non-dropping-particle":"","parse-names":false,"suffix":""},{"dropping-particle":"","family":"Kikstra","given":"J","non-dropping-particle":"","parse-names":false,"suffix":""},{"dropping-particle":"","family":"Kindermann","given":"G","non-dropping-particle":"","parse-names":false,"suffix":""},{"dropping-particle":"","family":"Kolp","given":"P","non-dropping-particle":"","parse-names":false,"suffix":""},{"dropping-particle":"","family":"Lovat","given":"F","non-dropping-particle":"","parse-names":false,"suffix":""},{"dropping-particle":"","family":"McCollum","given":"D","non-dropping-particle":"","parse-names":false,"suffix":""},{"dropping-particle":"","family":"Min","given":"J","non-dropping-particle":"","parse-names":false,"suffix":""},{"dropping-particle":"","family":"Pachauri","given":"S","non-dropping-particle":"","parse-names":false,"suffix":""},{"dropping-particle":"","family":"Parkinson","given":"S","non-dropping-particle":"","parse-names":false,"suffix":""},{"dropping-particle":"","family":"Rao","given":"S","non-dropping-particle":"","parse-names":false,"suffix":""},{"dropping-particle":"","family":"Rogelj","given":"J","non-dropping-particle":"","parse-names":false,"suffix":""},{"dropping-particle":"","family":"Unlu","given":"G","non-dropping-particle":"","parse-names":false,"suffix":""},{"dropping-particle":"","family":"Valin","given":"H","non-dropping-particle":"","parse-names":false,"suffix":""},{"dropping-particle":"","family":"Wagner","given":"P","non-dropping-particle":"","parse-names":false,"suffix":""},{"dropping-particle":"","family":"Zakeri","given":"B","non-dropping-particle":"","parse-names":false,"suffix":""},{"dropping-particle":"","family":"Obersteiner","given":"M","non-dropping-particle":"","parse-names":false,"suffix":""},{"dropping-particle":"","family":"Riahi","given":"K","non-dropping-particle":"","parse-names":false,"suffix":""}],"id":"ITEM-1","issued":{"date-parts":[["2020"]]},"publisher":"IIASA","publisher-place":"Laxenburg, Austria","title":"{MESSAGEix-GLOBIOM} Documentation - 2020 release","type":"report"},"uris":["http://www.mendeley.com/documents/?uuid=dbf00fdc-f62d-49c9-b880-3c02ee6aea48","http://www.mendeley.com/documents/?uuid=5de0a315-0600-4ce1-980e-ee2b296e3724"]}],"mendeley":{"formattedCitation":"&lt;sup&gt;42&lt;/sup&gt;","plainTextFormattedCitation":"42","previouslyFormattedCitation":"&lt;sup&gt;42&lt;/sup&gt;"},"properties":{"noteIndex":0},"schema":"https://github.com/citation-style-language/schema/raw/master/csl-citation.json"}</w:instrText>
      </w:r>
      <w:r w:rsidR="008A5618" w:rsidRPr="39BF59DC">
        <w:rPr>
          <w:sz w:val="24"/>
          <w:szCs w:val="24"/>
        </w:rPr>
        <w:fldChar w:fldCharType="separate"/>
      </w:r>
      <w:r w:rsidR="4AEEDF4A" w:rsidRPr="39BF59DC">
        <w:rPr>
          <w:noProof/>
          <w:sz w:val="24"/>
          <w:szCs w:val="24"/>
          <w:vertAlign w:val="superscript"/>
        </w:rPr>
        <w:t>42</w:t>
      </w:r>
      <w:r w:rsidR="008A5618" w:rsidRPr="39BF59DC">
        <w:rPr>
          <w:sz w:val="24"/>
          <w:szCs w:val="24"/>
        </w:rPr>
        <w:fldChar w:fldCharType="end"/>
      </w:r>
      <w:r w:rsidRPr="39BF59DC">
        <w:rPr>
          <w:sz w:val="24"/>
          <w:szCs w:val="24"/>
        </w:rPr>
        <w:t>.</w:t>
      </w:r>
      <w:r w:rsidR="4BC14C24" w:rsidRPr="39BF59DC">
        <w:rPr>
          <w:sz w:val="24"/>
          <w:szCs w:val="24"/>
        </w:rPr>
        <w:t xml:space="preserve"> </w:t>
      </w:r>
      <w:r w:rsidR="20F282CD" w:rsidRPr="39BF59DC">
        <w:rPr>
          <w:sz w:val="24"/>
          <w:szCs w:val="24"/>
        </w:rPr>
        <w:t xml:space="preserve">Supplementary </w:t>
      </w:r>
      <w:r w:rsidRPr="39BF59DC">
        <w:rPr>
          <w:sz w:val="24"/>
          <w:szCs w:val="24"/>
        </w:rPr>
        <w:t xml:space="preserve">Table </w:t>
      </w:r>
      <w:r w:rsidR="4CC7CB48" w:rsidRPr="39BF59DC">
        <w:rPr>
          <w:sz w:val="24"/>
          <w:szCs w:val="24"/>
        </w:rPr>
        <w:t>S</w:t>
      </w:r>
      <w:r w:rsidRPr="39BF59DC">
        <w:rPr>
          <w:sz w:val="24"/>
          <w:szCs w:val="24"/>
        </w:rPr>
        <w:t>1 presents the list of datasets used to represent each of these regions</w:t>
      </w:r>
      <w:r w:rsidR="471E4124" w:rsidRPr="39BF59DC">
        <w:rPr>
          <w:sz w:val="24"/>
          <w:szCs w:val="24"/>
        </w:rPr>
        <w:t xml:space="preserve">, with </w:t>
      </w:r>
      <w:r w:rsidR="1C2FFA04" w:rsidRPr="39BF59DC">
        <w:rPr>
          <w:sz w:val="24"/>
          <w:szCs w:val="24"/>
        </w:rPr>
        <w:t>a focus on regions of the world where access to clean cooking is lacking</w:t>
      </w:r>
      <w:r w:rsidRPr="39BF59DC">
        <w:rPr>
          <w:sz w:val="24"/>
          <w:szCs w:val="24"/>
        </w:rPr>
        <w:t xml:space="preserve">. </w:t>
      </w:r>
      <w:r w:rsidR="009945DA" w:rsidRPr="39BF59DC">
        <w:rPr>
          <w:sz w:val="24"/>
          <w:szCs w:val="24"/>
        </w:rPr>
        <w:t>R</w:t>
      </w:r>
      <w:r w:rsidR="008A5618" w:rsidRPr="39BF59DC">
        <w:rPr>
          <w:sz w:val="24"/>
          <w:szCs w:val="24"/>
        </w:rPr>
        <w:t>egions, where access is not an issue (i.e., NAM,</w:t>
      </w:r>
      <w:r w:rsidR="007E6144" w:rsidRPr="39BF59DC">
        <w:rPr>
          <w:sz w:val="24"/>
          <w:szCs w:val="24"/>
        </w:rPr>
        <w:t xml:space="preserve"> </w:t>
      </w:r>
      <w:r w:rsidR="008A5618" w:rsidRPr="39BF59DC">
        <w:rPr>
          <w:sz w:val="24"/>
          <w:szCs w:val="24"/>
        </w:rPr>
        <w:t xml:space="preserve">WEU, PAO), are included in our analysis and modelled </w:t>
      </w:r>
      <w:r w:rsidR="00B20017" w:rsidRPr="39BF59DC">
        <w:rPr>
          <w:sz w:val="24"/>
          <w:szCs w:val="24"/>
        </w:rPr>
        <w:t>independently but</w:t>
      </w:r>
      <w:r w:rsidR="008A5618" w:rsidRPr="39BF59DC">
        <w:rPr>
          <w:sz w:val="24"/>
          <w:szCs w:val="24"/>
        </w:rPr>
        <w:t xml:space="preserve"> are presented</w:t>
      </w:r>
      <w:r w:rsidR="007E6144" w:rsidRPr="39BF59DC">
        <w:rPr>
          <w:sz w:val="24"/>
          <w:szCs w:val="24"/>
        </w:rPr>
        <w:t xml:space="preserve"> </w:t>
      </w:r>
      <w:r w:rsidR="008A5618" w:rsidRPr="39BF59DC">
        <w:rPr>
          <w:sz w:val="24"/>
          <w:szCs w:val="24"/>
        </w:rPr>
        <w:t xml:space="preserve">clubbed together in a single other or rest of the world region </w:t>
      </w:r>
      <w:r w:rsidR="004D1462">
        <w:rPr>
          <w:sz w:val="24"/>
          <w:szCs w:val="24"/>
        </w:rPr>
        <w:t xml:space="preserve">in </w:t>
      </w:r>
      <w:r w:rsidR="00B10B4D">
        <w:rPr>
          <w:sz w:val="24"/>
          <w:szCs w:val="24"/>
        </w:rPr>
        <w:t xml:space="preserve">some </w:t>
      </w:r>
      <w:r w:rsidR="004D1462">
        <w:rPr>
          <w:sz w:val="24"/>
          <w:szCs w:val="24"/>
        </w:rPr>
        <w:t>results</w:t>
      </w:r>
      <w:r w:rsidR="008A5618" w:rsidRPr="39BF59DC">
        <w:rPr>
          <w:sz w:val="24"/>
          <w:szCs w:val="24"/>
        </w:rPr>
        <w:t>.</w:t>
      </w:r>
    </w:p>
    <w:p w14:paraId="3A7E3C08" w14:textId="17D1E0B1" w:rsidR="006E413B" w:rsidRDefault="006E413B" w:rsidP="008A5618">
      <w:pPr>
        <w:autoSpaceDE w:val="0"/>
        <w:autoSpaceDN w:val="0"/>
        <w:adjustRightInd w:val="0"/>
        <w:jc w:val="both"/>
        <w:rPr>
          <w:rFonts w:cstheme="minorHAnsi"/>
          <w:sz w:val="24"/>
          <w:szCs w:val="24"/>
        </w:rPr>
      </w:pPr>
    </w:p>
    <w:p w14:paraId="69A59B59" w14:textId="772995E7" w:rsidR="006E413B" w:rsidRDefault="006E413B" w:rsidP="006E413B">
      <w:pPr>
        <w:autoSpaceDE w:val="0"/>
        <w:autoSpaceDN w:val="0"/>
        <w:adjustRightInd w:val="0"/>
        <w:jc w:val="both"/>
        <w:rPr>
          <w:rFonts w:cstheme="minorHAnsi"/>
          <w:sz w:val="24"/>
          <w:szCs w:val="24"/>
        </w:rPr>
      </w:pPr>
      <w:r w:rsidRPr="006E413B">
        <w:rPr>
          <w:rFonts w:cstheme="minorHAnsi"/>
          <w:sz w:val="24"/>
          <w:szCs w:val="24"/>
        </w:rPr>
        <w:t>None of these surveys report energy consumption for cooking purposes separately, but instead</w:t>
      </w:r>
      <w:r>
        <w:rPr>
          <w:rFonts w:cstheme="minorHAnsi"/>
          <w:sz w:val="24"/>
          <w:szCs w:val="24"/>
        </w:rPr>
        <w:t xml:space="preserve"> </w:t>
      </w:r>
      <w:r w:rsidRPr="006E413B">
        <w:rPr>
          <w:rFonts w:cstheme="minorHAnsi"/>
          <w:sz w:val="24"/>
          <w:szCs w:val="24"/>
        </w:rPr>
        <w:t>include data on total consumption or expenditure by fuel. This is not an issue for the modeling</w:t>
      </w:r>
      <w:r w:rsidR="00567B60">
        <w:rPr>
          <w:rFonts w:cstheme="minorHAnsi"/>
          <w:sz w:val="24"/>
          <w:szCs w:val="24"/>
        </w:rPr>
        <w:t xml:space="preserve"> </w:t>
      </w:r>
      <w:r w:rsidRPr="006E413B">
        <w:rPr>
          <w:rFonts w:cstheme="minorHAnsi"/>
          <w:sz w:val="24"/>
          <w:szCs w:val="24"/>
        </w:rPr>
        <w:t>approach we follow for the Global North countries (as described further in the following subsection</w:t>
      </w:r>
      <w:r w:rsidR="00657980" w:rsidRPr="006E413B">
        <w:rPr>
          <w:rFonts w:cstheme="minorHAnsi"/>
          <w:sz w:val="24"/>
          <w:szCs w:val="24"/>
        </w:rPr>
        <w:t>) but</w:t>
      </w:r>
      <w:r w:rsidRPr="006E413B">
        <w:rPr>
          <w:rFonts w:cstheme="minorHAnsi"/>
          <w:sz w:val="24"/>
          <w:szCs w:val="24"/>
        </w:rPr>
        <w:t xml:space="preserve"> is relevant for regions of the Global South. </w:t>
      </w:r>
      <w:r w:rsidR="00773F6B">
        <w:rPr>
          <w:rFonts w:cstheme="minorHAnsi"/>
          <w:sz w:val="24"/>
          <w:szCs w:val="24"/>
        </w:rPr>
        <w:t>W</w:t>
      </w:r>
      <w:r w:rsidRPr="006E413B">
        <w:rPr>
          <w:rFonts w:cstheme="minorHAnsi"/>
          <w:sz w:val="24"/>
          <w:szCs w:val="24"/>
        </w:rPr>
        <w:t>e</w:t>
      </w:r>
      <w:r w:rsidR="00773F6B">
        <w:rPr>
          <w:rFonts w:cstheme="minorHAnsi"/>
          <w:sz w:val="24"/>
          <w:szCs w:val="24"/>
        </w:rPr>
        <w:t>,</w:t>
      </w:r>
      <w:r w:rsidRPr="006E413B">
        <w:rPr>
          <w:rFonts w:cstheme="minorHAnsi"/>
          <w:sz w:val="24"/>
          <w:szCs w:val="24"/>
        </w:rPr>
        <w:t xml:space="preserve"> </w:t>
      </w:r>
      <w:r w:rsidR="00773F6B">
        <w:rPr>
          <w:rFonts w:cstheme="minorHAnsi"/>
          <w:sz w:val="24"/>
          <w:szCs w:val="24"/>
        </w:rPr>
        <w:t>t</w:t>
      </w:r>
      <w:r w:rsidR="00773F6B" w:rsidRPr="006E413B">
        <w:rPr>
          <w:rFonts w:cstheme="minorHAnsi"/>
          <w:sz w:val="24"/>
          <w:szCs w:val="24"/>
        </w:rPr>
        <w:t>herefore,</w:t>
      </w:r>
      <w:r w:rsidR="00773F6B">
        <w:rPr>
          <w:rFonts w:cstheme="minorHAnsi"/>
          <w:sz w:val="24"/>
          <w:szCs w:val="24"/>
        </w:rPr>
        <w:t xml:space="preserve"> </w:t>
      </w:r>
      <w:r w:rsidRPr="006E413B">
        <w:rPr>
          <w:rFonts w:cstheme="minorHAnsi"/>
          <w:sz w:val="24"/>
          <w:szCs w:val="24"/>
        </w:rPr>
        <w:t>use two di</w:t>
      </w:r>
      <w:r w:rsidR="00567B60">
        <w:rPr>
          <w:rFonts w:cstheme="minorHAnsi"/>
          <w:sz w:val="24"/>
          <w:szCs w:val="24"/>
        </w:rPr>
        <w:t>ff</w:t>
      </w:r>
      <w:r w:rsidRPr="006E413B">
        <w:rPr>
          <w:rFonts w:cstheme="minorHAnsi"/>
          <w:sz w:val="24"/>
          <w:szCs w:val="24"/>
        </w:rPr>
        <w:t>erent approaches</w:t>
      </w:r>
      <w:r w:rsidR="00567B60">
        <w:rPr>
          <w:rFonts w:cstheme="minorHAnsi"/>
          <w:sz w:val="24"/>
          <w:szCs w:val="24"/>
        </w:rPr>
        <w:t xml:space="preserve"> </w:t>
      </w:r>
      <w:r w:rsidRPr="006E413B">
        <w:rPr>
          <w:rFonts w:cstheme="minorHAnsi"/>
          <w:sz w:val="24"/>
          <w:szCs w:val="24"/>
        </w:rPr>
        <w:t xml:space="preserve">to split energy for cooking from energy for other end uses. Both approaches </w:t>
      </w:r>
      <w:r w:rsidR="00340438">
        <w:rPr>
          <w:rFonts w:cstheme="minorHAnsi"/>
          <w:sz w:val="24"/>
          <w:szCs w:val="24"/>
        </w:rPr>
        <w:t xml:space="preserve">require </w:t>
      </w:r>
      <w:r w:rsidRPr="006E413B">
        <w:rPr>
          <w:rFonts w:cstheme="minorHAnsi"/>
          <w:sz w:val="24"/>
          <w:szCs w:val="24"/>
        </w:rPr>
        <w:t>creating pro</w:t>
      </w:r>
      <w:r w:rsidR="00567B60">
        <w:rPr>
          <w:rFonts w:cstheme="minorHAnsi"/>
          <w:sz w:val="24"/>
          <w:szCs w:val="24"/>
        </w:rPr>
        <w:t>fi</w:t>
      </w:r>
      <w:r w:rsidRPr="006E413B">
        <w:rPr>
          <w:rFonts w:cstheme="minorHAnsi"/>
          <w:sz w:val="24"/>
          <w:szCs w:val="24"/>
        </w:rPr>
        <w:t>les of consumers who use the fuel for cooking</w:t>
      </w:r>
      <w:r w:rsidR="00B616BC">
        <w:rPr>
          <w:rFonts w:cstheme="minorHAnsi"/>
          <w:sz w:val="24"/>
          <w:szCs w:val="24"/>
        </w:rPr>
        <w:t xml:space="preserve"> </w:t>
      </w:r>
      <w:r w:rsidRPr="006E413B">
        <w:rPr>
          <w:rFonts w:cstheme="minorHAnsi"/>
          <w:sz w:val="24"/>
          <w:szCs w:val="24"/>
        </w:rPr>
        <w:t xml:space="preserve">and those who don't. </w:t>
      </w:r>
      <w:r w:rsidR="009A2E1D" w:rsidRPr="006E413B">
        <w:rPr>
          <w:rFonts w:cstheme="minorHAnsi"/>
          <w:sz w:val="24"/>
          <w:szCs w:val="24"/>
        </w:rPr>
        <w:t>Depending</w:t>
      </w:r>
      <w:r w:rsidRPr="006E413B">
        <w:rPr>
          <w:rFonts w:cstheme="minorHAnsi"/>
          <w:sz w:val="24"/>
          <w:szCs w:val="24"/>
        </w:rPr>
        <w:t xml:space="preserve"> on the </w:t>
      </w:r>
      <w:r w:rsidR="00B616BC">
        <w:rPr>
          <w:rFonts w:cstheme="minorHAnsi"/>
          <w:sz w:val="24"/>
          <w:szCs w:val="24"/>
        </w:rPr>
        <w:t>p</w:t>
      </w:r>
      <w:r w:rsidRPr="006E413B">
        <w:rPr>
          <w:rFonts w:cstheme="minorHAnsi"/>
          <w:sz w:val="24"/>
          <w:szCs w:val="24"/>
        </w:rPr>
        <w:t>articulars of the speci</w:t>
      </w:r>
      <w:r w:rsidR="00B616BC">
        <w:rPr>
          <w:rFonts w:cstheme="minorHAnsi"/>
          <w:sz w:val="24"/>
          <w:szCs w:val="24"/>
        </w:rPr>
        <w:t>fi</w:t>
      </w:r>
      <w:r w:rsidRPr="006E413B">
        <w:rPr>
          <w:rFonts w:cstheme="minorHAnsi"/>
          <w:sz w:val="24"/>
          <w:szCs w:val="24"/>
        </w:rPr>
        <w:t>c national dataset,</w:t>
      </w:r>
      <w:r w:rsidR="00B616BC">
        <w:rPr>
          <w:rFonts w:cstheme="minorHAnsi"/>
          <w:sz w:val="24"/>
          <w:szCs w:val="24"/>
        </w:rPr>
        <w:t xml:space="preserve"> </w:t>
      </w:r>
      <w:r w:rsidR="00303B6E" w:rsidRPr="006E413B">
        <w:rPr>
          <w:rFonts w:cstheme="minorHAnsi"/>
          <w:sz w:val="24"/>
          <w:szCs w:val="24"/>
        </w:rPr>
        <w:t>we</w:t>
      </w:r>
      <w:r w:rsidR="002A4642">
        <w:rPr>
          <w:rFonts w:cstheme="minorHAnsi"/>
          <w:sz w:val="24"/>
          <w:szCs w:val="24"/>
        </w:rPr>
        <w:t xml:space="preserve"> then</w:t>
      </w:r>
      <w:r w:rsidR="00303B6E" w:rsidRPr="006E413B">
        <w:rPr>
          <w:rFonts w:cstheme="minorHAnsi"/>
          <w:sz w:val="24"/>
          <w:szCs w:val="24"/>
        </w:rPr>
        <w:t xml:space="preserve"> </w:t>
      </w:r>
      <w:r w:rsidRPr="006E413B">
        <w:rPr>
          <w:rFonts w:cstheme="minorHAnsi"/>
          <w:sz w:val="24"/>
          <w:szCs w:val="24"/>
        </w:rPr>
        <w:t>either use a simple regression approach to back out representative non-cooking consumption of</w:t>
      </w:r>
      <w:r w:rsidR="00B616BC">
        <w:rPr>
          <w:rFonts w:cstheme="minorHAnsi"/>
          <w:sz w:val="24"/>
          <w:szCs w:val="24"/>
        </w:rPr>
        <w:t xml:space="preserve"> </w:t>
      </w:r>
      <w:r w:rsidRPr="006E413B">
        <w:rPr>
          <w:rFonts w:cstheme="minorHAnsi"/>
          <w:sz w:val="24"/>
          <w:szCs w:val="24"/>
        </w:rPr>
        <w:t xml:space="preserve">households depending on a set of characteristics, or we </w:t>
      </w:r>
      <w:r w:rsidR="00F11F68">
        <w:rPr>
          <w:rFonts w:cstheme="minorHAnsi"/>
          <w:sz w:val="24"/>
          <w:szCs w:val="24"/>
        </w:rPr>
        <w:t>calculate</w:t>
      </w:r>
      <w:r w:rsidR="00F11F68" w:rsidRPr="006E413B">
        <w:rPr>
          <w:rFonts w:cstheme="minorHAnsi"/>
          <w:sz w:val="24"/>
          <w:szCs w:val="24"/>
        </w:rPr>
        <w:t xml:space="preserve"> </w:t>
      </w:r>
      <w:r w:rsidRPr="006E413B">
        <w:rPr>
          <w:rFonts w:cstheme="minorHAnsi"/>
          <w:sz w:val="24"/>
          <w:szCs w:val="24"/>
        </w:rPr>
        <w:t>simple averages di</w:t>
      </w:r>
      <w:r w:rsidR="002D500A">
        <w:rPr>
          <w:rFonts w:cstheme="minorHAnsi"/>
          <w:sz w:val="24"/>
          <w:szCs w:val="24"/>
        </w:rPr>
        <w:t>ff</w:t>
      </w:r>
      <w:r w:rsidRPr="006E413B">
        <w:rPr>
          <w:rFonts w:cstheme="minorHAnsi"/>
          <w:sz w:val="24"/>
          <w:szCs w:val="24"/>
        </w:rPr>
        <w:t>erentiated by income</w:t>
      </w:r>
      <w:r w:rsidR="002D500A">
        <w:rPr>
          <w:rFonts w:cstheme="minorHAnsi"/>
          <w:sz w:val="24"/>
          <w:szCs w:val="24"/>
        </w:rPr>
        <w:t xml:space="preserve"> </w:t>
      </w:r>
      <w:r w:rsidRPr="006E413B">
        <w:rPr>
          <w:rFonts w:cstheme="minorHAnsi"/>
          <w:sz w:val="24"/>
          <w:szCs w:val="24"/>
        </w:rPr>
        <w:t>categories</w:t>
      </w:r>
      <w:r w:rsidR="009222CB">
        <w:rPr>
          <w:rFonts w:cstheme="minorHAnsi"/>
          <w:sz w:val="24"/>
          <w:szCs w:val="24"/>
        </w:rPr>
        <w:t>,</w:t>
      </w:r>
      <w:r w:rsidRPr="006E413B">
        <w:rPr>
          <w:rFonts w:cstheme="minorHAnsi"/>
          <w:sz w:val="24"/>
          <w:szCs w:val="24"/>
        </w:rPr>
        <w:t xml:space="preserve"> for urban </w:t>
      </w:r>
      <w:r w:rsidR="002D500A">
        <w:rPr>
          <w:rFonts w:cstheme="minorHAnsi"/>
          <w:sz w:val="24"/>
          <w:szCs w:val="24"/>
        </w:rPr>
        <w:t>a</w:t>
      </w:r>
      <w:r w:rsidRPr="006E413B">
        <w:rPr>
          <w:rFonts w:cstheme="minorHAnsi"/>
          <w:sz w:val="24"/>
          <w:szCs w:val="24"/>
        </w:rPr>
        <w:t xml:space="preserve">nd rural households separately. </w:t>
      </w:r>
      <w:r w:rsidR="00ED3E9C">
        <w:rPr>
          <w:rFonts w:cstheme="minorHAnsi"/>
          <w:sz w:val="24"/>
          <w:szCs w:val="24"/>
        </w:rPr>
        <w:t>I</w:t>
      </w:r>
      <w:r w:rsidRPr="006E413B">
        <w:rPr>
          <w:rFonts w:cstheme="minorHAnsi"/>
          <w:sz w:val="24"/>
          <w:szCs w:val="24"/>
        </w:rPr>
        <w:t>mportant</w:t>
      </w:r>
      <w:r w:rsidR="00A5226B">
        <w:rPr>
          <w:rFonts w:cstheme="minorHAnsi"/>
          <w:sz w:val="24"/>
          <w:szCs w:val="24"/>
        </w:rPr>
        <w:t>ly,</w:t>
      </w:r>
      <w:r w:rsidRPr="006E413B">
        <w:rPr>
          <w:rFonts w:cstheme="minorHAnsi"/>
          <w:sz w:val="24"/>
          <w:szCs w:val="24"/>
        </w:rPr>
        <w:t xml:space="preserve"> the</w:t>
      </w:r>
      <w:r w:rsidR="002D500A">
        <w:rPr>
          <w:rFonts w:cstheme="minorHAnsi"/>
          <w:sz w:val="24"/>
          <w:szCs w:val="24"/>
        </w:rPr>
        <w:t xml:space="preserve"> </w:t>
      </w:r>
      <w:r w:rsidRPr="006E413B">
        <w:rPr>
          <w:rFonts w:cstheme="minorHAnsi"/>
          <w:sz w:val="24"/>
          <w:szCs w:val="24"/>
        </w:rPr>
        <w:t>simulation-based estimation approach we follow largely minimizes potential biases</w:t>
      </w:r>
      <w:r w:rsidR="0016298D">
        <w:rPr>
          <w:rFonts w:cstheme="minorHAnsi"/>
          <w:sz w:val="24"/>
          <w:szCs w:val="24"/>
        </w:rPr>
        <w:t xml:space="preserve"> of such estimation</w:t>
      </w:r>
      <w:r w:rsidR="005064C3">
        <w:rPr>
          <w:rFonts w:cstheme="minorHAnsi"/>
          <w:sz w:val="24"/>
          <w:szCs w:val="24"/>
        </w:rPr>
        <w:t>, as we</w:t>
      </w:r>
      <w:r w:rsidR="002D500A">
        <w:rPr>
          <w:rFonts w:cstheme="minorHAnsi"/>
          <w:sz w:val="24"/>
          <w:szCs w:val="24"/>
        </w:rPr>
        <w:t xml:space="preserve"> fi</w:t>
      </w:r>
      <w:r w:rsidRPr="006E413B">
        <w:rPr>
          <w:rFonts w:cstheme="minorHAnsi"/>
          <w:sz w:val="24"/>
          <w:szCs w:val="24"/>
        </w:rPr>
        <w:t>rst,</w:t>
      </w:r>
      <w:r w:rsidR="001D6C22">
        <w:rPr>
          <w:rFonts w:cstheme="minorHAnsi"/>
          <w:sz w:val="24"/>
          <w:szCs w:val="24"/>
        </w:rPr>
        <w:t xml:space="preserve"> </w:t>
      </w:r>
      <w:r w:rsidRPr="006E413B">
        <w:rPr>
          <w:rFonts w:cstheme="minorHAnsi"/>
          <w:sz w:val="24"/>
          <w:szCs w:val="24"/>
        </w:rPr>
        <w:t>obtaining a guesstimate of cooking consumption using unbiased simulators derived</w:t>
      </w:r>
      <w:r w:rsidR="001D6C22">
        <w:rPr>
          <w:rFonts w:cstheme="minorHAnsi"/>
          <w:sz w:val="24"/>
          <w:szCs w:val="24"/>
        </w:rPr>
        <w:t xml:space="preserve"> </w:t>
      </w:r>
      <w:r w:rsidRPr="006E413B">
        <w:rPr>
          <w:rFonts w:cstheme="minorHAnsi"/>
          <w:sz w:val="24"/>
          <w:szCs w:val="24"/>
        </w:rPr>
        <w:t xml:space="preserve">from the </w:t>
      </w:r>
      <w:r w:rsidR="001D6C22">
        <w:rPr>
          <w:rFonts w:cstheme="minorHAnsi"/>
          <w:sz w:val="24"/>
          <w:szCs w:val="24"/>
        </w:rPr>
        <w:t>fi</w:t>
      </w:r>
      <w:r w:rsidRPr="006E413B">
        <w:rPr>
          <w:rFonts w:cstheme="minorHAnsi"/>
          <w:sz w:val="24"/>
          <w:szCs w:val="24"/>
        </w:rPr>
        <w:t xml:space="preserve">rst and second order moments </w:t>
      </w:r>
      <w:r w:rsidR="006B2CDF">
        <w:rPr>
          <w:rFonts w:cstheme="minorHAnsi"/>
          <w:sz w:val="24"/>
          <w:szCs w:val="24"/>
        </w:rPr>
        <w:t>in</w:t>
      </w:r>
      <w:r w:rsidR="006B2CDF" w:rsidRPr="006E413B">
        <w:rPr>
          <w:rFonts w:cstheme="minorHAnsi"/>
          <w:sz w:val="24"/>
          <w:szCs w:val="24"/>
        </w:rPr>
        <w:t xml:space="preserve"> </w:t>
      </w:r>
      <w:r w:rsidRPr="006E413B">
        <w:rPr>
          <w:rFonts w:cstheme="minorHAnsi"/>
          <w:sz w:val="24"/>
          <w:szCs w:val="24"/>
        </w:rPr>
        <w:t xml:space="preserve">the empirical distributions, and </w:t>
      </w:r>
      <w:r w:rsidR="0047025A">
        <w:rPr>
          <w:rFonts w:cstheme="minorHAnsi"/>
          <w:sz w:val="24"/>
          <w:szCs w:val="24"/>
        </w:rPr>
        <w:t>next</w:t>
      </w:r>
      <w:r w:rsidRPr="006E413B">
        <w:rPr>
          <w:rFonts w:cstheme="minorHAnsi"/>
          <w:sz w:val="24"/>
          <w:szCs w:val="24"/>
        </w:rPr>
        <w:t>, match</w:t>
      </w:r>
      <w:r w:rsidR="001D6C22">
        <w:rPr>
          <w:rFonts w:cstheme="minorHAnsi"/>
          <w:sz w:val="24"/>
          <w:szCs w:val="24"/>
        </w:rPr>
        <w:t xml:space="preserve"> </w:t>
      </w:r>
      <w:r w:rsidRPr="006E413B">
        <w:rPr>
          <w:rFonts w:cstheme="minorHAnsi"/>
          <w:sz w:val="24"/>
          <w:szCs w:val="24"/>
        </w:rPr>
        <w:t xml:space="preserve">the non-biased </w:t>
      </w:r>
      <w:r w:rsidR="001D6C22">
        <w:rPr>
          <w:rFonts w:cstheme="minorHAnsi"/>
          <w:sz w:val="24"/>
          <w:szCs w:val="24"/>
        </w:rPr>
        <w:t>fi</w:t>
      </w:r>
      <w:r w:rsidRPr="006E413B">
        <w:rPr>
          <w:rFonts w:cstheme="minorHAnsi"/>
          <w:sz w:val="24"/>
          <w:szCs w:val="24"/>
        </w:rPr>
        <w:t>rst moments from the simulated</w:t>
      </w:r>
      <w:r w:rsidR="00491110">
        <w:rPr>
          <w:rFonts w:cstheme="minorHAnsi"/>
          <w:sz w:val="24"/>
          <w:szCs w:val="24"/>
        </w:rPr>
        <w:t xml:space="preserve"> data</w:t>
      </w:r>
      <w:r w:rsidRPr="006E413B">
        <w:rPr>
          <w:rFonts w:cstheme="minorHAnsi"/>
          <w:sz w:val="24"/>
          <w:szCs w:val="24"/>
        </w:rPr>
        <w:t xml:space="preserve"> with the empirical data, while minimizing error</w:t>
      </w:r>
      <w:r w:rsidR="004F3C22">
        <w:rPr>
          <w:rFonts w:cstheme="minorHAnsi"/>
          <w:sz w:val="24"/>
          <w:szCs w:val="24"/>
        </w:rPr>
        <w:t>s</w:t>
      </w:r>
      <w:r w:rsidRPr="006E413B">
        <w:rPr>
          <w:rFonts w:cstheme="minorHAnsi"/>
          <w:sz w:val="24"/>
          <w:szCs w:val="24"/>
        </w:rPr>
        <w:t xml:space="preserve"> in the second moments.</w:t>
      </w:r>
    </w:p>
    <w:p w14:paraId="3D55D131" w14:textId="204724C9" w:rsidR="00841277" w:rsidRDefault="00841277" w:rsidP="006E413B">
      <w:pPr>
        <w:autoSpaceDE w:val="0"/>
        <w:autoSpaceDN w:val="0"/>
        <w:adjustRightInd w:val="0"/>
        <w:jc w:val="both"/>
        <w:rPr>
          <w:rFonts w:cstheme="minorHAnsi"/>
          <w:sz w:val="24"/>
          <w:szCs w:val="24"/>
        </w:rPr>
      </w:pPr>
    </w:p>
    <w:p w14:paraId="17C24CE6" w14:textId="77777777" w:rsidR="00C83D83" w:rsidRPr="00C83D83" w:rsidRDefault="00C83D83" w:rsidP="00C83D83">
      <w:pPr>
        <w:autoSpaceDE w:val="0"/>
        <w:autoSpaceDN w:val="0"/>
        <w:adjustRightInd w:val="0"/>
        <w:jc w:val="both"/>
        <w:rPr>
          <w:rFonts w:cstheme="minorHAnsi"/>
          <w:b/>
          <w:bCs/>
          <w:sz w:val="24"/>
          <w:szCs w:val="24"/>
        </w:rPr>
      </w:pPr>
      <w:r w:rsidRPr="00C83D83">
        <w:rPr>
          <w:rFonts w:cstheme="minorHAnsi"/>
          <w:b/>
          <w:bCs/>
          <w:sz w:val="24"/>
          <w:szCs w:val="24"/>
        </w:rPr>
        <w:t>Models and Estimation</w:t>
      </w:r>
    </w:p>
    <w:p w14:paraId="645B00A5" w14:textId="7FEFE7BD" w:rsidR="00841277" w:rsidRDefault="00C83D83" w:rsidP="00C83D83">
      <w:pPr>
        <w:autoSpaceDE w:val="0"/>
        <w:autoSpaceDN w:val="0"/>
        <w:adjustRightInd w:val="0"/>
        <w:jc w:val="both"/>
        <w:rPr>
          <w:rFonts w:cstheme="minorHAnsi"/>
          <w:sz w:val="24"/>
          <w:szCs w:val="24"/>
        </w:rPr>
      </w:pPr>
      <w:r w:rsidRPr="00C83D83">
        <w:rPr>
          <w:rFonts w:cstheme="minorHAnsi"/>
          <w:sz w:val="24"/>
          <w:szCs w:val="24"/>
        </w:rPr>
        <w:t>We use two di</w:t>
      </w:r>
      <w:r w:rsidR="0040104E">
        <w:rPr>
          <w:rFonts w:cstheme="minorHAnsi"/>
          <w:sz w:val="24"/>
          <w:szCs w:val="24"/>
        </w:rPr>
        <w:t>ff</w:t>
      </w:r>
      <w:r w:rsidRPr="00C83D83">
        <w:rPr>
          <w:rFonts w:cstheme="minorHAnsi"/>
          <w:sz w:val="24"/>
          <w:szCs w:val="24"/>
        </w:rPr>
        <w:t>erent models for di</w:t>
      </w:r>
      <w:r w:rsidR="0040104E">
        <w:rPr>
          <w:rFonts w:cstheme="minorHAnsi"/>
          <w:sz w:val="24"/>
          <w:szCs w:val="24"/>
        </w:rPr>
        <w:t>ff</w:t>
      </w:r>
      <w:r w:rsidRPr="00C83D83">
        <w:rPr>
          <w:rFonts w:cstheme="minorHAnsi"/>
          <w:sz w:val="24"/>
          <w:szCs w:val="24"/>
        </w:rPr>
        <w:t xml:space="preserve">erent regions of the world. For the Global South, where </w:t>
      </w:r>
      <w:r w:rsidR="0040104E">
        <w:rPr>
          <w:rFonts w:cstheme="minorHAnsi"/>
          <w:sz w:val="24"/>
          <w:szCs w:val="24"/>
        </w:rPr>
        <w:t>e</w:t>
      </w:r>
      <w:r w:rsidRPr="00C83D83">
        <w:rPr>
          <w:rFonts w:cstheme="minorHAnsi"/>
          <w:sz w:val="24"/>
          <w:szCs w:val="24"/>
        </w:rPr>
        <w:t>nergy stacking is more prevalent, we use a previously developed model of household cooking fuel</w:t>
      </w:r>
      <w:r w:rsidR="00C706CC">
        <w:rPr>
          <w:rFonts w:cstheme="minorHAnsi"/>
          <w:sz w:val="24"/>
          <w:szCs w:val="24"/>
        </w:rPr>
        <w:t xml:space="preserve"> </w:t>
      </w:r>
      <w:r w:rsidRPr="00C83D83">
        <w:rPr>
          <w:rFonts w:cstheme="minorHAnsi"/>
          <w:sz w:val="24"/>
          <w:szCs w:val="24"/>
        </w:rPr>
        <w:t>choices</w:t>
      </w:r>
      <w:r w:rsidR="00C83263">
        <w:rPr>
          <w:rFonts w:cstheme="minorHAnsi"/>
          <w:sz w:val="24"/>
          <w:szCs w:val="24"/>
        </w:rPr>
        <w:t xml:space="preserve"> that allows for multiple fuel use</w:t>
      </w:r>
      <w:r w:rsidR="00B815F8">
        <w:rPr>
          <w:rFonts w:cstheme="minorHAnsi"/>
          <w:sz w:val="24"/>
          <w:szCs w:val="24"/>
        </w:rPr>
        <w:fldChar w:fldCharType="begin" w:fldLock="1"/>
      </w:r>
      <w:r w:rsidR="00D80A04">
        <w:rPr>
          <w:rFonts w:cstheme="minorHAnsi"/>
          <w:sz w:val="24"/>
          <w:szCs w:val="24"/>
        </w:rPr>
        <w:instrText>ADDIN CSL_CITATION {"citationItems":[{"id":"ITEM-1","itemData":{"DOI":"10.1016/j.eneco.2018.09.003","ISSN":"01409883","abstract":"Access to cleaning cooking fuels and stoves is an important indicator of well-being, as this enables several improvements in quality of life. In many developing countries, a big proportion of the population still depends on biomass for cooking, and the adoption of clean cooking fuels is still limited. Here, we propose a structural model to estimate household demand and choices for cooking fuel using micro-datasets from nationally representative surveys for a subset of developing countries. We test the model by estimating the demand response to simulated changes in fuel prices and income. We find that the model provides a close approximation to the observed patterns in the data from the surveys. We also find that as long as incomes rise and the relative difference between the prices of biomass and cleaner fuels decreases, households will transition to cleaner cooking fuels. We discuss potential applications of the method for constructing and analyzing future scenarios of cooking energy transitions.","author":[{"dropping-particle":"","family":"Poblete-Cazenave","given":"Miguel","non-dropping-particle":"","parse-names":false,"suffix":""},{"dropping-particle":"","family":"Pachauri","given":"Shonali","non-dropping-particle":"","parse-names":false,"suffix":""}],"container-title":"Energy Economics","id":"ITEM-1","issued":{"date-parts":[["2018"]]},"page":"449-463","title":"A structural model of cooking fuel choices in developing countries","type":"article-journal","volume":"75"},"uris":["http://www.mendeley.com/documents/?uuid=7d13e3e8-6d27-381e-80ad-44df69d8fe94"]}],"mendeley":{"formattedCitation":"&lt;sup&gt;21&lt;/sup&gt;","plainTextFormattedCitation":"21","previouslyFormattedCitation":"&lt;sup&gt;21&lt;/sup&gt;"},"properties":{"noteIndex":0},"schema":"https://github.com/citation-style-language/schema/raw/master/csl-citation.json"}</w:instrText>
      </w:r>
      <w:r w:rsidR="00B815F8">
        <w:rPr>
          <w:rFonts w:cstheme="minorHAnsi"/>
          <w:sz w:val="24"/>
          <w:szCs w:val="24"/>
        </w:rPr>
        <w:fldChar w:fldCharType="separate"/>
      </w:r>
      <w:r w:rsidR="00CE47D8" w:rsidRPr="00CE47D8">
        <w:rPr>
          <w:rFonts w:cstheme="minorHAnsi"/>
          <w:noProof/>
          <w:sz w:val="24"/>
          <w:szCs w:val="24"/>
          <w:vertAlign w:val="superscript"/>
        </w:rPr>
        <w:t>21</w:t>
      </w:r>
      <w:r w:rsidR="00B815F8">
        <w:rPr>
          <w:rFonts w:cstheme="minorHAnsi"/>
          <w:sz w:val="24"/>
          <w:szCs w:val="24"/>
        </w:rPr>
        <w:fldChar w:fldCharType="end"/>
      </w:r>
      <w:r w:rsidRPr="00C83D83">
        <w:rPr>
          <w:rFonts w:cstheme="minorHAnsi"/>
          <w:sz w:val="24"/>
          <w:szCs w:val="24"/>
        </w:rPr>
        <w:t>. For the Global North, where households generally use only one type of fuel, we use a</w:t>
      </w:r>
      <w:r w:rsidR="00BF102E">
        <w:rPr>
          <w:rFonts w:cstheme="minorHAnsi"/>
          <w:sz w:val="24"/>
          <w:szCs w:val="24"/>
        </w:rPr>
        <w:t xml:space="preserve"> different</w:t>
      </w:r>
      <w:r w:rsidR="00C706CC">
        <w:rPr>
          <w:rFonts w:cstheme="minorHAnsi"/>
          <w:sz w:val="24"/>
          <w:szCs w:val="24"/>
        </w:rPr>
        <w:t xml:space="preserve"> </w:t>
      </w:r>
      <w:r w:rsidRPr="00C83D83">
        <w:rPr>
          <w:rFonts w:cstheme="minorHAnsi"/>
          <w:sz w:val="24"/>
          <w:szCs w:val="24"/>
        </w:rPr>
        <w:t>more general model of household energy and appliance choices</w:t>
      </w:r>
      <w:r w:rsidR="00684469">
        <w:rPr>
          <w:rFonts w:cstheme="minorHAnsi"/>
          <w:sz w:val="24"/>
          <w:szCs w:val="24"/>
        </w:rPr>
        <w:fldChar w:fldCharType="begin" w:fldLock="1"/>
      </w:r>
      <w:r w:rsidR="00D80A04">
        <w:rPr>
          <w:rFonts w:cstheme="minorHAnsi"/>
          <w:sz w:val="24"/>
          <w:szCs w:val="24"/>
        </w:rPr>
        <w:instrText>ADDIN CSL_CITATION {"citationItems":[{"id":"ITEM-1","itemData":{"DOI":"10.1016/j.eneco.2021.105266","ISSN":"0140-9883","author":[{"dropping-particle":"","family":"Poblete-Cazenave","given":"Miguel","non-dropping-particle":"","parse-names":false,"suffix":""},{"dropping-particle":"","family":"Pachauri","given":"Shonali","non-dropping-particle":"","parse-names":false,"suffix":""}],"container-title":"Energy Economics","id":"ITEM-1","issued":{"date-parts":[["2021"]]},"page":"105266","title":"A model of energy poverty and access: Estimating household electricity demand and appliance ownership","type":"article-journal","volume":"98"},"uris":["http://www.mendeley.com/documents/?uuid=e1219797-8d99-3dc6-a169-85cd57caa488"]}],"mendeley":{"formattedCitation":"&lt;sup&gt;22&lt;/sup&gt;","plainTextFormattedCitation":"22","previouslyFormattedCitation":"&lt;sup&gt;22&lt;/sup&gt;"},"properties":{"noteIndex":0},"schema":"https://github.com/citation-style-language/schema/raw/master/csl-citation.json"}</w:instrText>
      </w:r>
      <w:r w:rsidR="00684469">
        <w:rPr>
          <w:rFonts w:cstheme="minorHAnsi"/>
          <w:sz w:val="24"/>
          <w:szCs w:val="24"/>
        </w:rPr>
        <w:fldChar w:fldCharType="separate"/>
      </w:r>
      <w:r w:rsidR="00CE47D8" w:rsidRPr="00CE47D8">
        <w:rPr>
          <w:rFonts w:cstheme="minorHAnsi"/>
          <w:noProof/>
          <w:sz w:val="24"/>
          <w:szCs w:val="24"/>
          <w:vertAlign w:val="superscript"/>
        </w:rPr>
        <w:t>22</w:t>
      </w:r>
      <w:r w:rsidR="00684469">
        <w:rPr>
          <w:rFonts w:cstheme="minorHAnsi"/>
          <w:sz w:val="24"/>
          <w:szCs w:val="24"/>
        </w:rPr>
        <w:fldChar w:fldCharType="end"/>
      </w:r>
      <w:r w:rsidRPr="00C83D83">
        <w:rPr>
          <w:rFonts w:cstheme="minorHAnsi"/>
          <w:sz w:val="24"/>
          <w:szCs w:val="24"/>
        </w:rPr>
        <w:t>.</w:t>
      </w:r>
    </w:p>
    <w:p w14:paraId="421189CF" w14:textId="35E0ADB4" w:rsidR="000669B5" w:rsidRDefault="000669B5" w:rsidP="00C83D83">
      <w:pPr>
        <w:autoSpaceDE w:val="0"/>
        <w:autoSpaceDN w:val="0"/>
        <w:adjustRightInd w:val="0"/>
        <w:jc w:val="both"/>
        <w:rPr>
          <w:rFonts w:cstheme="minorHAnsi"/>
          <w:sz w:val="24"/>
          <w:szCs w:val="24"/>
        </w:rPr>
      </w:pPr>
    </w:p>
    <w:p w14:paraId="0774B4A0" w14:textId="4223B589" w:rsidR="000669B5" w:rsidRDefault="00602C8B" w:rsidP="00602C8B">
      <w:pPr>
        <w:autoSpaceDE w:val="0"/>
        <w:autoSpaceDN w:val="0"/>
        <w:adjustRightInd w:val="0"/>
        <w:jc w:val="both"/>
        <w:rPr>
          <w:sz w:val="24"/>
          <w:szCs w:val="24"/>
        </w:rPr>
      </w:pPr>
      <w:r w:rsidRPr="39BF59DC">
        <w:rPr>
          <w:sz w:val="24"/>
          <w:szCs w:val="24"/>
        </w:rPr>
        <w:t>Both models follow a simulation-based structural econometric approach, wherein a large set of</w:t>
      </w:r>
      <w:r w:rsidR="00B97197" w:rsidRPr="39BF59DC">
        <w:rPr>
          <w:sz w:val="24"/>
          <w:szCs w:val="24"/>
        </w:rPr>
        <w:t xml:space="preserve"> </w:t>
      </w:r>
      <w:r w:rsidRPr="39BF59DC">
        <w:rPr>
          <w:sz w:val="24"/>
          <w:szCs w:val="24"/>
        </w:rPr>
        <w:t>simulated households are constructed to mimic characteristics found in the empirical data.</w:t>
      </w:r>
      <w:r w:rsidR="0060121A" w:rsidRPr="39BF59DC">
        <w:rPr>
          <w:sz w:val="24"/>
          <w:szCs w:val="24"/>
        </w:rPr>
        <w:t xml:space="preserve"> </w:t>
      </w:r>
      <w:r w:rsidRPr="39BF59DC">
        <w:rPr>
          <w:sz w:val="24"/>
          <w:szCs w:val="24"/>
        </w:rPr>
        <w:t>Households choose among cooking alternatives to maximize utility given budget constraints and the</w:t>
      </w:r>
      <w:r w:rsidR="00965825" w:rsidRPr="39BF59DC">
        <w:rPr>
          <w:sz w:val="24"/>
          <w:szCs w:val="24"/>
        </w:rPr>
        <w:t xml:space="preserve"> </w:t>
      </w:r>
      <w:r w:rsidRPr="39BF59DC">
        <w:rPr>
          <w:sz w:val="24"/>
          <w:szCs w:val="24"/>
        </w:rPr>
        <w:t>prices they face in the market. All the simulated households have di</w:t>
      </w:r>
      <w:r w:rsidR="00965825" w:rsidRPr="39BF59DC">
        <w:rPr>
          <w:sz w:val="24"/>
          <w:szCs w:val="24"/>
        </w:rPr>
        <w:t>ff</w:t>
      </w:r>
      <w:r w:rsidRPr="39BF59DC">
        <w:rPr>
          <w:sz w:val="24"/>
          <w:szCs w:val="24"/>
        </w:rPr>
        <w:t>erent characteristics (</w:t>
      </w:r>
      <w:r w:rsidR="0060121A" w:rsidRPr="39BF59DC">
        <w:rPr>
          <w:sz w:val="24"/>
          <w:szCs w:val="24"/>
        </w:rPr>
        <w:t>e.g.,</w:t>
      </w:r>
      <w:r w:rsidR="00965825" w:rsidRPr="39BF59DC">
        <w:rPr>
          <w:sz w:val="24"/>
          <w:szCs w:val="24"/>
        </w:rPr>
        <w:t xml:space="preserve"> </w:t>
      </w:r>
      <w:r w:rsidRPr="39BF59DC">
        <w:rPr>
          <w:sz w:val="24"/>
          <w:szCs w:val="24"/>
        </w:rPr>
        <w:t>income, household size, location, among others), and therefore, the models capture</w:t>
      </w:r>
      <w:r w:rsidR="00965825" w:rsidRPr="39BF59DC">
        <w:rPr>
          <w:sz w:val="24"/>
          <w:szCs w:val="24"/>
        </w:rPr>
        <w:t xml:space="preserve"> </w:t>
      </w:r>
      <w:r w:rsidRPr="39BF59DC">
        <w:rPr>
          <w:sz w:val="24"/>
          <w:szCs w:val="24"/>
        </w:rPr>
        <w:t>heterogeneity with respect to these characteristics. The models, although di</w:t>
      </w:r>
      <w:r w:rsidR="000A33C7" w:rsidRPr="39BF59DC">
        <w:rPr>
          <w:sz w:val="24"/>
          <w:szCs w:val="24"/>
        </w:rPr>
        <w:t>ff</w:t>
      </w:r>
      <w:r w:rsidRPr="39BF59DC">
        <w:rPr>
          <w:sz w:val="24"/>
          <w:szCs w:val="24"/>
        </w:rPr>
        <w:t>erent, work by backing out household preferences for di</w:t>
      </w:r>
      <w:r w:rsidR="000A33C7" w:rsidRPr="39BF59DC">
        <w:rPr>
          <w:sz w:val="24"/>
          <w:szCs w:val="24"/>
        </w:rPr>
        <w:t>ff</w:t>
      </w:r>
      <w:r w:rsidRPr="39BF59DC">
        <w:rPr>
          <w:sz w:val="24"/>
          <w:szCs w:val="24"/>
        </w:rPr>
        <w:t>erent cooking fuels and technologies from observed choices</w:t>
      </w:r>
      <w:r w:rsidR="000A33C7" w:rsidRPr="39BF59DC">
        <w:rPr>
          <w:sz w:val="24"/>
          <w:szCs w:val="24"/>
        </w:rPr>
        <w:t xml:space="preserve"> </w:t>
      </w:r>
      <w:r w:rsidRPr="39BF59DC">
        <w:rPr>
          <w:sz w:val="24"/>
          <w:szCs w:val="24"/>
        </w:rPr>
        <w:t xml:space="preserve">in </w:t>
      </w:r>
      <w:r w:rsidR="00DF26D7" w:rsidRPr="39BF59DC">
        <w:rPr>
          <w:sz w:val="24"/>
          <w:szCs w:val="24"/>
        </w:rPr>
        <w:t xml:space="preserve">the </w:t>
      </w:r>
      <w:r w:rsidRPr="39BF59DC">
        <w:rPr>
          <w:sz w:val="24"/>
          <w:szCs w:val="24"/>
        </w:rPr>
        <w:t>empirical data sources, using di</w:t>
      </w:r>
      <w:r w:rsidR="000A33C7" w:rsidRPr="39BF59DC">
        <w:rPr>
          <w:sz w:val="24"/>
          <w:szCs w:val="24"/>
        </w:rPr>
        <w:t>ff</w:t>
      </w:r>
      <w:r w:rsidRPr="39BF59DC">
        <w:rPr>
          <w:sz w:val="24"/>
          <w:szCs w:val="24"/>
        </w:rPr>
        <w:t>erent simulation-</w:t>
      </w:r>
      <w:r w:rsidR="009D1ADD" w:rsidRPr="39BF59DC">
        <w:rPr>
          <w:sz w:val="24"/>
          <w:szCs w:val="24"/>
        </w:rPr>
        <w:t>b</w:t>
      </w:r>
      <w:r w:rsidRPr="39BF59DC">
        <w:rPr>
          <w:sz w:val="24"/>
          <w:szCs w:val="24"/>
        </w:rPr>
        <w:t>ased estimation techniques. Therefore, the</w:t>
      </w:r>
      <w:r w:rsidR="009D1ADD" w:rsidRPr="39BF59DC">
        <w:rPr>
          <w:sz w:val="24"/>
          <w:szCs w:val="24"/>
        </w:rPr>
        <w:t xml:space="preserve"> </w:t>
      </w:r>
      <w:r w:rsidRPr="39BF59DC">
        <w:rPr>
          <w:sz w:val="24"/>
          <w:szCs w:val="24"/>
        </w:rPr>
        <w:t>models only include options that appear in the di</w:t>
      </w:r>
      <w:r w:rsidR="009D1ADD" w:rsidRPr="39BF59DC">
        <w:rPr>
          <w:sz w:val="24"/>
          <w:szCs w:val="24"/>
        </w:rPr>
        <w:t>ff</w:t>
      </w:r>
      <w:r w:rsidRPr="39BF59DC">
        <w:rPr>
          <w:sz w:val="24"/>
          <w:szCs w:val="24"/>
        </w:rPr>
        <w:t xml:space="preserve">erent sources of household data that we present in </w:t>
      </w:r>
      <w:r w:rsidR="00377A61" w:rsidRPr="39BF59DC">
        <w:rPr>
          <w:sz w:val="24"/>
          <w:szCs w:val="24"/>
        </w:rPr>
        <w:t xml:space="preserve">Supplementary </w:t>
      </w:r>
      <w:r w:rsidRPr="39BF59DC">
        <w:rPr>
          <w:sz w:val="24"/>
          <w:szCs w:val="24"/>
        </w:rPr>
        <w:t xml:space="preserve">Table </w:t>
      </w:r>
      <w:r w:rsidR="1AD9C5D1" w:rsidRPr="39BF59DC">
        <w:rPr>
          <w:sz w:val="24"/>
          <w:szCs w:val="24"/>
        </w:rPr>
        <w:t>S</w:t>
      </w:r>
      <w:r w:rsidR="79AACEFD" w:rsidRPr="39BF59DC">
        <w:rPr>
          <w:sz w:val="24"/>
          <w:szCs w:val="24"/>
        </w:rPr>
        <w:t>1</w:t>
      </w:r>
      <w:r w:rsidRPr="39BF59DC">
        <w:rPr>
          <w:sz w:val="24"/>
          <w:szCs w:val="24"/>
        </w:rPr>
        <w:t xml:space="preserve">, namely, </w:t>
      </w:r>
      <w:r w:rsidR="009D1ADD" w:rsidRPr="39BF59DC">
        <w:rPr>
          <w:sz w:val="24"/>
          <w:szCs w:val="24"/>
        </w:rPr>
        <w:t>fi</w:t>
      </w:r>
      <w:r w:rsidRPr="39BF59DC">
        <w:rPr>
          <w:sz w:val="24"/>
          <w:szCs w:val="24"/>
        </w:rPr>
        <w:t xml:space="preserve">rewood, </w:t>
      </w:r>
      <w:proofErr w:type="gramStart"/>
      <w:r w:rsidR="00BD2EE7" w:rsidRPr="39BF59DC">
        <w:rPr>
          <w:sz w:val="24"/>
          <w:szCs w:val="24"/>
        </w:rPr>
        <w:t>charcoal</w:t>
      </w:r>
      <w:proofErr w:type="gramEnd"/>
      <w:r w:rsidR="00FA58FC" w:rsidRPr="39BF59DC">
        <w:rPr>
          <w:sz w:val="24"/>
          <w:szCs w:val="24"/>
        </w:rPr>
        <w:t xml:space="preserve"> and</w:t>
      </w:r>
      <w:r w:rsidRPr="39BF59DC">
        <w:rPr>
          <w:sz w:val="24"/>
          <w:szCs w:val="24"/>
        </w:rPr>
        <w:t xml:space="preserve"> coal (usually lumped together), kerosene, </w:t>
      </w:r>
      <w:r w:rsidR="00DF6AFA" w:rsidRPr="39BF59DC">
        <w:rPr>
          <w:sz w:val="24"/>
          <w:szCs w:val="24"/>
        </w:rPr>
        <w:t>LPG</w:t>
      </w:r>
      <w:r w:rsidR="00BD2EE7" w:rsidRPr="39BF59DC">
        <w:rPr>
          <w:sz w:val="24"/>
          <w:szCs w:val="24"/>
        </w:rPr>
        <w:t xml:space="preserve"> </w:t>
      </w:r>
      <w:r w:rsidR="00FA58FC" w:rsidRPr="39BF59DC">
        <w:rPr>
          <w:sz w:val="24"/>
          <w:szCs w:val="24"/>
        </w:rPr>
        <w:t>and</w:t>
      </w:r>
      <w:r w:rsidRPr="39BF59DC">
        <w:rPr>
          <w:sz w:val="24"/>
          <w:szCs w:val="24"/>
        </w:rPr>
        <w:t xml:space="preserve"> natural gas (also usually lumped together), and electricity. Unfortunately, this implies t</w:t>
      </w:r>
      <w:r w:rsidR="00BD2EE7" w:rsidRPr="39BF59DC">
        <w:rPr>
          <w:sz w:val="24"/>
          <w:szCs w:val="24"/>
        </w:rPr>
        <w:t>h</w:t>
      </w:r>
      <w:r w:rsidRPr="39BF59DC">
        <w:rPr>
          <w:sz w:val="24"/>
          <w:szCs w:val="24"/>
        </w:rPr>
        <w:t>at</w:t>
      </w:r>
      <w:r w:rsidR="00D17D7D" w:rsidRPr="39BF59DC">
        <w:rPr>
          <w:sz w:val="24"/>
          <w:szCs w:val="24"/>
        </w:rPr>
        <w:t xml:space="preserve"> </w:t>
      </w:r>
      <w:r w:rsidRPr="39BF59DC">
        <w:rPr>
          <w:sz w:val="24"/>
          <w:szCs w:val="24"/>
        </w:rPr>
        <w:t xml:space="preserve">preferences for fuels that are lumped together cannot be distinguished from each other, and therefore, </w:t>
      </w:r>
      <w:r w:rsidR="00FA58FC" w:rsidRPr="39BF59DC">
        <w:rPr>
          <w:sz w:val="24"/>
          <w:szCs w:val="24"/>
        </w:rPr>
        <w:t>are</w:t>
      </w:r>
      <w:r w:rsidRPr="39BF59DC">
        <w:rPr>
          <w:sz w:val="24"/>
          <w:szCs w:val="24"/>
        </w:rPr>
        <w:t xml:space="preserve"> </w:t>
      </w:r>
      <w:r w:rsidRPr="39BF59DC">
        <w:rPr>
          <w:sz w:val="24"/>
          <w:szCs w:val="24"/>
        </w:rPr>
        <w:lastRenderedPageBreak/>
        <w:t>modeled as a single option. Also, other potential viable alternatives (</w:t>
      </w:r>
      <w:r w:rsidR="002B21D1" w:rsidRPr="39BF59DC">
        <w:rPr>
          <w:sz w:val="24"/>
          <w:szCs w:val="24"/>
        </w:rPr>
        <w:t>e.g.,</w:t>
      </w:r>
      <w:r w:rsidRPr="39BF59DC">
        <w:rPr>
          <w:sz w:val="24"/>
          <w:szCs w:val="24"/>
        </w:rPr>
        <w:t xml:space="preserve"> biogas, ethanol) cannot be included in the model. However, given</w:t>
      </w:r>
      <w:r w:rsidR="00D17D7D" w:rsidRPr="39BF59DC">
        <w:rPr>
          <w:sz w:val="24"/>
          <w:szCs w:val="24"/>
        </w:rPr>
        <w:t xml:space="preserve"> </w:t>
      </w:r>
      <w:r w:rsidRPr="39BF59DC">
        <w:rPr>
          <w:sz w:val="24"/>
          <w:szCs w:val="24"/>
        </w:rPr>
        <w:t>that preferences are estimated independently for di</w:t>
      </w:r>
      <w:r w:rsidR="00D17D7D" w:rsidRPr="39BF59DC">
        <w:rPr>
          <w:sz w:val="24"/>
          <w:szCs w:val="24"/>
        </w:rPr>
        <w:t>ff</w:t>
      </w:r>
      <w:r w:rsidRPr="39BF59DC">
        <w:rPr>
          <w:sz w:val="24"/>
          <w:szCs w:val="24"/>
        </w:rPr>
        <w:t>erent regions of the world, the methods</w:t>
      </w:r>
      <w:r w:rsidR="00DF6AFA" w:rsidRPr="39BF59DC">
        <w:rPr>
          <w:sz w:val="24"/>
          <w:szCs w:val="24"/>
        </w:rPr>
        <w:t xml:space="preserve"> </w:t>
      </w:r>
      <w:r w:rsidRPr="39BF59DC">
        <w:rPr>
          <w:sz w:val="24"/>
          <w:szCs w:val="24"/>
        </w:rPr>
        <w:t xml:space="preserve">we employ </w:t>
      </w:r>
      <w:r w:rsidR="002B21D1" w:rsidRPr="39BF59DC">
        <w:rPr>
          <w:sz w:val="24"/>
          <w:szCs w:val="24"/>
        </w:rPr>
        <w:t>allow for</w:t>
      </w:r>
      <w:r w:rsidRPr="39BF59DC">
        <w:rPr>
          <w:sz w:val="24"/>
          <w:szCs w:val="24"/>
        </w:rPr>
        <w:t xml:space="preserve"> captur</w:t>
      </w:r>
      <w:r w:rsidR="002B21D1" w:rsidRPr="39BF59DC">
        <w:rPr>
          <w:sz w:val="24"/>
          <w:szCs w:val="24"/>
        </w:rPr>
        <w:t>ing</w:t>
      </w:r>
      <w:r w:rsidRPr="39BF59DC">
        <w:rPr>
          <w:sz w:val="24"/>
          <w:szCs w:val="24"/>
        </w:rPr>
        <w:t xml:space="preserve"> local behaviors and preferences, which add more relevant layers of</w:t>
      </w:r>
      <w:r w:rsidR="00DF6AFA" w:rsidRPr="39BF59DC">
        <w:rPr>
          <w:sz w:val="24"/>
          <w:szCs w:val="24"/>
        </w:rPr>
        <w:t xml:space="preserve"> </w:t>
      </w:r>
      <w:r w:rsidRPr="39BF59DC">
        <w:rPr>
          <w:sz w:val="24"/>
          <w:szCs w:val="24"/>
        </w:rPr>
        <w:t>heterogeneity to our results.</w:t>
      </w:r>
    </w:p>
    <w:p w14:paraId="002CA1E1" w14:textId="4B4AD7A8" w:rsidR="00E60F53" w:rsidRDefault="00E60F53" w:rsidP="00602C8B">
      <w:pPr>
        <w:autoSpaceDE w:val="0"/>
        <w:autoSpaceDN w:val="0"/>
        <w:adjustRightInd w:val="0"/>
        <w:jc w:val="both"/>
        <w:rPr>
          <w:rFonts w:cstheme="minorHAnsi"/>
          <w:sz w:val="24"/>
          <w:szCs w:val="24"/>
        </w:rPr>
      </w:pPr>
    </w:p>
    <w:p w14:paraId="4C403411" w14:textId="77777777" w:rsidR="00C26DC7" w:rsidRPr="00E53408" w:rsidRDefault="00C26DC7" w:rsidP="00C26DC7">
      <w:pPr>
        <w:autoSpaceDE w:val="0"/>
        <w:autoSpaceDN w:val="0"/>
        <w:adjustRightInd w:val="0"/>
        <w:jc w:val="both"/>
        <w:rPr>
          <w:rFonts w:cstheme="minorHAnsi"/>
          <w:sz w:val="24"/>
          <w:szCs w:val="24"/>
          <w:u w:val="single"/>
        </w:rPr>
      </w:pPr>
      <w:r w:rsidRPr="00E53408">
        <w:rPr>
          <w:rFonts w:cstheme="minorHAnsi"/>
          <w:sz w:val="24"/>
          <w:szCs w:val="24"/>
          <w:u w:val="single"/>
        </w:rPr>
        <w:t>Model of Cooking Fuel Choices</w:t>
      </w:r>
    </w:p>
    <w:p w14:paraId="1140143D" w14:textId="6EF815A5" w:rsidR="00E60F53" w:rsidRDefault="00C26DC7" w:rsidP="00C26DC7">
      <w:pPr>
        <w:autoSpaceDE w:val="0"/>
        <w:autoSpaceDN w:val="0"/>
        <w:adjustRightInd w:val="0"/>
        <w:jc w:val="both"/>
        <w:rPr>
          <w:rFonts w:cstheme="minorHAnsi"/>
          <w:sz w:val="24"/>
          <w:szCs w:val="24"/>
        </w:rPr>
      </w:pPr>
      <w:r w:rsidRPr="00C26DC7">
        <w:rPr>
          <w:rFonts w:cstheme="minorHAnsi"/>
          <w:sz w:val="24"/>
          <w:szCs w:val="24"/>
        </w:rPr>
        <w:t>For the Global South, we apply a simulation-based structural econometrics model of household</w:t>
      </w:r>
      <w:r w:rsidR="00823C32">
        <w:rPr>
          <w:rFonts w:cstheme="minorHAnsi"/>
          <w:sz w:val="24"/>
          <w:szCs w:val="24"/>
        </w:rPr>
        <w:t xml:space="preserve"> </w:t>
      </w:r>
      <w:r w:rsidRPr="00C26DC7">
        <w:rPr>
          <w:rFonts w:cstheme="minorHAnsi"/>
          <w:sz w:val="24"/>
          <w:szCs w:val="24"/>
        </w:rPr>
        <w:t>cooking fuel choice (details of the model are available elsewhere</w:t>
      </w:r>
      <w:r w:rsidR="00C0561B">
        <w:rPr>
          <w:rFonts w:cstheme="minorHAnsi"/>
          <w:sz w:val="24"/>
          <w:szCs w:val="24"/>
        </w:rPr>
        <w:fldChar w:fldCharType="begin" w:fldLock="1"/>
      </w:r>
      <w:r w:rsidR="00D80A04">
        <w:rPr>
          <w:rFonts w:cstheme="minorHAnsi"/>
          <w:sz w:val="24"/>
          <w:szCs w:val="24"/>
        </w:rPr>
        <w:instrText>ADDIN CSL_CITATION {"citationItems":[{"id":"ITEM-1","itemData":{"DOI":"10.1016/j.eneco.2018.09.003","ISSN":"01409883","abstract":"Access to cleaning cooking fuels and stoves is an important indicator of well-being, as this enables several improvements in quality of life. In many developing countries, a big proportion of the population still depends on biomass for cooking, and the adoption of clean cooking fuels is still limited. Here, we propose a structural model to estimate household demand and choices for cooking fuel using micro-datasets from nationally representative surveys for a subset of developing countries. We test the model by estimating the demand response to simulated changes in fuel prices and income. We find that the model provides a close approximation to the observed patterns in the data from the surveys. We also find that as long as incomes rise and the relative difference between the prices of biomass and cleaner fuels decreases, households will transition to cleaner cooking fuels. We discuss potential applications of the method for constructing and analyzing future scenarios of cooking energy transitions.","author":[{"dropping-particle":"","family":"Poblete-Cazenave","given":"Miguel","non-dropping-particle":"","parse-names":false,"suffix":""},{"dropping-particle":"","family":"Pachauri","given":"Shonali","non-dropping-particle":"","parse-names":false,"suffix":""}],"container-title":"Energy Economics","id":"ITEM-1","issued":{"date-parts":[["2018"]]},"page":"449-463","title":"A structural model of cooking fuel choices in developing countries","type":"article-journal","volume":"75"},"uris":["http://www.mendeley.com/documents/?uuid=7d13e3e8-6d27-381e-80ad-44df69d8fe94"]}],"mendeley":{"formattedCitation":"&lt;sup&gt;21&lt;/sup&gt;","plainTextFormattedCitation":"21","previouslyFormattedCitation":"&lt;sup&gt;21&lt;/sup&gt;"},"properties":{"noteIndex":0},"schema":"https://github.com/citation-style-language/schema/raw/master/csl-citation.json"}</w:instrText>
      </w:r>
      <w:r w:rsidR="00C0561B">
        <w:rPr>
          <w:rFonts w:cstheme="minorHAnsi"/>
          <w:sz w:val="24"/>
          <w:szCs w:val="24"/>
        </w:rPr>
        <w:fldChar w:fldCharType="separate"/>
      </w:r>
      <w:r w:rsidR="00CE47D8" w:rsidRPr="00CE47D8">
        <w:rPr>
          <w:rFonts w:cstheme="minorHAnsi"/>
          <w:noProof/>
          <w:sz w:val="24"/>
          <w:szCs w:val="24"/>
          <w:vertAlign w:val="superscript"/>
        </w:rPr>
        <w:t>21</w:t>
      </w:r>
      <w:r w:rsidR="00C0561B">
        <w:rPr>
          <w:rFonts w:cstheme="minorHAnsi"/>
          <w:sz w:val="24"/>
          <w:szCs w:val="24"/>
        </w:rPr>
        <w:fldChar w:fldCharType="end"/>
      </w:r>
      <w:r w:rsidRPr="00C26DC7">
        <w:rPr>
          <w:rFonts w:cstheme="minorHAnsi"/>
          <w:sz w:val="24"/>
          <w:szCs w:val="24"/>
        </w:rPr>
        <w:t>). In brief, the approach assumes</w:t>
      </w:r>
      <w:r w:rsidR="00823C32">
        <w:rPr>
          <w:rFonts w:cstheme="minorHAnsi"/>
          <w:sz w:val="24"/>
          <w:szCs w:val="24"/>
        </w:rPr>
        <w:t xml:space="preserve"> </w:t>
      </w:r>
      <w:r w:rsidRPr="00C26DC7">
        <w:rPr>
          <w:rFonts w:cstheme="minorHAnsi"/>
          <w:sz w:val="24"/>
          <w:szCs w:val="24"/>
        </w:rPr>
        <w:t>households maximize their utility by choosing between consumption of cooking fuels (allowing for</w:t>
      </w:r>
      <w:r w:rsidR="00823C32">
        <w:rPr>
          <w:rFonts w:cstheme="minorHAnsi"/>
          <w:sz w:val="24"/>
          <w:szCs w:val="24"/>
        </w:rPr>
        <w:t xml:space="preserve"> </w:t>
      </w:r>
      <w:r w:rsidRPr="00C26DC7">
        <w:rPr>
          <w:rFonts w:cstheme="minorHAnsi"/>
          <w:sz w:val="24"/>
          <w:szCs w:val="24"/>
        </w:rPr>
        <w:t>fuel stacking, if households prefer to do so) and other items:</w:t>
      </w:r>
    </w:p>
    <w:p w14:paraId="75162A0E" w14:textId="6E5848DA" w:rsidR="00D9174D" w:rsidRDefault="00D9174D" w:rsidP="00C26DC7">
      <w:pPr>
        <w:autoSpaceDE w:val="0"/>
        <w:autoSpaceDN w:val="0"/>
        <w:adjustRightInd w:val="0"/>
        <w:jc w:val="both"/>
        <w:rPr>
          <w:rFonts w:cstheme="minorHAnsi"/>
          <w:sz w:val="24"/>
          <w:szCs w:val="24"/>
        </w:rPr>
      </w:pPr>
    </w:p>
    <w:p w14:paraId="451BA72E" w14:textId="77777777" w:rsidR="003874FC" w:rsidRPr="007C22D3" w:rsidRDefault="00140089" w:rsidP="003874FC">
      <w:pPr>
        <w:autoSpaceDE w:val="0"/>
        <w:autoSpaceDN w:val="0"/>
        <w:adjustRightInd w:val="0"/>
        <w:jc w:val="both"/>
        <w:rPr>
          <w:rFonts w:cstheme="minorHAnsi"/>
          <w:iCs/>
          <w:sz w:val="24"/>
          <w:szCs w:val="24"/>
        </w:rPr>
      </w:pPr>
      <m:oMathPara>
        <m:oMath>
          <m:func>
            <m:funcPr>
              <m:ctrlPr>
                <w:rPr>
                  <w:rFonts w:ascii="Cambria Math" w:hAnsi="Cambria Math" w:cstheme="minorHAnsi"/>
                  <w:i/>
                  <w:sz w:val="24"/>
                  <w:szCs w:val="24"/>
                </w:rPr>
              </m:ctrlPr>
            </m:funcPr>
            <m:fName>
              <m:limLow>
                <m:limLowPr>
                  <m:ctrlPr>
                    <w:rPr>
                      <w:rFonts w:ascii="Cambria Math" w:hAnsi="Cambria Math" w:cstheme="minorHAnsi"/>
                      <w:i/>
                      <w:sz w:val="24"/>
                      <w:szCs w:val="24"/>
                    </w:rPr>
                  </m:ctrlPr>
                </m:limLowPr>
                <m:e>
                  <m:r>
                    <w:rPr>
                      <w:rFonts w:ascii="Cambria Math" w:hAnsi="Cambria Math" w:cstheme="minorHAnsi"/>
                      <w:sz w:val="24"/>
                      <w:szCs w:val="24"/>
                    </w:rPr>
                    <m:t>max</m:t>
                  </m:r>
                </m:e>
                <m:lim>
                  <m:r>
                    <w:rPr>
                      <w:rFonts w:ascii="Cambria Math" w:hAnsi="Cambria Math" w:cstheme="minorHAnsi"/>
                      <w:sz w:val="24"/>
                      <w:szCs w:val="24"/>
                    </w:rPr>
                    <m:t>C,F</m:t>
                  </m:r>
                </m:lim>
              </m:limLow>
            </m:fName>
            <m:e>
              <m:r>
                <w:rPr>
                  <w:rFonts w:ascii="Cambria Math" w:hAnsi="Cambria Math" w:cstheme="minorHAnsi"/>
                  <w:sz w:val="24"/>
                  <w:szCs w:val="24"/>
                </w:rPr>
                <m:t>U</m:t>
              </m:r>
              <m:d>
                <m:dPr>
                  <m:ctrlPr>
                    <w:rPr>
                      <w:rFonts w:ascii="Cambria Math" w:hAnsi="Cambria Math" w:cstheme="minorHAnsi"/>
                      <w:i/>
                      <w:sz w:val="24"/>
                      <w:szCs w:val="24"/>
                    </w:rPr>
                  </m:ctrlPr>
                </m:dPr>
                <m:e>
                  <m:r>
                    <w:rPr>
                      <w:rFonts w:ascii="Cambria Math" w:hAnsi="Cambria Math" w:cstheme="minorHAnsi"/>
                      <w:sz w:val="24"/>
                      <w:szCs w:val="24"/>
                    </w:rPr>
                    <m:t>C,F</m:t>
                  </m:r>
                </m:e>
              </m:d>
              <m:r>
                <w:rPr>
                  <w:rFonts w:ascii="Cambria Math" w:hAnsi="Cambria Math" w:cstheme="minorHAnsi"/>
                  <w:sz w:val="24"/>
                  <w:szCs w:val="24"/>
                </w:rPr>
                <m:t>=</m:t>
              </m:r>
              <m:sSup>
                <m:sSupPr>
                  <m:ctrlPr>
                    <w:rPr>
                      <w:rFonts w:ascii="Cambria Math" w:hAnsi="Cambria Math" w:cstheme="minorHAnsi"/>
                      <w:i/>
                      <w:sz w:val="24"/>
                      <w:szCs w:val="24"/>
                    </w:rPr>
                  </m:ctrlPr>
                </m:sSupPr>
                <m:e>
                  <m:d>
                    <m:dPr>
                      <m:begChr m:val="["/>
                      <m:endChr m:val="]"/>
                      <m:ctrlPr>
                        <w:rPr>
                          <w:rFonts w:ascii="Cambria Math" w:hAnsi="Cambria Math" w:cstheme="minorHAnsi"/>
                          <w:i/>
                          <w:sz w:val="24"/>
                          <w:szCs w:val="24"/>
                        </w:rPr>
                      </m:ctrlPr>
                    </m:dPr>
                    <m:e>
                      <m:sSup>
                        <m:sSupPr>
                          <m:ctrlPr>
                            <w:rPr>
                              <w:rFonts w:ascii="Cambria Math" w:hAnsi="Cambria Math" w:cstheme="minorHAnsi"/>
                              <w:i/>
                              <w:sz w:val="24"/>
                              <w:szCs w:val="24"/>
                            </w:rPr>
                          </m:ctrlPr>
                        </m:sSupPr>
                        <m:e>
                          <m:r>
                            <w:rPr>
                              <w:rFonts w:ascii="Cambria Math" w:hAnsi="Cambria Math" w:cstheme="minorHAnsi"/>
                              <w:sz w:val="24"/>
                              <w:szCs w:val="24"/>
                            </w:rPr>
                            <m:t>C</m:t>
                          </m:r>
                        </m:e>
                        <m:sup>
                          <m:r>
                            <w:rPr>
                              <w:rFonts w:ascii="Cambria Math" w:hAnsi="Cambria Math" w:cstheme="minorHAnsi"/>
                              <w:sz w:val="24"/>
                              <w:szCs w:val="24"/>
                            </w:rPr>
                            <m:t>∝</m:t>
                          </m:r>
                        </m:sup>
                      </m:sSup>
                      <m:sSup>
                        <m:sSupPr>
                          <m:ctrlPr>
                            <w:rPr>
                              <w:rFonts w:ascii="Cambria Math" w:hAnsi="Cambria Math" w:cstheme="minorHAnsi"/>
                              <w:i/>
                              <w:sz w:val="24"/>
                              <w:szCs w:val="24"/>
                            </w:rPr>
                          </m:ctrlPr>
                        </m:sSupPr>
                        <m:e>
                          <m:d>
                            <m:dPr>
                              <m:ctrlPr>
                                <w:rPr>
                                  <w:rFonts w:ascii="Cambria Math" w:hAnsi="Cambria Math" w:cstheme="minorHAnsi"/>
                                  <w:i/>
                                  <w:sz w:val="24"/>
                                  <w:szCs w:val="24"/>
                                </w:rPr>
                              </m:ctrlPr>
                            </m:dPr>
                            <m:e>
                              <m:nary>
                                <m:naryPr>
                                  <m:chr m:val="∑"/>
                                  <m:ctrlPr>
                                    <w:rPr>
                                      <w:rFonts w:ascii="Cambria Math" w:hAnsi="Cambria Math" w:cstheme="minorHAnsi"/>
                                      <w:i/>
                                      <w:sz w:val="24"/>
                                      <w:szCs w:val="24"/>
                                    </w:rPr>
                                  </m:ctrlPr>
                                </m:naryPr>
                                <m:sub>
                                  <m:r>
                                    <w:rPr>
                                      <w:rFonts w:ascii="Cambria Math" w:hAnsi="Cambria Math" w:cstheme="minorHAnsi"/>
                                      <w:sz w:val="24"/>
                                      <w:szCs w:val="24"/>
                                    </w:rPr>
                                    <m:t>f=1</m:t>
                                  </m:r>
                                </m:sub>
                                <m:sup>
                                  <m:sSub>
                                    <m:sSubPr>
                                      <m:ctrlPr>
                                        <w:rPr>
                                          <w:rFonts w:ascii="Cambria Math" w:hAnsi="Cambria Math" w:cstheme="minorHAnsi"/>
                                          <w:i/>
                                          <w:sz w:val="24"/>
                                          <w:szCs w:val="24"/>
                                        </w:rPr>
                                      </m:ctrlPr>
                                    </m:sSubPr>
                                    <m:e>
                                      <m:r>
                                        <w:rPr>
                                          <w:rFonts w:ascii="Cambria Math" w:hAnsi="Cambria Math" w:cstheme="minorHAnsi"/>
                                          <w:sz w:val="24"/>
                                          <w:szCs w:val="24"/>
                                        </w:rPr>
                                        <m:t>N</m:t>
                                      </m:r>
                                    </m:e>
                                    <m:sub>
                                      <m:r>
                                        <w:rPr>
                                          <w:rFonts w:ascii="Cambria Math" w:hAnsi="Cambria Math" w:cstheme="minorHAnsi"/>
                                          <w:sz w:val="24"/>
                                          <w:szCs w:val="24"/>
                                        </w:rPr>
                                        <m:t>f</m:t>
                                      </m:r>
                                    </m:sub>
                                  </m:sSub>
                                </m:sup>
                                <m:e>
                                  <m:sSub>
                                    <m:sSubPr>
                                      <m:ctrlPr>
                                        <w:rPr>
                                          <w:rFonts w:ascii="Cambria Math" w:hAnsi="Cambria Math" w:cstheme="minorHAnsi"/>
                                          <w:i/>
                                          <w:sz w:val="24"/>
                                          <w:szCs w:val="24"/>
                                        </w:rPr>
                                      </m:ctrlPr>
                                    </m:sSubPr>
                                    <m:e>
                                      <m:r>
                                        <w:rPr>
                                          <w:rFonts w:ascii="Cambria Math" w:hAnsi="Cambria Math" w:cstheme="minorHAnsi"/>
                                          <w:sz w:val="24"/>
                                          <w:szCs w:val="24"/>
                                        </w:rPr>
                                        <m:t>e</m:t>
                                      </m:r>
                                    </m:e>
                                    <m:sub>
                                      <m:r>
                                        <w:rPr>
                                          <w:rFonts w:ascii="Cambria Math" w:hAnsi="Cambria Math" w:cstheme="minorHAnsi"/>
                                          <w:sz w:val="24"/>
                                          <w:szCs w:val="24"/>
                                        </w:rPr>
                                        <m:t>f</m:t>
                                      </m:r>
                                    </m:sub>
                                  </m:sSub>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f</m:t>
                                      </m:r>
                                    </m:sub>
                                  </m:sSub>
                                </m:e>
                              </m:nary>
                            </m:e>
                          </m:d>
                        </m:e>
                        <m:sup>
                          <m:r>
                            <w:rPr>
                              <w:rFonts w:ascii="Cambria Math" w:hAnsi="Cambria Math" w:cstheme="minorHAnsi"/>
                              <w:sz w:val="24"/>
                              <w:szCs w:val="24"/>
                            </w:rPr>
                            <m:t>1-∝</m:t>
                          </m:r>
                        </m:sup>
                      </m:sSup>
                    </m:e>
                  </m:d>
                </m:e>
                <m:sup>
                  <m:r>
                    <w:rPr>
                      <w:rFonts w:ascii="Cambria Math" w:hAnsi="Cambria Math" w:cstheme="minorHAnsi"/>
                      <w:sz w:val="24"/>
                      <w:szCs w:val="24"/>
                    </w:rPr>
                    <m:t>γ</m:t>
                  </m:r>
                </m:sup>
              </m:sSup>
              <m:sSup>
                <m:sSupPr>
                  <m:ctrlPr>
                    <w:rPr>
                      <w:rFonts w:ascii="Cambria Math" w:hAnsi="Cambria Math" w:cstheme="minorHAnsi"/>
                      <w:i/>
                      <w:sz w:val="24"/>
                      <w:szCs w:val="24"/>
                    </w:rPr>
                  </m:ctrlPr>
                </m:sSupPr>
                <m:e>
                  <m:d>
                    <m:dPr>
                      <m:begChr m:val="["/>
                      <m:endChr m:val="]"/>
                      <m:ctrlPr>
                        <w:rPr>
                          <w:rFonts w:ascii="Cambria Math" w:hAnsi="Cambria Math" w:cstheme="minorHAnsi"/>
                          <w:i/>
                          <w:sz w:val="24"/>
                          <w:szCs w:val="24"/>
                        </w:rPr>
                      </m:ctrlPr>
                    </m:dPr>
                    <m:e>
                      <m:r>
                        <w:rPr>
                          <w:rFonts w:ascii="Cambria Math" w:hAnsi="Cambria Math" w:cstheme="minorHAnsi"/>
                          <w:sz w:val="24"/>
                          <w:szCs w:val="24"/>
                        </w:rPr>
                        <m:t>χ</m:t>
                      </m:r>
                      <m:d>
                        <m:dPr>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1</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F</m:t>
                              </m:r>
                            </m:e>
                            <m:sub>
                              <m:sSub>
                                <m:sSubPr>
                                  <m:ctrlPr>
                                    <w:rPr>
                                      <w:rFonts w:ascii="Cambria Math" w:hAnsi="Cambria Math" w:cstheme="minorHAnsi"/>
                                      <w:i/>
                                      <w:sz w:val="24"/>
                                      <w:szCs w:val="24"/>
                                    </w:rPr>
                                  </m:ctrlPr>
                                </m:sSubPr>
                                <m:e>
                                  <m:r>
                                    <w:rPr>
                                      <w:rFonts w:ascii="Cambria Math" w:hAnsi="Cambria Math" w:cstheme="minorHAnsi"/>
                                      <w:sz w:val="24"/>
                                      <w:szCs w:val="24"/>
                                    </w:rPr>
                                    <m:t>N</m:t>
                                  </m:r>
                                </m:e>
                                <m:sub>
                                  <m:r>
                                    <w:rPr>
                                      <w:rFonts w:ascii="Cambria Math" w:hAnsi="Cambria Math" w:cstheme="minorHAnsi"/>
                                      <w:sz w:val="24"/>
                                      <w:szCs w:val="24"/>
                                    </w:rPr>
                                    <m:t>f</m:t>
                                  </m:r>
                                </m:sub>
                              </m:sSub>
                            </m:sub>
                          </m:sSub>
                        </m:e>
                      </m:d>
                    </m:e>
                  </m:d>
                </m:e>
                <m:sup>
                  <m:r>
                    <w:rPr>
                      <w:rFonts w:ascii="Cambria Math" w:hAnsi="Cambria Math" w:cstheme="minorHAnsi"/>
                      <w:sz w:val="24"/>
                      <w:szCs w:val="24"/>
                    </w:rPr>
                    <m:t>1-γ</m:t>
                  </m:r>
                </m:sup>
              </m:sSup>
            </m:e>
          </m:func>
        </m:oMath>
      </m:oMathPara>
    </w:p>
    <w:p w14:paraId="50E97098" w14:textId="77777777" w:rsidR="003874FC" w:rsidRPr="007C22D3" w:rsidRDefault="003874FC" w:rsidP="003874FC">
      <w:pPr>
        <w:autoSpaceDE w:val="0"/>
        <w:autoSpaceDN w:val="0"/>
        <w:adjustRightInd w:val="0"/>
        <w:jc w:val="both"/>
        <w:rPr>
          <w:rFonts w:cstheme="minorHAnsi"/>
          <w:sz w:val="24"/>
          <w:szCs w:val="24"/>
        </w:rPr>
      </w:pPr>
      <w:proofErr w:type="spellStart"/>
      <w:r w:rsidRPr="007C22D3">
        <w:rPr>
          <w:rFonts w:cstheme="minorHAnsi"/>
          <w:sz w:val="24"/>
          <w:szCs w:val="24"/>
        </w:rPr>
        <w:t>s.t.</w:t>
      </w:r>
      <w:proofErr w:type="spellEnd"/>
    </w:p>
    <w:p w14:paraId="26914BBD" w14:textId="77777777" w:rsidR="003874FC" w:rsidRPr="007C22D3" w:rsidRDefault="00140089" w:rsidP="003874FC">
      <w:pPr>
        <w:autoSpaceDE w:val="0"/>
        <w:autoSpaceDN w:val="0"/>
        <w:adjustRightInd w:val="0"/>
        <w:jc w:val="both"/>
        <w:rPr>
          <w:rFonts w:eastAsiaTheme="minorEastAsia" w:cstheme="minorHAnsi"/>
          <w:i/>
          <w:sz w:val="24"/>
          <w:szCs w:val="24"/>
        </w:rPr>
      </w:pPr>
      <m:oMathPara>
        <m:oMath>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c</m:t>
              </m:r>
            </m:sub>
          </m:sSub>
          <m:r>
            <w:rPr>
              <w:rFonts w:ascii="Cambria Math" w:hAnsi="Cambria Math" w:cstheme="minorHAnsi"/>
              <w:sz w:val="24"/>
              <w:szCs w:val="24"/>
            </w:rPr>
            <m:t>C+</m:t>
          </m:r>
          <m:nary>
            <m:naryPr>
              <m:chr m:val="∑"/>
              <m:ctrlPr>
                <w:rPr>
                  <w:rFonts w:ascii="Cambria Math" w:hAnsi="Cambria Math" w:cstheme="minorHAnsi"/>
                  <w:i/>
                  <w:sz w:val="24"/>
                  <w:szCs w:val="24"/>
                </w:rPr>
              </m:ctrlPr>
            </m:naryPr>
            <m:sub>
              <m:r>
                <w:rPr>
                  <w:rFonts w:ascii="Cambria Math" w:hAnsi="Cambria Math" w:cstheme="minorHAnsi"/>
                  <w:sz w:val="24"/>
                  <w:szCs w:val="24"/>
                </w:rPr>
                <m:t>f=1</m:t>
              </m:r>
            </m:sub>
            <m:sup>
              <m:sSub>
                <m:sSubPr>
                  <m:ctrlPr>
                    <w:rPr>
                      <w:rFonts w:ascii="Cambria Math" w:hAnsi="Cambria Math" w:cstheme="minorHAnsi"/>
                      <w:i/>
                      <w:sz w:val="24"/>
                      <w:szCs w:val="24"/>
                    </w:rPr>
                  </m:ctrlPr>
                </m:sSubPr>
                <m:e>
                  <m:r>
                    <w:rPr>
                      <w:rFonts w:ascii="Cambria Math" w:hAnsi="Cambria Math" w:cstheme="minorHAnsi"/>
                      <w:sz w:val="24"/>
                      <w:szCs w:val="24"/>
                    </w:rPr>
                    <m:t>N</m:t>
                  </m:r>
                </m:e>
                <m:sub>
                  <m:r>
                    <w:rPr>
                      <w:rFonts w:ascii="Cambria Math" w:hAnsi="Cambria Math" w:cstheme="minorHAnsi"/>
                      <w:sz w:val="24"/>
                      <w:szCs w:val="24"/>
                    </w:rPr>
                    <m:t>f</m:t>
                  </m:r>
                </m:sub>
              </m:sSub>
            </m:sup>
            <m:e>
              <m:d>
                <m:dPr>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f</m:t>
                      </m:r>
                    </m:sub>
                  </m:sSub>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f</m:t>
                      </m:r>
                    </m:sub>
                  </m:sSub>
                  <m:r>
                    <w:rPr>
                      <w:rFonts w:ascii="Cambria Math" w:hAnsi="Cambria Math" w:cstheme="minorHAnsi"/>
                      <w:sz w:val="24"/>
                      <w:szCs w:val="24"/>
                    </w:rPr>
                    <m:t>+</m:t>
                  </m:r>
                  <m:sSub>
                    <m:sSubPr>
                      <m:ctrlPr>
                        <w:rPr>
                          <w:rFonts w:ascii="Cambria Math" w:hAnsi="Cambria Math" w:cstheme="minorHAnsi"/>
                          <w:i/>
                          <w:sz w:val="24"/>
                          <w:szCs w:val="24"/>
                        </w:rPr>
                      </m:ctrlPr>
                    </m:sSubPr>
                    <m:e>
                      <m:r>
                        <m:rPr>
                          <m:scr m:val="double-struck"/>
                        </m:rPr>
                        <w:rPr>
                          <w:rFonts w:ascii="Cambria Math" w:hAnsi="Cambria Math" w:cstheme="minorHAnsi"/>
                          <w:sz w:val="24"/>
                          <w:szCs w:val="24"/>
                        </w:rPr>
                        <m:t>A</m:t>
                      </m:r>
                    </m:e>
                    <m:sub>
                      <m:r>
                        <w:rPr>
                          <w:rFonts w:ascii="Cambria Math" w:hAnsi="Cambria Math" w:cstheme="minorHAnsi"/>
                          <w:sz w:val="24"/>
                          <w:szCs w:val="24"/>
                        </w:rPr>
                        <m:t>f</m:t>
                      </m:r>
                    </m:sub>
                  </m:sSub>
                </m:e>
              </m:d>
              <m:r>
                <w:rPr>
                  <w:rFonts w:ascii="Cambria Math" w:hAnsi="Cambria Math" w:cstheme="minorHAnsi"/>
                  <w:sz w:val="24"/>
                  <w:szCs w:val="24"/>
                </w:rPr>
                <m:t>=I</m:t>
              </m:r>
            </m:e>
          </m:nary>
        </m:oMath>
      </m:oMathPara>
    </w:p>
    <w:p w14:paraId="4BEFD771" w14:textId="388F2EEE" w:rsidR="00D9174D" w:rsidRDefault="00000A4B" w:rsidP="007C22D3">
      <w:pPr>
        <w:autoSpaceDE w:val="0"/>
        <w:autoSpaceDN w:val="0"/>
        <w:adjustRightInd w:val="0"/>
        <w:jc w:val="center"/>
        <w:rPr>
          <w:rFonts w:cstheme="minorHAnsi"/>
          <w:sz w:val="24"/>
          <w:szCs w:val="24"/>
        </w:rPr>
      </w:pPr>
      <m:oMathPara>
        <m:oMath>
          <m:r>
            <w:rPr>
              <w:rFonts w:ascii="Cambria Math" w:hAnsi="Cambria Math" w:cstheme="minorHAnsi"/>
              <w:sz w:val="24"/>
              <w:szCs w:val="24"/>
            </w:rPr>
            <m:t>C,</m:t>
          </m:r>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f</m:t>
              </m:r>
            </m:sub>
          </m:sSub>
          <m:r>
            <w:rPr>
              <w:rFonts w:ascii="Cambria Math" w:hAnsi="Cambria Math" w:cs="Courier New"/>
              <w:sz w:val="24"/>
              <w:szCs w:val="24"/>
            </w:rPr>
            <m:t>≥</m:t>
          </m:r>
          <m:r>
            <w:rPr>
              <w:rFonts w:ascii="Cambria Math" w:hAnsi="Cambria Math" w:cstheme="minorHAnsi"/>
              <w:sz w:val="24"/>
              <w:szCs w:val="24"/>
            </w:rPr>
            <m:t>0</m:t>
          </m:r>
        </m:oMath>
      </m:oMathPara>
    </w:p>
    <w:p w14:paraId="7E2B0BEC" w14:textId="5475616E" w:rsidR="00D9174D" w:rsidRDefault="00D9174D" w:rsidP="00C26DC7">
      <w:pPr>
        <w:autoSpaceDE w:val="0"/>
        <w:autoSpaceDN w:val="0"/>
        <w:adjustRightInd w:val="0"/>
        <w:jc w:val="both"/>
        <w:rPr>
          <w:rFonts w:cstheme="minorHAnsi"/>
          <w:sz w:val="24"/>
          <w:szCs w:val="24"/>
        </w:rPr>
      </w:pPr>
    </w:p>
    <w:p w14:paraId="71E29D87" w14:textId="5A870503" w:rsidR="00D9174D" w:rsidRDefault="00D9174D" w:rsidP="00D9174D">
      <w:pPr>
        <w:autoSpaceDE w:val="0"/>
        <w:autoSpaceDN w:val="0"/>
        <w:adjustRightInd w:val="0"/>
        <w:jc w:val="both"/>
        <w:rPr>
          <w:rFonts w:cstheme="minorHAnsi"/>
          <w:sz w:val="24"/>
          <w:szCs w:val="24"/>
        </w:rPr>
      </w:pPr>
      <w:r w:rsidRPr="00D9174D">
        <w:rPr>
          <w:rFonts w:cstheme="minorHAnsi"/>
          <w:sz w:val="24"/>
          <w:szCs w:val="24"/>
        </w:rPr>
        <w:t xml:space="preserve">where </w:t>
      </w:r>
      <m:oMath>
        <m:r>
          <w:rPr>
            <w:rFonts w:ascii="Cambria Math" w:hAnsi="Cambria Math" w:cstheme="minorHAnsi"/>
            <w:sz w:val="24"/>
            <w:szCs w:val="24"/>
          </w:rPr>
          <m:t>C</m:t>
        </m:r>
      </m:oMath>
      <w:r w:rsidRPr="00D9174D">
        <w:rPr>
          <w:rFonts w:cstheme="minorHAnsi"/>
          <w:sz w:val="24"/>
          <w:szCs w:val="24"/>
        </w:rPr>
        <w:t xml:space="preserve"> is consumption of items other than cooking fuels, </w:t>
      </w:r>
      <m:oMath>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c</m:t>
            </m:r>
          </m:sub>
        </m:sSub>
      </m:oMath>
      <w:r w:rsidRPr="00D9174D">
        <w:rPr>
          <w:rFonts w:cstheme="minorHAnsi"/>
          <w:sz w:val="24"/>
          <w:szCs w:val="24"/>
        </w:rPr>
        <w:t xml:space="preserve"> is the price of other consumption</w:t>
      </w:r>
      <w:r w:rsidR="00FF7153">
        <w:rPr>
          <w:rFonts w:cstheme="minorHAnsi"/>
          <w:sz w:val="24"/>
          <w:szCs w:val="24"/>
        </w:rPr>
        <w:t xml:space="preserve"> </w:t>
      </w:r>
      <w:r w:rsidRPr="00D9174D">
        <w:rPr>
          <w:rFonts w:cstheme="minorHAnsi"/>
          <w:sz w:val="24"/>
          <w:szCs w:val="24"/>
        </w:rPr>
        <w:t xml:space="preserve">goods, </w:t>
      </w:r>
      <m:oMath>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f</m:t>
            </m:r>
          </m:sub>
        </m:sSub>
      </m:oMath>
      <w:r w:rsidRPr="00D9174D">
        <w:rPr>
          <w:rFonts w:cstheme="minorHAnsi"/>
          <w:sz w:val="24"/>
          <w:szCs w:val="24"/>
        </w:rPr>
        <w:t xml:space="preserve"> is the price of cooking fuel </w:t>
      </w:r>
      <m:oMath>
        <m:r>
          <w:rPr>
            <w:rFonts w:ascii="Cambria Math" w:hAnsi="Cambria Math" w:cstheme="minorHAnsi"/>
            <w:sz w:val="24"/>
            <w:szCs w:val="24"/>
          </w:rPr>
          <m:t>f</m:t>
        </m:r>
      </m:oMath>
      <w:r w:rsidRPr="00D9174D">
        <w:rPr>
          <w:rFonts w:cstheme="minorHAnsi"/>
          <w:sz w:val="24"/>
          <w:szCs w:val="24"/>
        </w:rPr>
        <w:t xml:space="preserve">, </w:t>
      </w:r>
      <m:oMath>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f</m:t>
            </m:r>
          </m:sub>
        </m:sSub>
      </m:oMath>
      <w:r w:rsidRPr="00D9174D">
        <w:rPr>
          <w:rFonts w:cstheme="minorHAnsi"/>
          <w:sz w:val="24"/>
          <w:szCs w:val="24"/>
        </w:rPr>
        <w:t xml:space="preserve"> is the consumption of cooking fuel </w:t>
      </w:r>
      <m:oMath>
        <m:r>
          <w:rPr>
            <w:rFonts w:ascii="Cambria Math" w:hAnsi="Cambria Math" w:cstheme="minorHAnsi"/>
            <w:sz w:val="24"/>
            <w:szCs w:val="24"/>
          </w:rPr>
          <m:t>f</m:t>
        </m:r>
      </m:oMath>
      <w:r w:rsidRPr="00D9174D">
        <w:rPr>
          <w:rFonts w:cstheme="minorHAnsi"/>
          <w:sz w:val="24"/>
          <w:szCs w:val="24"/>
        </w:rPr>
        <w:t xml:space="preserve">, </w:t>
      </w:r>
      <m:oMath>
        <m:sSub>
          <m:sSubPr>
            <m:ctrlPr>
              <w:rPr>
                <w:rFonts w:ascii="Cambria Math" w:hAnsi="Cambria Math" w:cstheme="minorHAnsi"/>
                <w:i/>
                <w:sz w:val="24"/>
                <w:szCs w:val="24"/>
              </w:rPr>
            </m:ctrlPr>
          </m:sSubPr>
          <m:e>
            <m:r>
              <m:rPr>
                <m:scr m:val="double-struck"/>
              </m:rPr>
              <w:rPr>
                <w:rFonts w:ascii="Cambria Math" w:hAnsi="Cambria Math" w:cstheme="minorHAnsi"/>
                <w:sz w:val="24"/>
                <w:szCs w:val="24"/>
              </w:rPr>
              <m:t>A</m:t>
            </m:r>
          </m:e>
          <m:sub>
            <m:r>
              <w:rPr>
                <w:rFonts w:ascii="Cambria Math" w:hAnsi="Cambria Math" w:cstheme="minorHAnsi"/>
                <w:sz w:val="24"/>
                <w:szCs w:val="24"/>
              </w:rPr>
              <m:t>f</m:t>
            </m:r>
          </m:sub>
        </m:sSub>
      </m:oMath>
      <w:r w:rsidRPr="00D9174D">
        <w:rPr>
          <w:rFonts w:cstheme="minorHAnsi"/>
          <w:sz w:val="24"/>
          <w:szCs w:val="24"/>
        </w:rPr>
        <w:t xml:space="preserve"> is an annualized representation of the cost of a cooking stove of fuel </w:t>
      </w:r>
      <m:oMath>
        <m:r>
          <w:rPr>
            <w:rFonts w:ascii="Cambria Math" w:hAnsi="Cambria Math" w:cstheme="minorHAnsi"/>
            <w:sz w:val="24"/>
            <w:szCs w:val="24"/>
          </w:rPr>
          <m:t>f</m:t>
        </m:r>
      </m:oMath>
      <w:r w:rsidRPr="00D9174D">
        <w:rPr>
          <w:rFonts w:cstheme="minorHAnsi"/>
          <w:sz w:val="24"/>
          <w:szCs w:val="24"/>
        </w:rPr>
        <w:t xml:space="preserve">, </w:t>
      </w:r>
      <m:oMath>
        <m:r>
          <w:rPr>
            <w:rFonts w:ascii="Cambria Math" w:hAnsi="Cambria Math" w:cstheme="minorHAnsi"/>
            <w:sz w:val="24"/>
            <w:szCs w:val="24"/>
          </w:rPr>
          <m:t>I</m:t>
        </m:r>
      </m:oMath>
      <w:r w:rsidRPr="00D9174D">
        <w:rPr>
          <w:rFonts w:cstheme="minorHAnsi"/>
          <w:sz w:val="24"/>
          <w:szCs w:val="24"/>
        </w:rPr>
        <w:t xml:space="preserve"> is household expenditure and</w:t>
      </w:r>
      <w:r w:rsidR="00FF7153">
        <w:rPr>
          <w:rFonts w:cstheme="minorHAnsi"/>
          <w:sz w:val="24"/>
          <w:szCs w:val="24"/>
        </w:rPr>
        <w:t xml:space="preserve"> </w:t>
      </w:r>
      <m:oMath>
        <m:r>
          <w:rPr>
            <w:rFonts w:ascii="Cambria Math" w:hAnsi="Cambria Math" w:cstheme="minorHAnsi"/>
            <w:sz w:val="24"/>
            <w:szCs w:val="24"/>
          </w:rPr>
          <m:t>χ</m:t>
        </m:r>
        <m:d>
          <m:dPr>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1</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F</m:t>
                </m:r>
              </m:e>
              <m:sub>
                <m:sSub>
                  <m:sSubPr>
                    <m:ctrlPr>
                      <w:rPr>
                        <w:rFonts w:ascii="Cambria Math" w:hAnsi="Cambria Math" w:cstheme="minorHAnsi"/>
                        <w:i/>
                        <w:sz w:val="24"/>
                        <w:szCs w:val="24"/>
                      </w:rPr>
                    </m:ctrlPr>
                  </m:sSubPr>
                  <m:e>
                    <m:r>
                      <w:rPr>
                        <w:rFonts w:ascii="Cambria Math" w:hAnsi="Cambria Math" w:cstheme="minorHAnsi"/>
                        <w:sz w:val="24"/>
                        <w:szCs w:val="24"/>
                      </w:rPr>
                      <m:t>N</m:t>
                    </m:r>
                  </m:e>
                  <m:sub>
                    <m:r>
                      <w:rPr>
                        <w:rFonts w:ascii="Cambria Math" w:hAnsi="Cambria Math" w:cstheme="minorHAnsi"/>
                        <w:sz w:val="24"/>
                        <w:szCs w:val="24"/>
                      </w:rPr>
                      <m:t>f</m:t>
                    </m:r>
                  </m:sub>
                </m:sSub>
              </m:sub>
            </m:sSub>
          </m:e>
        </m:d>
      </m:oMath>
      <w:r w:rsidR="002B2C6D">
        <w:rPr>
          <w:rFonts w:cstheme="minorHAnsi"/>
          <w:sz w:val="24"/>
          <w:szCs w:val="24"/>
        </w:rPr>
        <w:t xml:space="preserve"> </w:t>
      </w:r>
      <w:r w:rsidRPr="00D9174D">
        <w:rPr>
          <w:rFonts w:cstheme="minorHAnsi"/>
          <w:sz w:val="24"/>
          <w:szCs w:val="24"/>
        </w:rPr>
        <w:t xml:space="preserve">is a function that represents preference shifts for reasons other </w:t>
      </w:r>
      <w:r w:rsidR="002B2C6D">
        <w:rPr>
          <w:rFonts w:cstheme="minorHAnsi"/>
          <w:sz w:val="24"/>
          <w:szCs w:val="24"/>
        </w:rPr>
        <w:t>t</w:t>
      </w:r>
      <w:r w:rsidRPr="00D9174D">
        <w:rPr>
          <w:rFonts w:cstheme="minorHAnsi"/>
          <w:sz w:val="24"/>
          <w:szCs w:val="24"/>
        </w:rPr>
        <w:t>han the consumption</w:t>
      </w:r>
      <w:r w:rsidR="002B2C6D">
        <w:rPr>
          <w:rFonts w:cstheme="minorHAnsi"/>
          <w:sz w:val="24"/>
          <w:szCs w:val="24"/>
        </w:rPr>
        <w:t xml:space="preserve"> </w:t>
      </w:r>
      <w:r w:rsidRPr="00D9174D">
        <w:rPr>
          <w:rFonts w:cstheme="minorHAnsi"/>
          <w:sz w:val="24"/>
          <w:szCs w:val="24"/>
        </w:rPr>
        <w:t>of the fuel, such as time savings or health impacts.</w:t>
      </w:r>
    </w:p>
    <w:p w14:paraId="3F94759D" w14:textId="2AA1F7C7" w:rsidR="002B2C6D" w:rsidRPr="00D9174D" w:rsidRDefault="00610280" w:rsidP="00D9174D">
      <w:pPr>
        <w:autoSpaceDE w:val="0"/>
        <w:autoSpaceDN w:val="0"/>
        <w:adjustRightInd w:val="0"/>
        <w:jc w:val="both"/>
        <w:rPr>
          <w:rFonts w:cstheme="minorHAnsi"/>
          <w:sz w:val="24"/>
          <w:szCs w:val="24"/>
        </w:rPr>
      </w:pPr>
      <w:r>
        <w:rPr>
          <w:rFonts w:cstheme="minorHAnsi"/>
          <w:sz w:val="24"/>
          <w:szCs w:val="24"/>
        </w:rPr>
        <w:t xml:space="preserve"> </w:t>
      </w:r>
    </w:p>
    <w:p w14:paraId="3627AD2D" w14:textId="3E6342B8" w:rsidR="00D9174D" w:rsidRDefault="00D9174D" w:rsidP="00D9174D">
      <w:pPr>
        <w:autoSpaceDE w:val="0"/>
        <w:autoSpaceDN w:val="0"/>
        <w:adjustRightInd w:val="0"/>
        <w:jc w:val="both"/>
        <w:rPr>
          <w:rFonts w:cstheme="minorHAnsi"/>
          <w:sz w:val="24"/>
          <w:szCs w:val="24"/>
        </w:rPr>
      </w:pPr>
      <w:r w:rsidRPr="00D9174D">
        <w:rPr>
          <w:rFonts w:cstheme="minorHAnsi"/>
          <w:sz w:val="24"/>
          <w:szCs w:val="24"/>
        </w:rPr>
        <w:t xml:space="preserve">The unobserved preference parameters of the model </w:t>
      </w:r>
      <m:oMath>
        <m:d>
          <m:dPr>
            <m:ctrlPr>
              <w:rPr>
                <w:rFonts w:ascii="Cambria Math" w:hAnsi="Cambria Math" w:cstheme="minorHAnsi"/>
                <w:i/>
                <w:sz w:val="24"/>
                <w:szCs w:val="24"/>
              </w:rPr>
            </m:ctrlPr>
          </m:dPr>
          <m:e>
            <m:r>
              <w:rPr>
                <w:rFonts w:ascii="Cambria Math" w:hAnsi="Cambria Math" w:cstheme="minorHAnsi"/>
              </w:rPr>
              <m:t xml:space="preserve">α, γ, </m:t>
            </m:r>
            <m:r>
              <m:rPr>
                <m:scr m:val="double-struck"/>
              </m:rPr>
              <w:rPr>
                <w:rFonts w:ascii="Cambria Math" w:hAnsi="Cambria Math" w:cstheme="minorHAnsi"/>
              </w:rPr>
              <m:t xml:space="preserve">K, </m:t>
            </m:r>
            <m:sSub>
              <m:sSubPr>
                <m:ctrlPr>
                  <w:rPr>
                    <w:rFonts w:ascii="Cambria Math" w:hAnsi="Cambria Math" w:cstheme="minorHAnsi"/>
                    <w:i/>
                  </w:rPr>
                </m:ctrlPr>
              </m:sSubPr>
              <m:e>
                <m:r>
                  <w:rPr>
                    <w:rFonts w:ascii="Cambria Math" w:hAnsi="Cambria Math" w:cstheme="minorHAnsi"/>
                  </w:rPr>
                  <m:t>δ</m:t>
                </m:r>
              </m:e>
              <m:sub>
                <m:r>
                  <w:rPr>
                    <w:rFonts w:ascii="Cambria Math" w:hAnsi="Cambria Math" w:cstheme="minorHAnsi"/>
                  </w:rPr>
                  <m:t>1f</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δ</m:t>
                </m:r>
              </m:e>
              <m:sub>
                <m:r>
                  <w:rPr>
                    <w:rFonts w:ascii="Cambria Math" w:hAnsi="Cambria Math" w:cstheme="minorHAnsi"/>
                  </w:rPr>
                  <m:t>2f</m:t>
                </m:r>
              </m:sub>
            </m:sSub>
          </m:e>
        </m:d>
        <m:r>
          <w:rPr>
            <w:rFonts w:ascii="Cambria Math" w:hAnsi="Cambria Math" w:cstheme="minorHAnsi"/>
            <w:sz w:val="24"/>
            <w:szCs w:val="24"/>
          </w:rPr>
          <m:t xml:space="preserve"> </m:t>
        </m:r>
      </m:oMath>
      <w:r w:rsidRPr="00D9174D">
        <w:rPr>
          <w:rFonts w:cstheme="minorHAnsi"/>
          <w:sz w:val="24"/>
          <w:szCs w:val="24"/>
        </w:rPr>
        <w:t>are backed-out from</w:t>
      </w:r>
      <w:r w:rsidR="00501BED">
        <w:rPr>
          <w:rFonts w:cstheme="minorHAnsi"/>
          <w:sz w:val="24"/>
          <w:szCs w:val="24"/>
        </w:rPr>
        <w:t xml:space="preserve"> </w:t>
      </w:r>
      <w:r w:rsidRPr="00D9174D">
        <w:rPr>
          <w:rFonts w:cstheme="minorHAnsi"/>
          <w:sz w:val="24"/>
          <w:szCs w:val="24"/>
        </w:rPr>
        <w:t>empirical data using the Method of Simulated Moments (MSM)</w:t>
      </w:r>
      <w:r w:rsidR="005F594A">
        <w:rPr>
          <w:rFonts w:cstheme="minorHAnsi"/>
          <w:sz w:val="24"/>
          <w:szCs w:val="24"/>
        </w:rPr>
        <w:fldChar w:fldCharType="begin" w:fldLock="1"/>
      </w:r>
      <w:r w:rsidR="00423D10">
        <w:rPr>
          <w:rFonts w:cstheme="minorHAnsi"/>
          <w:sz w:val="24"/>
          <w:szCs w:val="24"/>
        </w:rPr>
        <w:instrText>ADDIN CSL_CITATION {"citationItems":[{"id":"ITEM-1","itemData":{"ISSN":"00129682, 14680262","author":[{"dropping-particle":"","family":"McFadden","given":"Daniel","non-dropping-particle":"","parse-names":false,"suffix":""}],"container-title":"Econometrica","id":"ITEM-1","issue":"5","issued":{"date-parts":[["1989"]]},"page":"995-1026","publisher":"[Wiley, Econometric Society]","title":"A Method of Simulated Moments for Estimation of Discrete Response Models Without Numerical Integration","type":"article-journal","volume":"57"},"uris":["http://www.mendeley.com/documents/?uuid=f27ec1a3-7c04-3cb6-b3c2-34d14acd8fb9"]}],"mendeley":{"formattedCitation":"&lt;sup&gt;43&lt;/sup&gt;","plainTextFormattedCitation":"43","previouslyFormattedCitation":"&lt;sup&gt;43&lt;/sup&gt;"},"properties":{"noteIndex":0},"schema":"https://github.com/citation-style-language/schema/raw/master/csl-citation.json"}</w:instrText>
      </w:r>
      <w:r w:rsidR="005F594A">
        <w:rPr>
          <w:rFonts w:cstheme="minorHAnsi"/>
          <w:sz w:val="24"/>
          <w:szCs w:val="24"/>
        </w:rPr>
        <w:fldChar w:fldCharType="separate"/>
      </w:r>
      <w:r w:rsidR="00423D10" w:rsidRPr="00423D10">
        <w:rPr>
          <w:rFonts w:cstheme="minorHAnsi"/>
          <w:noProof/>
          <w:sz w:val="24"/>
          <w:szCs w:val="24"/>
          <w:vertAlign w:val="superscript"/>
        </w:rPr>
        <w:t>43</w:t>
      </w:r>
      <w:r w:rsidR="005F594A">
        <w:rPr>
          <w:rFonts w:cstheme="minorHAnsi"/>
          <w:sz w:val="24"/>
          <w:szCs w:val="24"/>
        </w:rPr>
        <w:fldChar w:fldCharType="end"/>
      </w:r>
      <w:r w:rsidRPr="00D9174D">
        <w:rPr>
          <w:rFonts w:cstheme="minorHAnsi"/>
          <w:sz w:val="24"/>
          <w:szCs w:val="24"/>
        </w:rPr>
        <w:t>, a simulation-based estimation</w:t>
      </w:r>
      <w:r w:rsidR="00951DCA">
        <w:rPr>
          <w:rFonts w:cstheme="minorHAnsi"/>
          <w:sz w:val="24"/>
          <w:szCs w:val="24"/>
        </w:rPr>
        <w:t xml:space="preserve"> </w:t>
      </w:r>
      <w:r w:rsidRPr="00D9174D">
        <w:rPr>
          <w:rFonts w:cstheme="minorHAnsi"/>
          <w:sz w:val="24"/>
          <w:szCs w:val="24"/>
        </w:rPr>
        <w:t xml:space="preserve">procedure which seeks to identify numerical parameter values that match a set of selected moments from the empirical data with the same set of moments computed from the </w:t>
      </w:r>
      <w:r w:rsidR="00951DCA">
        <w:rPr>
          <w:rFonts w:cstheme="minorHAnsi"/>
          <w:sz w:val="24"/>
          <w:szCs w:val="24"/>
        </w:rPr>
        <w:t>s</w:t>
      </w:r>
      <w:r w:rsidRPr="00D9174D">
        <w:rPr>
          <w:rFonts w:cstheme="minorHAnsi"/>
          <w:sz w:val="24"/>
          <w:szCs w:val="24"/>
        </w:rPr>
        <w:t>imulated dataset</w:t>
      </w:r>
      <w:r w:rsidR="00951DCA">
        <w:rPr>
          <w:rFonts w:cstheme="minorHAnsi"/>
          <w:sz w:val="24"/>
          <w:szCs w:val="24"/>
        </w:rPr>
        <w:t xml:space="preserve"> </w:t>
      </w:r>
      <w:r w:rsidRPr="00D9174D">
        <w:rPr>
          <w:rFonts w:cstheme="minorHAnsi"/>
          <w:sz w:val="24"/>
          <w:szCs w:val="24"/>
        </w:rPr>
        <w:t>of individuals with similar characteristics to their empirical counterparts in the data, whose fuel</w:t>
      </w:r>
      <w:r w:rsidR="00951DCA">
        <w:rPr>
          <w:rFonts w:cstheme="minorHAnsi"/>
          <w:sz w:val="24"/>
          <w:szCs w:val="24"/>
        </w:rPr>
        <w:t xml:space="preserve"> </w:t>
      </w:r>
      <w:r w:rsidRPr="00D9174D">
        <w:rPr>
          <w:rFonts w:cstheme="minorHAnsi"/>
          <w:sz w:val="24"/>
          <w:szCs w:val="24"/>
        </w:rPr>
        <w:t>choices are then determined using the model described above.</w:t>
      </w:r>
    </w:p>
    <w:p w14:paraId="7E0C6669" w14:textId="3CC1D61C" w:rsidR="00361649" w:rsidRDefault="00361649" w:rsidP="00D9174D">
      <w:pPr>
        <w:autoSpaceDE w:val="0"/>
        <w:autoSpaceDN w:val="0"/>
        <w:adjustRightInd w:val="0"/>
        <w:jc w:val="both"/>
        <w:rPr>
          <w:rFonts w:cstheme="minorHAnsi"/>
          <w:sz w:val="24"/>
          <w:szCs w:val="24"/>
        </w:rPr>
      </w:pPr>
    </w:p>
    <w:p w14:paraId="733FD5B2" w14:textId="3CB780CF" w:rsidR="00361649" w:rsidRDefault="00361649" w:rsidP="00361649">
      <w:pPr>
        <w:autoSpaceDE w:val="0"/>
        <w:autoSpaceDN w:val="0"/>
        <w:adjustRightInd w:val="0"/>
        <w:jc w:val="both"/>
        <w:rPr>
          <w:sz w:val="24"/>
          <w:szCs w:val="24"/>
        </w:rPr>
      </w:pPr>
      <w:r w:rsidRPr="00361649">
        <w:rPr>
          <w:rFonts w:cstheme="minorHAnsi"/>
          <w:sz w:val="24"/>
          <w:szCs w:val="24"/>
        </w:rPr>
        <w:t xml:space="preserve">The parameter estimation was performed independently for each region. </w:t>
      </w:r>
      <w:r w:rsidR="00FD3A8D" w:rsidRPr="00361649">
        <w:rPr>
          <w:rFonts w:cstheme="minorHAnsi"/>
          <w:sz w:val="24"/>
          <w:szCs w:val="24"/>
        </w:rPr>
        <w:t>To</w:t>
      </w:r>
      <w:r w:rsidR="00FD3A8D">
        <w:rPr>
          <w:rFonts w:cstheme="minorHAnsi"/>
          <w:sz w:val="24"/>
          <w:szCs w:val="24"/>
        </w:rPr>
        <w:t xml:space="preserve"> </w:t>
      </w:r>
      <w:r w:rsidRPr="39BF59DC">
        <w:rPr>
          <w:sz w:val="24"/>
          <w:szCs w:val="24"/>
        </w:rPr>
        <w:t xml:space="preserve">be representative, several sources of data were used for regions with very heterogeneous realities (e.g., urbanization rates, natural environments, supply of and accessibility to different cooking fuels and technologies). The </w:t>
      </w:r>
      <w:r w:rsidR="005C5038" w:rsidRPr="39BF59DC">
        <w:rPr>
          <w:sz w:val="24"/>
          <w:szCs w:val="24"/>
        </w:rPr>
        <w:t>fi</w:t>
      </w:r>
      <w:r w:rsidRPr="39BF59DC">
        <w:rPr>
          <w:sz w:val="24"/>
          <w:szCs w:val="24"/>
        </w:rPr>
        <w:t xml:space="preserve">t of the model can be seen graphically in </w:t>
      </w:r>
      <w:r w:rsidR="006B22C1" w:rsidRPr="39BF59DC">
        <w:rPr>
          <w:sz w:val="24"/>
          <w:szCs w:val="24"/>
        </w:rPr>
        <w:t xml:space="preserve">Supplementary </w:t>
      </w:r>
      <w:r w:rsidR="005C5038" w:rsidRPr="39BF59DC">
        <w:rPr>
          <w:sz w:val="24"/>
          <w:szCs w:val="24"/>
        </w:rPr>
        <w:t>F</w:t>
      </w:r>
      <w:r w:rsidRPr="39BF59DC">
        <w:rPr>
          <w:sz w:val="24"/>
          <w:szCs w:val="24"/>
        </w:rPr>
        <w:t xml:space="preserve">igure </w:t>
      </w:r>
      <w:r w:rsidR="006F3037">
        <w:rPr>
          <w:sz w:val="24"/>
          <w:szCs w:val="24"/>
        </w:rPr>
        <w:t>S2</w:t>
      </w:r>
      <w:r w:rsidRPr="39BF59DC">
        <w:rPr>
          <w:sz w:val="24"/>
          <w:szCs w:val="24"/>
        </w:rPr>
        <w:t>.</w:t>
      </w:r>
      <w:r w:rsidR="005C5038" w:rsidRPr="39BF59DC">
        <w:rPr>
          <w:sz w:val="24"/>
          <w:szCs w:val="24"/>
        </w:rPr>
        <w:t xml:space="preserve"> </w:t>
      </w:r>
      <w:r w:rsidRPr="39BF59DC">
        <w:rPr>
          <w:sz w:val="24"/>
          <w:szCs w:val="24"/>
        </w:rPr>
        <w:t>Naturally, regions that present non-smooth distributions of cooking fuels over income are harder</w:t>
      </w:r>
      <w:r w:rsidR="005C5038" w:rsidRPr="39BF59DC">
        <w:rPr>
          <w:sz w:val="24"/>
          <w:szCs w:val="24"/>
        </w:rPr>
        <w:t xml:space="preserve"> </w:t>
      </w:r>
      <w:r w:rsidRPr="39BF59DC">
        <w:rPr>
          <w:sz w:val="24"/>
          <w:szCs w:val="24"/>
        </w:rPr>
        <w:t>to match (</w:t>
      </w:r>
      <w:r w:rsidR="00E21429" w:rsidRPr="39BF59DC">
        <w:rPr>
          <w:sz w:val="24"/>
          <w:szCs w:val="24"/>
        </w:rPr>
        <w:t>i.e.,</w:t>
      </w:r>
      <w:r w:rsidRPr="39BF59DC">
        <w:rPr>
          <w:sz w:val="24"/>
          <w:szCs w:val="24"/>
        </w:rPr>
        <w:t xml:space="preserve"> CPA, LAM and PAS). Overall, the observed trends over income are appropriately</w:t>
      </w:r>
      <w:r w:rsidR="005C5038" w:rsidRPr="39BF59DC">
        <w:rPr>
          <w:sz w:val="24"/>
          <w:szCs w:val="24"/>
        </w:rPr>
        <w:t xml:space="preserve"> </w:t>
      </w:r>
      <w:r w:rsidRPr="39BF59DC">
        <w:rPr>
          <w:sz w:val="24"/>
          <w:szCs w:val="24"/>
        </w:rPr>
        <w:t xml:space="preserve">captured by the model. The full set of matched moments are presented in </w:t>
      </w:r>
      <w:r w:rsidR="004B6BD4" w:rsidRPr="39BF59DC">
        <w:rPr>
          <w:sz w:val="24"/>
          <w:szCs w:val="24"/>
        </w:rPr>
        <w:t xml:space="preserve">Supplementary </w:t>
      </w:r>
      <w:r w:rsidR="79A48D68" w:rsidRPr="39BF59DC">
        <w:rPr>
          <w:sz w:val="24"/>
          <w:szCs w:val="24"/>
        </w:rPr>
        <w:t>Data File</w:t>
      </w:r>
      <w:r w:rsidRPr="39BF59DC">
        <w:rPr>
          <w:sz w:val="24"/>
          <w:szCs w:val="24"/>
        </w:rPr>
        <w:t>.</w:t>
      </w:r>
    </w:p>
    <w:p w14:paraId="239090FE" w14:textId="7C172BCC" w:rsidR="00822F9A" w:rsidRDefault="00822F9A" w:rsidP="00361649">
      <w:pPr>
        <w:autoSpaceDE w:val="0"/>
        <w:autoSpaceDN w:val="0"/>
        <w:adjustRightInd w:val="0"/>
        <w:jc w:val="both"/>
        <w:rPr>
          <w:rFonts w:cstheme="minorHAnsi"/>
          <w:sz w:val="24"/>
          <w:szCs w:val="24"/>
        </w:rPr>
      </w:pPr>
    </w:p>
    <w:p w14:paraId="0F25D075" w14:textId="77777777" w:rsidR="00822F9A" w:rsidRPr="00E53408" w:rsidRDefault="00822F9A" w:rsidP="00822F9A">
      <w:pPr>
        <w:autoSpaceDE w:val="0"/>
        <w:autoSpaceDN w:val="0"/>
        <w:adjustRightInd w:val="0"/>
        <w:jc w:val="both"/>
        <w:rPr>
          <w:rFonts w:cstheme="minorHAnsi"/>
          <w:sz w:val="24"/>
          <w:szCs w:val="24"/>
          <w:u w:val="single"/>
        </w:rPr>
      </w:pPr>
      <w:r w:rsidRPr="00E53408">
        <w:rPr>
          <w:rFonts w:cstheme="minorHAnsi"/>
          <w:sz w:val="24"/>
          <w:szCs w:val="24"/>
          <w:u w:val="single"/>
        </w:rPr>
        <w:t>Model of Energy Consumption and Appliance Choices</w:t>
      </w:r>
    </w:p>
    <w:p w14:paraId="1FF834E9" w14:textId="03617F43" w:rsidR="00822F9A" w:rsidRDefault="00822F9A" w:rsidP="00822F9A">
      <w:pPr>
        <w:autoSpaceDE w:val="0"/>
        <w:autoSpaceDN w:val="0"/>
        <w:adjustRightInd w:val="0"/>
        <w:jc w:val="both"/>
        <w:rPr>
          <w:rFonts w:cstheme="minorHAnsi"/>
          <w:sz w:val="24"/>
          <w:szCs w:val="24"/>
        </w:rPr>
      </w:pPr>
      <w:r w:rsidRPr="00822F9A">
        <w:rPr>
          <w:rFonts w:cstheme="minorHAnsi"/>
          <w:sz w:val="24"/>
          <w:szCs w:val="24"/>
        </w:rPr>
        <w:t xml:space="preserve">Cooking choices and demand in the Global North </w:t>
      </w:r>
      <w:r w:rsidR="00E04B08">
        <w:rPr>
          <w:rFonts w:cstheme="minorHAnsi"/>
          <w:sz w:val="24"/>
          <w:szCs w:val="24"/>
        </w:rPr>
        <w:t>are</w:t>
      </w:r>
      <w:r w:rsidR="00E04B08" w:rsidRPr="00822F9A">
        <w:rPr>
          <w:rFonts w:cstheme="minorHAnsi"/>
          <w:sz w:val="24"/>
          <w:szCs w:val="24"/>
        </w:rPr>
        <w:t xml:space="preserve"> </w:t>
      </w:r>
      <w:r w:rsidRPr="00822F9A">
        <w:rPr>
          <w:rFonts w:cstheme="minorHAnsi"/>
          <w:sz w:val="24"/>
          <w:szCs w:val="24"/>
        </w:rPr>
        <w:t>estimated using a di</w:t>
      </w:r>
      <w:r>
        <w:rPr>
          <w:rFonts w:cstheme="minorHAnsi"/>
          <w:sz w:val="24"/>
          <w:szCs w:val="24"/>
        </w:rPr>
        <w:t>ff</w:t>
      </w:r>
      <w:r w:rsidRPr="00822F9A">
        <w:rPr>
          <w:rFonts w:cstheme="minorHAnsi"/>
          <w:sz w:val="24"/>
          <w:szCs w:val="24"/>
        </w:rPr>
        <w:t>erent simulation-</w:t>
      </w:r>
      <w:r>
        <w:rPr>
          <w:rFonts w:cstheme="minorHAnsi"/>
          <w:sz w:val="24"/>
          <w:szCs w:val="24"/>
        </w:rPr>
        <w:t>b</w:t>
      </w:r>
      <w:r w:rsidRPr="00822F9A">
        <w:rPr>
          <w:rFonts w:cstheme="minorHAnsi"/>
          <w:sz w:val="24"/>
          <w:szCs w:val="24"/>
        </w:rPr>
        <w:t>ased</w:t>
      </w:r>
      <w:r>
        <w:rPr>
          <w:rFonts w:cstheme="minorHAnsi"/>
          <w:sz w:val="24"/>
          <w:szCs w:val="24"/>
        </w:rPr>
        <w:t xml:space="preserve"> </w:t>
      </w:r>
      <w:r w:rsidRPr="00822F9A">
        <w:rPr>
          <w:rFonts w:cstheme="minorHAnsi"/>
          <w:sz w:val="24"/>
          <w:szCs w:val="24"/>
        </w:rPr>
        <w:t>structural econometrics model that re</w:t>
      </w:r>
      <w:r w:rsidR="009D06E4">
        <w:rPr>
          <w:rFonts w:cstheme="minorHAnsi"/>
          <w:sz w:val="24"/>
          <w:szCs w:val="24"/>
        </w:rPr>
        <w:t>fl</w:t>
      </w:r>
      <w:r w:rsidRPr="00822F9A">
        <w:rPr>
          <w:rFonts w:cstheme="minorHAnsi"/>
          <w:sz w:val="24"/>
          <w:szCs w:val="24"/>
        </w:rPr>
        <w:t xml:space="preserve">ects the multiple choices of households in terms </w:t>
      </w:r>
      <w:r w:rsidR="009D06E4">
        <w:rPr>
          <w:rFonts w:cstheme="minorHAnsi"/>
          <w:sz w:val="24"/>
          <w:szCs w:val="24"/>
        </w:rPr>
        <w:lastRenderedPageBreak/>
        <w:t>o</w:t>
      </w:r>
      <w:r w:rsidRPr="00822F9A">
        <w:rPr>
          <w:rFonts w:cstheme="minorHAnsi"/>
          <w:sz w:val="24"/>
          <w:szCs w:val="24"/>
        </w:rPr>
        <w:t>f fuels and</w:t>
      </w:r>
      <w:r w:rsidR="009D06E4">
        <w:rPr>
          <w:rFonts w:cstheme="minorHAnsi"/>
          <w:sz w:val="24"/>
          <w:szCs w:val="24"/>
        </w:rPr>
        <w:t xml:space="preserve"> </w:t>
      </w:r>
      <w:r w:rsidRPr="00822F9A">
        <w:rPr>
          <w:rFonts w:cstheme="minorHAnsi"/>
          <w:sz w:val="24"/>
          <w:szCs w:val="24"/>
        </w:rPr>
        <w:t>appliances for di</w:t>
      </w:r>
      <w:r w:rsidR="009D06E4">
        <w:rPr>
          <w:rFonts w:cstheme="minorHAnsi"/>
          <w:sz w:val="24"/>
          <w:szCs w:val="24"/>
        </w:rPr>
        <w:t>ff</w:t>
      </w:r>
      <w:r w:rsidRPr="00822F9A">
        <w:rPr>
          <w:rFonts w:cstheme="minorHAnsi"/>
          <w:sz w:val="24"/>
          <w:szCs w:val="24"/>
        </w:rPr>
        <w:t>erent end uses</w:t>
      </w:r>
      <w:r w:rsidR="00784425">
        <w:rPr>
          <w:rFonts w:cstheme="minorHAnsi"/>
          <w:sz w:val="24"/>
          <w:szCs w:val="24"/>
        </w:rPr>
        <w:fldChar w:fldCharType="begin" w:fldLock="1"/>
      </w:r>
      <w:r w:rsidR="00D80A04">
        <w:rPr>
          <w:rFonts w:cstheme="minorHAnsi"/>
          <w:sz w:val="24"/>
          <w:szCs w:val="24"/>
        </w:rPr>
        <w:instrText>ADDIN CSL_CITATION {"citationItems":[{"id":"ITEM-1","itemData":{"DOI":"10.1016/j.eneco.2021.105266","ISSN":"0140-9883","author":[{"dropping-particle":"","family":"Poblete-Cazenave","given":"Miguel","non-dropping-particle":"","parse-names":false,"suffix":""},{"dropping-particle":"","family":"Pachauri","given":"Shonali","non-dropping-particle":"","parse-names":false,"suffix":""}],"container-title":"Energy Economics","id":"ITEM-1","issued":{"date-parts":[["2021"]]},"page":"105266","title":"A model of energy poverty and access: Estimating household electricity demand and appliance ownership","type":"article-journal","volume":"98"},"uris":["http://www.mendeley.com/documents/?uuid=e1219797-8d99-3dc6-a169-85cd57caa488"]}],"mendeley":{"formattedCitation":"&lt;sup&gt;22&lt;/sup&gt;","plainTextFormattedCitation":"22","previouslyFormattedCitation":"&lt;sup&gt;22&lt;/sup&gt;"},"properties":{"noteIndex":0},"schema":"https://github.com/citation-style-language/schema/raw/master/csl-citation.json"}</w:instrText>
      </w:r>
      <w:r w:rsidR="00784425">
        <w:rPr>
          <w:rFonts w:cstheme="minorHAnsi"/>
          <w:sz w:val="24"/>
          <w:szCs w:val="24"/>
        </w:rPr>
        <w:fldChar w:fldCharType="separate"/>
      </w:r>
      <w:r w:rsidR="00CE47D8" w:rsidRPr="00CE47D8">
        <w:rPr>
          <w:rFonts w:cstheme="minorHAnsi"/>
          <w:noProof/>
          <w:sz w:val="24"/>
          <w:szCs w:val="24"/>
          <w:vertAlign w:val="superscript"/>
        </w:rPr>
        <w:t>22</w:t>
      </w:r>
      <w:r w:rsidR="00784425">
        <w:rPr>
          <w:rFonts w:cstheme="minorHAnsi"/>
          <w:sz w:val="24"/>
          <w:szCs w:val="24"/>
        </w:rPr>
        <w:fldChar w:fldCharType="end"/>
      </w:r>
      <w:r w:rsidRPr="00822F9A">
        <w:rPr>
          <w:rFonts w:cstheme="minorHAnsi"/>
          <w:sz w:val="24"/>
          <w:szCs w:val="24"/>
        </w:rPr>
        <w:t xml:space="preserve">. In the model, households, </w:t>
      </w:r>
      <w:r w:rsidR="008C238C">
        <w:rPr>
          <w:rFonts w:cstheme="minorHAnsi"/>
          <w:sz w:val="24"/>
          <w:szCs w:val="24"/>
        </w:rPr>
        <w:t>based on</w:t>
      </w:r>
      <w:r w:rsidRPr="00822F9A">
        <w:rPr>
          <w:rFonts w:cstheme="minorHAnsi"/>
          <w:sz w:val="24"/>
          <w:szCs w:val="24"/>
        </w:rPr>
        <w:t xml:space="preserve"> their characteristics,</w:t>
      </w:r>
      <w:r w:rsidR="009D06E4">
        <w:rPr>
          <w:rFonts w:cstheme="minorHAnsi"/>
          <w:sz w:val="24"/>
          <w:szCs w:val="24"/>
        </w:rPr>
        <w:t xml:space="preserve"> </w:t>
      </w:r>
      <w:r w:rsidRPr="00822F9A">
        <w:rPr>
          <w:rFonts w:cstheme="minorHAnsi"/>
          <w:sz w:val="24"/>
          <w:szCs w:val="24"/>
        </w:rPr>
        <w:t>make a discrete choice among available cooking technologies in each region, which is</w:t>
      </w:r>
      <w:r w:rsidR="009D06E4">
        <w:rPr>
          <w:rFonts w:cstheme="minorHAnsi"/>
          <w:sz w:val="24"/>
          <w:szCs w:val="24"/>
        </w:rPr>
        <w:t xml:space="preserve"> </w:t>
      </w:r>
      <w:r w:rsidR="00BC2F24">
        <w:rPr>
          <w:rFonts w:cstheme="minorHAnsi"/>
          <w:sz w:val="24"/>
          <w:szCs w:val="24"/>
        </w:rPr>
        <w:t>fi</w:t>
      </w:r>
      <w:r w:rsidRPr="00822F9A">
        <w:rPr>
          <w:rFonts w:cstheme="minorHAnsi"/>
          <w:sz w:val="24"/>
          <w:szCs w:val="24"/>
        </w:rPr>
        <w:t>nally re</w:t>
      </w:r>
      <w:r w:rsidR="00BC2F24">
        <w:rPr>
          <w:rFonts w:cstheme="minorHAnsi"/>
          <w:sz w:val="24"/>
          <w:szCs w:val="24"/>
        </w:rPr>
        <w:t>fl</w:t>
      </w:r>
      <w:r w:rsidRPr="00822F9A">
        <w:rPr>
          <w:rFonts w:cstheme="minorHAnsi"/>
          <w:sz w:val="24"/>
          <w:szCs w:val="24"/>
        </w:rPr>
        <w:t xml:space="preserve">ected in their total energy consumption for the respective fuel. </w:t>
      </w:r>
      <w:r w:rsidR="00BC2F24">
        <w:rPr>
          <w:rFonts w:cstheme="minorHAnsi"/>
          <w:sz w:val="24"/>
          <w:szCs w:val="24"/>
        </w:rPr>
        <w:t>S</w:t>
      </w:r>
      <w:r w:rsidRPr="00822F9A">
        <w:rPr>
          <w:rFonts w:cstheme="minorHAnsi"/>
          <w:sz w:val="24"/>
          <w:szCs w:val="24"/>
        </w:rPr>
        <w:t>peci</w:t>
      </w:r>
      <w:r w:rsidR="00BC2F24">
        <w:rPr>
          <w:rFonts w:cstheme="minorHAnsi"/>
          <w:sz w:val="24"/>
          <w:szCs w:val="24"/>
        </w:rPr>
        <w:t>fi</w:t>
      </w:r>
      <w:r w:rsidRPr="00822F9A">
        <w:rPr>
          <w:rFonts w:cstheme="minorHAnsi"/>
          <w:sz w:val="24"/>
          <w:szCs w:val="24"/>
        </w:rPr>
        <w:t>cally, if households</w:t>
      </w:r>
      <w:r w:rsidR="00BC2F24">
        <w:rPr>
          <w:rFonts w:cstheme="minorHAnsi"/>
          <w:sz w:val="24"/>
          <w:szCs w:val="24"/>
        </w:rPr>
        <w:t xml:space="preserve"> </w:t>
      </w:r>
      <w:r w:rsidRPr="00822F9A">
        <w:rPr>
          <w:rFonts w:cstheme="minorHAnsi"/>
          <w:sz w:val="24"/>
          <w:szCs w:val="24"/>
        </w:rPr>
        <w:t>choose an electric stove, their electricity consumption is calculated as:</w:t>
      </w:r>
    </w:p>
    <w:p w14:paraId="28A8B77B" w14:textId="6B93B73B" w:rsidR="00BC2F24" w:rsidRDefault="00BC2F24" w:rsidP="00822F9A">
      <w:pPr>
        <w:autoSpaceDE w:val="0"/>
        <w:autoSpaceDN w:val="0"/>
        <w:adjustRightInd w:val="0"/>
        <w:jc w:val="both"/>
        <w:rPr>
          <w:rFonts w:cstheme="minorHAnsi"/>
          <w:sz w:val="24"/>
          <w:szCs w:val="24"/>
        </w:rPr>
      </w:pPr>
    </w:p>
    <w:p w14:paraId="49FB15D0" w14:textId="3EFDA19A" w:rsidR="00BC2F24" w:rsidRDefault="00140089" w:rsidP="00822F9A">
      <w:pPr>
        <w:autoSpaceDE w:val="0"/>
        <w:autoSpaceDN w:val="0"/>
        <w:adjustRightInd w:val="0"/>
        <w:jc w:val="both"/>
        <w:rPr>
          <w:rFonts w:cstheme="minorHAnsi"/>
          <w:sz w:val="24"/>
          <w:szCs w:val="24"/>
        </w:rPr>
      </w:pPr>
      <m:oMathPara>
        <m:oMath>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1</m:t>
              </m:r>
            </m:sub>
          </m:sSub>
          <m:r>
            <w:rPr>
              <w:rFonts w:ascii="Cambria Math" w:hAnsi="Cambria Math" w:cstheme="minorHAnsi"/>
              <w:sz w:val="24"/>
              <w:szCs w:val="24"/>
            </w:rPr>
            <m:t>=</m:t>
          </m:r>
          <m:sSub>
            <m:sSubPr>
              <m:ctrlPr>
                <w:rPr>
                  <w:rFonts w:ascii="Cambria Math" w:hAnsi="Cambria Math" w:cstheme="minorHAnsi"/>
                  <w:i/>
                  <w:sz w:val="24"/>
                  <w:szCs w:val="24"/>
                </w:rPr>
              </m:ctrlPr>
            </m:sSubPr>
            <m:e>
              <m:r>
                <m:rPr>
                  <m:sty m:val="p"/>
                </m:rPr>
                <w:rPr>
                  <w:rFonts w:ascii="Cambria Math" w:hAnsi="Cambria Math" w:cstheme="minorHAnsi"/>
                  <w:sz w:val="24"/>
                  <w:szCs w:val="24"/>
                </w:rPr>
                <m:t>ϕ</m:t>
              </m:r>
            </m:e>
            <m:sub>
              <m:r>
                <w:rPr>
                  <w:rFonts w:ascii="Cambria Math" w:hAnsi="Cambria Math" w:cstheme="minorHAnsi"/>
                  <w:sz w:val="24"/>
                  <w:szCs w:val="24"/>
                </w:rPr>
                <m:t>0</m:t>
              </m:r>
            </m:sub>
          </m:sSub>
          <m:r>
            <w:rPr>
              <w:rFonts w:ascii="Cambria Math" w:hAnsi="Cambria Math" w:cstheme="minorHAnsi"/>
              <w:sz w:val="24"/>
              <w:szCs w:val="24"/>
            </w:rPr>
            <m:t>+</m:t>
          </m:r>
          <m:nary>
            <m:naryPr>
              <m:chr m:val="∑"/>
              <m:ctrlPr>
                <w:rPr>
                  <w:rFonts w:ascii="Cambria Math" w:hAnsi="Cambria Math" w:cstheme="minorHAnsi"/>
                  <w:sz w:val="24"/>
                  <w:szCs w:val="24"/>
                </w:rPr>
              </m:ctrlPr>
            </m:naryPr>
            <m:sub>
              <m:r>
                <w:rPr>
                  <w:rFonts w:ascii="Cambria Math" w:hAnsi="Cambria Math" w:cstheme="minorHAnsi"/>
                  <w:sz w:val="24"/>
                  <w:szCs w:val="24"/>
                </w:rPr>
                <m:t>j=1</m:t>
              </m:r>
              <m:ctrlPr>
                <w:rPr>
                  <w:rFonts w:ascii="Cambria Math" w:hAnsi="Cambria Math" w:cstheme="minorHAnsi"/>
                  <w:i/>
                  <w:sz w:val="24"/>
                  <w:szCs w:val="24"/>
                </w:rPr>
              </m:ctrlPr>
            </m:sub>
            <m:sup>
              <m:r>
                <w:rPr>
                  <w:rFonts w:ascii="Cambria Math" w:hAnsi="Cambria Math" w:cstheme="minorHAnsi"/>
                  <w:sz w:val="24"/>
                  <w:szCs w:val="24"/>
                </w:rPr>
                <m:t>m</m:t>
              </m:r>
              <m:ctrlPr>
                <w:rPr>
                  <w:rFonts w:ascii="Cambria Math" w:hAnsi="Cambria Math" w:cstheme="minorHAnsi"/>
                  <w:i/>
                  <w:sz w:val="24"/>
                  <w:szCs w:val="24"/>
                </w:rPr>
              </m:ctrlPr>
            </m:sup>
            <m:e>
              <m:sSub>
                <m:sSubPr>
                  <m:ctrlPr>
                    <w:rPr>
                      <w:rFonts w:ascii="Cambria Math" w:hAnsi="Cambria Math" w:cstheme="minorHAnsi"/>
                      <w:i/>
                      <w:sz w:val="24"/>
                      <w:szCs w:val="24"/>
                    </w:rPr>
                  </m:ctrlPr>
                </m:sSubPr>
                <m:e>
                  <m:r>
                    <m:rPr>
                      <m:sty m:val="p"/>
                    </m:rPr>
                    <w:rPr>
                      <w:rFonts w:ascii="Cambria Math" w:hAnsi="Cambria Math" w:cstheme="minorHAnsi"/>
                      <w:sz w:val="24"/>
                      <w:szCs w:val="24"/>
                    </w:rPr>
                    <m:t>δ</m:t>
                  </m:r>
                  <m:ctrlPr>
                    <w:rPr>
                      <w:rFonts w:ascii="Cambria Math" w:hAnsi="Cambria Math" w:cstheme="minorHAnsi"/>
                      <w:sz w:val="24"/>
                      <w:szCs w:val="24"/>
                    </w:rPr>
                  </m:ctrlPr>
                </m:e>
                <m:sub>
                  <m:r>
                    <w:rPr>
                      <w:rFonts w:ascii="Cambria Math" w:hAnsi="Cambria Math" w:cstheme="minorHAnsi"/>
                      <w:sz w:val="24"/>
                      <w:szCs w:val="24"/>
                    </w:rPr>
                    <m:t>j</m:t>
                  </m:r>
                </m:sub>
              </m:sSub>
            </m:e>
          </m:nary>
          <m:sSub>
            <m:sSubPr>
              <m:ctrlPr>
                <w:rPr>
                  <w:rFonts w:ascii="Cambria Math" w:hAnsi="Cambria Math" w:cstheme="minorHAnsi"/>
                  <w:i/>
                  <w:sz w:val="24"/>
                  <w:szCs w:val="24"/>
                </w:rPr>
              </m:ctrlPr>
            </m:sSubPr>
            <m:e>
              <m:r>
                <m:rPr>
                  <m:sty m:val="p"/>
                </m:rPr>
                <w:rPr>
                  <w:rFonts w:ascii="Cambria Math" w:hAnsi="Cambria Math" w:cstheme="minorHAnsi"/>
                  <w:sz w:val="24"/>
                  <w:szCs w:val="24"/>
                </w:rPr>
                <m:t>ϕ</m:t>
              </m:r>
              <m:ctrlPr>
                <w:rPr>
                  <w:rFonts w:ascii="Cambria Math" w:hAnsi="Cambria Math" w:cstheme="minorHAnsi"/>
                  <w:sz w:val="24"/>
                  <w:szCs w:val="24"/>
                </w:rPr>
              </m:ctrlPr>
            </m:e>
            <m:sub>
              <m:r>
                <w:rPr>
                  <w:rFonts w:ascii="Cambria Math" w:hAnsi="Cambria Math" w:cstheme="minorHAnsi"/>
                  <w:sz w:val="24"/>
                  <w:szCs w:val="24"/>
                </w:rPr>
                <m:t>j</m:t>
              </m:r>
            </m:sub>
          </m:sSub>
          <m:r>
            <w:rPr>
              <w:rFonts w:ascii="Cambria Math" w:hAnsi="Cambria Math" w:cstheme="minorHAnsi"/>
              <w:sz w:val="24"/>
              <w:szCs w:val="24"/>
            </w:rPr>
            <m:t>+</m:t>
          </m:r>
          <m:d>
            <m:dPr>
              <m:begChr m:val="["/>
              <m:endChr m:val="]"/>
              <m:ctrlPr>
                <w:rPr>
                  <w:rFonts w:ascii="Cambria Math" w:hAnsi="Cambria Math" w:cstheme="minorHAnsi"/>
                  <w:sz w:val="24"/>
                  <w:szCs w:val="24"/>
                </w:rPr>
              </m:ctrlPr>
            </m:dPr>
            <m:e>
              <m:sSub>
                <m:sSubPr>
                  <m:ctrlPr>
                    <w:rPr>
                      <w:rFonts w:ascii="Cambria Math" w:hAnsi="Cambria Math" w:cstheme="minorHAnsi"/>
                      <w:i/>
                      <w:sz w:val="24"/>
                      <w:szCs w:val="24"/>
                    </w:rPr>
                  </m:ctrlPr>
                </m:sSubPr>
                <m:e>
                  <m:r>
                    <m:rPr>
                      <m:sty m:val="p"/>
                    </m:rPr>
                    <w:rPr>
                      <w:rFonts w:ascii="Cambria Math" w:hAnsi="Cambria Math" w:cstheme="minorHAnsi"/>
                      <w:sz w:val="24"/>
                      <w:szCs w:val="24"/>
                    </w:rPr>
                    <m:t>λ</m:t>
                  </m:r>
                  <m:ctrlPr>
                    <w:rPr>
                      <w:rFonts w:ascii="Cambria Math" w:hAnsi="Cambria Math" w:cstheme="minorHAnsi"/>
                      <w:sz w:val="24"/>
                      <w:szCs w:val="24"/>
                    </w:rPr>
                  </m:ctrlPr>
                </m:e>
                <m:sub>
                  <m:r>
                    <w:rPr>
                      <w:rFonts w:ascii="Cambria Math" w:hAnsi="Cambria Math" w:cstheme="minorHAnsi"/>
                      <w:sz w:val="24"/>
                      <w:szCs w:val="24"/>
                    </w:rPr>
                    <m:t>1</m:t>
                  </m:r>
                </m:sub>
              </m:sSub>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1</m:t>
                  </m:r>
                </m:sub>
              </m:sSub>
              <m:r>
                <w:rPr>
                  <w:rFonts w:ascii="Cambria Math" w:hAnsi="Cambria Math" w:cstheme="minorHAnsi"/>
                  <w:sz w:val="24"/>
                  <w:szCs w:val="24"/>
                </w:rPr>
                <m:t>+</m:t>
              </m:r>
              <m:sSub>
                <m:sSubPr>
                  <m:ctrlPr>
                    <w:rPr>
                      <w:rFonts w:ascii="Cambria Math" w:hAnsi="Cambria Math" w:cstheme="minorHAnsi"/>
                      <w:i/>
                      <w:sz w:val="24"/>
                      <w:szCs w:val="24"/>
                    </w:rPr>
                  </m:ctrlPr>
                </m:sSubPr>
                <m:e>
                  <m:r>
                    <m:rPr>
                      <m:sty m:val="p"/>
                    </m:rPr>
                    <w:rPr>
                      <w:rFonts w:ascii="Cambria Math" w:hAnsi="Cambria Math" w:cstheme="minorHAnsi"/>
                      <w:sz w:val="24"/>
                      <w:szCs w:val="24"/>
                    </w:rPr>
                    <m:t>λ</m:t>
                  </m:r>
                </m:e>
                <m:sub>
                  <m:r>
                    <w:rPr>
                      <w:rFonts w:ascii="Cambria Math" w:hAnsi="Cambria Math" w:cstheme="minorHAnsi"/>
                      <w:sz w:val="24"/>
                      <w:szCs w:val="24"/>
                    </w:rPr>
                    <m:t>2</m:t>
                  </m:r>
                </m:sub>
              </m:sSub>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2</m:t>
                  </m:r>
                </m:sub>
              </m:sSub>
              <m:r>
                <w:rPr>
                  <w:rFonts w:ascii="Cambria Math" w:hAnsi="Cambria Math" w:cstheme="minorHAnsi"/>
                  <w:sz w:val="24"/>
                  <w:szCs w:val="24"/>
                </w:rPr>
                <m:t>+</m:t>
              </m:r>
              <m:sSub>
                <m:sSubPr>
                  <m:ctrlPr>
                    <w:rPr>
                      <w:rFonts w:ascii="Cambria Math" w:hAnsi="Cambria Math" w:cstheme="minorHAnsi"/>
                      <w:i/>
                      <w:sz w:val="24"/>
                      <w:szCs w:val="24"/>
                    </w:rPr>
                  </m:ctrlPr>
                </m:sSubPr>
                <m:e>
                  <m:r>
                    <m:rPr>
                      <m:sty m:val="p"/>
                    </m:rPr>
                    <w:rPr>
                      <w:rFonts w:ascii="Cambria Math" w:hAnsi="Cambria Math" w:cstheme="minorHAnsi"/>
                      <w:sz w:val="24"/>
                      <w:szCs w:val="24"/>
                    </w:rPr>
                    <m:t>λ</m:t>
                  </m:r>
                </m:e>
                <m:sub>
                  <m:r>
                    <w:rPr>
                      <w:rFonts w:ascii="Cambria Math" w:hAnsi="Cambria Math" w:cstheme="minorHAnsi"/>
                      <w:sz w:val="24"/>
                      <w:szCs w:val="24"/>
                    </w:rPr>
                    <m:t>3</m:t>
                  </m:r>
                </m:sub>
              </m:sSub>
              <m:r>
                <m:rPr>
                  <m:sty m:val="p"/>
                </m:rPr>
                <w:rPr>
                  <w:rFonts w:ascii="Cambria Math" w:hAnsi="Cambria Math" w:cstheme="minorHAnsi"/>
                  <w:sz w:val="24"/>
                  <w:szCs w:val="24"/>
                </w:rPr>
                <m:t>χ</m:t>
              </m:r>
              <m:r>
                <w:rPr>
                  <w:rFonts w:ascii="Cambria Math" w:hAnsi="Cambria Math" w:cstheme="minorHAnsi"/>
                  <w:sz w:val="24"/>
                  <w:szCs w:val="24"/>
                </w:rPr>
                <m:t>+</m:t>
              </m:r>
              <m:sSub>
                <m:sSubPr>
                  <m:ctrlPr>
                    <w:rPr>
                      <w:rFonts w:ascii="Cambria Math" w:hAnsi="Cambria Math" w:cstheme="minorHAnsi"/>
                      <w:i/>
                      <w:sz w:val="24"/>
                      <w:szCs w:val="24"/>
                    </w:rPr>
                  </m:ctrlPr>
                </m:sSubPr>
                <m:e>
                  <m:r>
                    <m:rPr>
                      <m:sty m:val="p"/>
                    </m:rPr>
                    <w:rPr>
                      <w:rFonts w:ascii="Cambria Math" w:hAnsi="Cambria Math" w:cstheme="minorHAnsi"/>
                      <w:sz w:val="24"/>
                      <w:szCs w:val="24"/>
                    </w:rPr>
                    <m:t>λ</m:t>
                  </m:r>
                </m:e>
                <m:sub>
                  <m:r>
                    <w:rPr>
                      <w:rFonts w:ascii="Cambria Math" w:hAnsi="Cambria Math" w:cstheme="minorHAnsi"/>
                      <w:sz w:val="24"/>
                      <w:szCs w:val="24"/>
                    </w:rPr>
                    <m:t>4</m:t>
                  </m:r>
                </m:sub>
              </m:sSub>
              <m:d>
                <m:dPr>
                  <m:ctrlPr>
                    <w:rPr>
                      <w:rFonts w:ascii="Cambria Math" w:hAnsi="Cambria Math" w:cstheme="minorHAnsi"/>
                      <w:sz w:val="24"/>
                      <w:szCs w:val="24"/>
                    </w:rPr>
                  </m:ctrlPr>
                </m:dPr>
                <m:e>
                  <m:r>
                    <w:rPr>
                      <w:rFonts w:ascii="Cambria Math" w:hAnsi="Cambria Math" w:cstheme="minorHAnsi"/>
                      <w:sz w:val="24"/>
                      <w:szCs w:val="24"/>
                    </w:rPr>
                    <m:t>y-</m:t>
                  </m:r>
                  <m:r>
                    <m:rPr>
                      <m:sty m:val="p"/>
                    </m:rPr>
                    <w:rPr>
                      <w:rFonts w:ascii="Cambria Math" w:hAnsi="Cambria Math" w:cstheme="minorHAnsi"/>
                      <w:sz w:val="24"/>
                      <w:szCs w:val="24"/>
                    </w:rPr>
                    <m:t>ρ</m:t>
                  </m:r>
                  <m:nary>
                    <m:naryPr>
                      <m:chr m:val="∑"/>
                      <m:ctrlPr>
                        <w:rPr>
                          <w:rFonts w:ascii="Cambria Math" w:hAnsi="Cambria Math" w:cstheme="minorHAnsi"/>
                          <w:sz w:val="24"/>
                          <w:szCs w:val="24"/>
                        </w:rPr>
                      </m:ctrlPr>
                    </m:naryPr>
                    <m:sub>
                      <m:r>
                        <w:rPr>
                          <w:rFonts w:ascii="Cambria Math" w:hAnsi="Cambria Math" w:cstheme="minorHAnsi"/>
                          <w:sz w:val="24"/>
                          <w:szCs w:val="24"/>
                        </w:rPr>
                        <m:t>j=1</m:t>
                      </m:r>
                      <m:ctrlPr>
                        <w:rPr>
                          <w:rFonts w:ascii="Cambria Math" w:hAnsi="Cambria Math" w:cstheme="minorHAnsi"/>
                          <w:i/>
                          <w:sz w:val="24"/>
                          <w:szCs w:val="24"/>
                        </w:rPr>
                      </m:ctrlPr>
                    </m:sub>
                    <m:sup>
                      <m:r>
                        <w:rPr>
                          <w:rFonts w:ascii="Cambria Math" w:hAnsi="Cambria Math" w:cstheme="minorHAnsi"/>
                          <w:sz w:val="24"/>
                          <w:szCs w:val="24"/>
                        </w:rPr>
                        <m:t>m</m:t>
                      </m:r>
                      <m:ctrlPr>
                        <w:rPr>
                          <w:rFonts w:ascii="Cambria Math" w:hAnsi="Cambria Math" w:cstheme="minorHAnsi"/>
                          <w:i/>
                          <w:sz w:val="24"/>
                          <w:szCs w:val="24"/>
                        </w:rPr>
                      </m:ctrlPr>
                    </m:sup>
                    <m:e>
                      <m:sSub>
                        <m:sSubPr>
                          <m:ctrlPr>
                            <w:rPr>
                              <w:rFonts w:ascii="Cambria Math" w:hAnsi="Cambria Math" w:cstheme="minorHAnsi"/>
                              <w:i/>
                              <w:sz w:val="24"/>
                              <w:szCs w:val="24"/>
                            </w:rPr>
                          </m:ctrlPr>
                        </m:sSubPr>
                        <m:e>
                          <m:r>
                            <w:rPr>
                              <w:rFonts w:ascii="Cambria Math" w:hAnsi="Cambria Math" w:cstheme="minorHAnsi"/>
                              <w:sz w:val="24"/>
                              <w:szCs w:val="24"/>
                            </w:rPr>
                            <m:t>K</m:t>
                          </m:r>
                        </m:e>
                        <m:sub>
                          <m:r>
                            <w:rPr>
                              <w:rFonts w:ascii="Cambria Math" w:hAnsi="Cambria Math" w:cstheme="minorHAnsi"/>
                              <w:sz w:val="24"/>
                              <w:szCs w:val="24"/>
                            </w:rPr>
                            <m:t>j</m:t>
                          </m:r>
                        </m:sub>
                      </m:sSub>
                      <m:ctrlPr>
                        <w:rPr>
                          <w:rFonts w:ascii="Cambria Math" w:hAnsi="Cambria Math" w:cstheme="minorHAnsi"/>
                          <w:i/>
                          <w:sz w:val="24"/>
                          <w:szCs w:val="24"/>
                        </w:rPr>
                      </m:ctrlPr>
                    </m:e>
                  </m:nary>
                  <m:sSub>
                    <m:sSubPr>
                      <m:ctrlPr>
                        <w:rPr>
                          <w:rFonts w:ascii="Cambria Math" w:hAnsi="Cambria Math" w:cstheme="minorHAnsi"/>
                          <w:i/>
                          <w:sz w:val="24"/>
                          <w:szCs w:val="24"/>
                        </w:rPr>
                      </m:ctrlPr>
                    </m:sSubPr>
                    <m:e>
                      <m:r>
                        <m:rPr>
                          <m:sty m:val="p"/>
                        </m:rPr>
                        <w:rPr>
                          <w:rFonts w:ascii="Cambria Math" w:hAnsi="Cambria Math" w:cstheme="minorHAnsi"/>
                          <w:sz w:val="24"/>
                          <w:szCs w:val="24"/>
                        </w:rPr>
                        <m:t>δ</m:t>
                      </m:r>
                      <m:ctrlPr>
                        <w:rPr>
                          <w:rFonts w:ascii="Cambria Math" w:hAnsi="Cambria Math" w:cstheme="minorHAnsi"/>
                          <w:sz w:val="24"/>
                          <w:szCs w:val="24"/>
                        </w:rPr>
                      </m:ctrlPr>
                    </m:e>
                    <m:sub>
                      <m:r>
                        <w:rPr>
                          <w:rFonts w:ascii="Cambria Math" w:hAnsi="Cambria Math" w:cstheme="minorHAnsi"/>
                          <w:sz w:val="24"/>
                          <w:szCs w:val="24"/>
                        </w:rPr>
                        <m:t>j</m:t>
                      </m:r>
                    </m:sub>
                  </m:sSub>
                  <m:ctrlPr>
                    <w:rPr>
                      <w:rFonts w:ascii="Cambria Math" w:hAnsi="Cambria Math" w:cstheme="minorHAnsi"/>
                      <w:i/>
                      <w:sz w:val="24"/>
                      <w:szCs w:val="24"/>
                    </w:rPr>
                  </m:ctrlPr>
                </m:e>
              </m:d>
              <m:ctrlPr>
                <w:rPr>
                  <w:rFonts w:ascii="Cambria Math" w:hAnsi="Cambria Math" w:cstheme="minorHAnsi"/>
                  <w:i/>
                  <w:sz w:val="24"/>
                  <w:szCs w:val="24"/>
                </w:rPr>
              </m:ctrlPr>
            </m:e>
          </m:d>
        </m:oMath>
      </m:oMathPara>
    </w:p>
    <w:p w14:paraId="1EF50C31" w14:textId="4FAEB099" w:rsidR="009026AD" w:rsidRDefault="009026AD" w:rsidP="009026AD">
      <w:pPr>
        <w:autoSpaceDE w:val="0"/>
        <w:autoSpaceDN w:val="0"/>
        <w:adjustRightInd w:val="0"/>
        <w:jc w:val="both"/>
        <w:rPr>
          <w:rFonts w:cstheme="minorHAnsi"/>
          <w:sz w:val="24"/>
          <w:szCs w:val="24"/>
        </w:rPr>
      </w:pPr>
      <w:r w:rsidRPr="009026AD">
        <w:rPr>
          <w:rFonts w:cstheme="minorHAnsi"/>
          <w:sz w:val="24"/>
          <w:szCs w:val="24"/>
        </w:rPr>
        <w:t>whereas if they choose a gas or biomass stove, their total alternative fuel consumption is calculated</w:t>
      </w:r>
      <w:r>
        <w:rPr>
          <w:rFonts w:cstheme="minorHAnsi"/>
          <w:sz w:val="24"/>
          <w:szCs w:val="24"/>
        </w:rPr>
        <w:t xml:space="preserve"> </w:t>
      </w:r>
      <w:r w:rsidRPr="009026AD">
        <w:rPr>
          <w:rFonts w:cstheme="minorHAnsi"/>
          <w:sz w:val="24"/>
          <w:szCs w:val="24"/>
        </w:rPr>
        <w:t>as:</w:t>
      </w:r>
    </w:p>
    <w:p w14:paraId="7BB9C188" w14:textId="20428A73" w:rsidR="009026AD" w:rsidRDefault="009026AD" w:rsidP="009026AD">
      <w:pPr>
        <w:autoSpaceDE w:val="0"/>
        <w:autoSpaceDN w:val="0"/>
        <w:adjustRightInd w:val="0"/>
        <w:jc w:val="both"/>
        <w:rPr>
          <w:rFonts w:cstheme="minorHAnsi"/>
          <w:sz w:val="24"/>
          <w:szCs w:val="24"/>
        </w:rPr>
      </w:pPr>
    </w:p>
    <w:p w14:paraId="1FCCE857" w14:textId="48343AD1" w:rsidR="00FF11D1" w:rsidRDefault="00140089" w:rsidP="009026AD">
      <w:pPr>
        <w:autoSpaceDE w:val="0"/>
        <w:autoSpaceDN w:val="0"/>
        <w:adjustRightInd w:val="0"/>
        <w:jc w:val="both"/>
        <w:rPr>
          <w:rFonts w:cstheme="minorHAnsi"/>
          <w:sz w:val="24"/>
          <w:szCs w:val="24"/>
        </w:rPr>
      </w:pPr>
      <m:oMathPara>
        <m:oMath>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2</m:t>
              </m:r>
            </m:sub>
          </m:sSub>
          <m:r>
            <w:rPr>
              <w:rFonts w:ascii="Cambria Math" w:hAnsi="Cambria Math" w:cstheme="minorHAnsi"/>
              <w:sz w:val="24"/>
              <w:szCs w:val="24"/>
            </w:rPr>
            <m:t>=</m:t>
          </m:r>
          <m:f>
            <m:fPr>
              <m:ctrlPr>
                <w:rPr>
                  <w:rFonts w:ascii="Cambria Math" w:hAnsi="Cambria Math" w:cstheme="minorHAnsi"/>
                  <w:sz w:val="24"/>
                  <w:szCs w:val="24"/>
                </w:rPr>
              </m:ctrlPr>
            </m:fPr>
            <m:num>
              <m:sSub>
                <m:sSubPr>
                  <m:ctrlPr>
                    <w:rPr>
                      <w:rFonts w:ascii="Cambria Math" w:hAnsi="Cambria Math" w:cstheme="minorHAnsi"/>
                      <w:i/>
                      <w:sz w:val="24"/>
                      <w:szCs w:val="24"/>
                    </w:rPr>
                  </m:ctrlPr>
                </m:sSubPr>
                <m:e>
                  <m:r>
                    <m:rPr>
                      <m:sty m:val="p"/>
                    </m:rPr>
                    <w:rPr>
                      <w:rFonts w:ascii="Cambria Math" w:hAnsi="Cambria Math" w:cstheme="minorHAnsi"/>
                      <w:sz w:val="24"/>
                      <w:szCs w:val="24"/>
                    </w:rPr>
                    <m:t>λ</m:t>
                  </m:r>
                </m:e>
                <m:sub>
                  <m:r>
                    <w:rPr>
                      <w:rFonts w:ascii="Cambria Math" w:hAnsi="Cambria Math" w:cstheme="minorHAnsi"/>
                      <w:sz w:val="24"/>
                      <w:szCs w:val="24"/>
                    </w:rPr>
                    <m:t>2</m:t>
                  </m:r>
                </m:sub>
              </m:sSub>
              <m:ctrlPr>
                <w:rPr>
                  <w:rFonts w:ascii="Cambria Math" w:hAnsi="Cambria Math" w:cstheme="minorHAnsi"/>
                  <w:i/>
                  <w:sz w:val="24"/>
                  <w:szCs w:val="24"/>
                </w:rPr>
              </m:ctrlPr>
            </m:num>
            <m:den>
              <m:sSub>
                <m:sSubPr>
                  <m:ctrlPr>
                    <w:rPr>
                      <w:rFonts w:ascii="Cambria Math" w:hAnsi="Cambria Math" w:cstheme="minorHAnsi"/>
                      <w:i/>
                      <w:sz w:val="24"/>
                      <w:szCs w:val="24"/>
                    </w:rPr>
                  </m:ctrlPr>
                </m:sSubPr>
                <m:e>
                  <m:r>
                    <m:rPr>
                      <m:sty m:val="p"/>
                    </m:rPr>
                    <w:rPr>
                      <w:rFonts w:ascii="Cambria Math" w:hAnsi="Cambria Math" w:cstheme="minorHAnsi"/>
                      <w:sz w:val="24"/>
                      <w:szCs w:val="24"/>
                    </w:rPr>
                    <m:t>λ</m:t>
                  </m:r>
                </m:e>
                <m:sub>
                  <m:r>
                    <w:rPr>
                      <w:rFonts w:ascii="Cambria Math" w:hAnsi="Cambria Math" w:cstheme="minorHAnsi"/>
                      <w:sz w:val="24"/>
                      <w:szCs w:val="24"/>
                    </w:rPr>
                    <m:t>4</m:t>
                  </m:r>
                </m:sub>
              </m:sSub>
              <m:ctrlPr>
                <w:rPr>
                  <w:rFonts w:ascii="Cambria Math" w:hAnsi="Cambria Math" w:cstheme="minorHAnsi"/>
                  <w:i/>
                  <w:sz w:val="24"/>
                  <w:szCs w:val="24"/>
                </w:rPr>
              </m:ctrlPr>
            </m:den>
          </m:f>
          <m:d>
            <m:dPr>
              <m:ctrlPr>
                <w:rPr>
                  <w:rFonts w:ascii="Cambria Math" w:hAnsi="Cambria Math" w:cstheme="minorHAnsi"/>
                  <w:i/>
                  <w:sz w:val="24"/>
                  <w:szCs w:val="24"/>
                </w:rPr>
              </m:ctrlPr>
            </m:dPr>
            <m:e>
              <m:r>
                <m:rPr>
                  <m:sty m:val="p"/>
                </m:rPr>
                <w:rPr>
                  <w:rFonts w:ascii="Cambria Math" w:hAnsi="Cambria Math" w:cstheme="minorHAnsi"/>
                  <w:sz w:val="24"/>
                  <w:szCs w:val="24"/>
                </w:rPr>
                <m:t>α</m:t>
              </m:r>
              <m:r>
                <w:rPr>
                  <w:rFonts w:ascii="Cambria Math" w:hAnsi="Cambria Math" w:cstheme="minorHAnsi"/>
                  <w:sz w:val="24"/>
                  <w:szCs w:val="24"/>
                </w:rPr>
                <m:t>-1</m:t>
              </m:r>
            </m:e>
          </m:d>
          <m:r>
            <w:rPr>
              <w:rFonts w:ascii="Cambria Math" w:hAnsi="Cambria Math" w:cstheme="minorHAnsi"/>
              <w:sz w:val="24"/>
              <w:szCs w:val="24"/>
            </w:rPr>
            <m:t>+</m:t>
          </m:r>
          <m:f>
            <m:fPr>
              <m:ctrlPr>
                <w:rPr>
                  <w:rFonts w:ascii="Cambria Math" w:hAnsi="Cambria Math" w:cstheme="minorHAnsi"/>
                  <w:sz w:val="24"/>
                  <w:szCs w:val="24"/>
                </w:rPr>
              </m:ctrlPr>
            </m:fPr>
            <m:num>
              <m:r>
                <m:rPr>
                  <m:sty m:val="p"/>
                </m:rPr>
                <w:rPr>
                  <w:rFonts w:ascii="Cambria Math" w:hAnsi="Cambria Math" w:cstheme="minorHAnsi"/>
                  <w:sz w:val="24"/>
                  <w:szCs w:val="24"/>
                </w:rPr>
                <m:t>α</m:t>
              </m:r>
              <m:ctrlPr>
                <w:rPr>
                  <w:rFonts w:ascii="Cambria Math" w:hAnsi="Cambria Math" w:cstheme="minorHAnsi"/>
                  <w:i/>
                  <w:sz w:val="24"/>
                  <w:szCs w:val="24"/>
                </w:rPr>
              </m:ctrlPr>
            </m:num>
            <m:den>
              <m:sSub>
                <m:sSubPr>
                  <m:ctrlPr>
                    <w:rPr>
                      <w:rFonts w:ascii="Cambria Math" w:hAnsi="Cambria Math" w:cstheme="minorHAnsi"/>
                      <w:i/>
                      <w:sz w:val="24"/>
                      <w:szCs w:val="24"/>
                    </w:rPr>
                  </m:ctrlPr>
                </m:sSubPr>
                <m:e>
                  <m:r>
                    <m:rPr>
                      <m:sty m:val="p"/>
                    </m:rPr>
                    <w:rPr>
                      <w:rFonts w:ascii="Cambria Math" w:hAnsi="Cambria Math" w:cstheme="minorHAnsi"/>
                      <w:sz w:val="24"/>
                      <w:szCs w:val="24"/>
                    </w:rPr>
                    <m:t>λ</m:t>
                  </m:r>
                </m:e>
                <m:sub>
                  <m:r>
                    <w:rPr>
                      <w:rFonts w:ascii="Cambria Math" w:hAnsi="Cambria Math" w:cstheme="minorHAnsi"/>
                      <w:sz w:val="24"/>
                      <w:szCs w:val="24"/>
                    </w:rPr>
                    <m:t>4</m:t>
                  </m:r>
                </m:sub>
              </m:sSub>
              <m:ctrlPr>
                <w:rPr>
                  <w:rFonts w:ascii="Cambria Math" w:hAnsi="Cambria Math" w:cstheme="minorHAnsi"/>
                  <w:i/>
                  <w:sz w:val="24"/>
                  <w:szCs w:val="24"/>
                </w:rPr>
              </m:ctrlPr>
            </m:den>
          </m:f>
          <m:d>
            <m:dPr>
              <m:ctrlPr>
                <w:rPr>
                  <w:rFonts w:ascii="Cambria Math" w:hAnsi="Cambria Math" w:cstheme="minorHAnsi"/>
                  <w:sz w:val="24"/>
                  <w:szCs w:val="24"/>
                </w:rPr>
              </m:ctrlPr>
            </m:dPr>
            <m:e>
              <m:sSub>
                <m:sSubPr>
                  <m:ctrlPr>
                    <w:rPr>
                      <w:rFonts w:ascii="Cambria Math" w:hAnsi="Cambria Math" w:cstheme="minorHAnsi"/>
                      <w:i/>
                      <w:sz w:val="24"/>
                      <w:szCs w:val="24"/>
                    </w:rPr>
                  </m:ctrlPr>
                </m:sSubPr>
                <m:e>
                  <m:r>
                    <w:rPr>
                      <w:rFonts w:ascii="Cambria Math" w:hAnsi="Cambria Math" w:cstheme="minorHAnsi"/>
                      <w:sz w:val="24"/>
                      <w:szCs w:val="24"/>
                    </w:rPr>
                    <m:t>ϕ</m:t>
                  </m:r>
                  <m:ctrlPr>
                    <w:rPr>
                      <w:rFonts w:ascii="Cambria Math" w:hAnsi="Cambria Math" w:cstheme="minorHAnsi"/>
                      <w:sz w:val="24"/>
                      <w:szCs w:val="24"/>
                    </w:rPr>
                  </m:ctrlPr>
                </m:e>
                <m:sub>
                  <m:r>
                    <w:rPr>
                      <w:rFonts w:ascii="Cambria Math" w:hAnsi="Cambria Math" w:cstheme="minorHAnsi"/>
                      <w:sz w:val="24"/>
                      <w:szCs w:val="24"/>
                    </w:rPr>
                    <m:t>0</m:t>
                  </m:r>
                </m:sub>
              </m:sSub>
              <m:r>
                <w:rPr>
                  <w:rFonts w:ascii="Cambria Math" w:hAnsi="Cambria Math" w:cstheme="minorHAnsi"/>
                  <w:sz w:val="24"/>
                  <w:szCs w:val="24"/>
                </w:rPr>
                <m:t>+</m:t>
              </m:r>
              <m:f>
                <m:fPr>
                  <m:ctrlPr>
                    <w:rPr>
                      <w:rFonts w:ascii="Cambria Math" w:hAnsi="Cambria Math" w:cstheme="minorHAnsi"/>
                      <w:sz w:val="24"/>
                      <w:szCs w:val="24"/>
                    </w:rPr>
                  </m:ctrlPr>
                </m:fPr>
                <m:num>
                  <m:sSub>
                    <m:sSubPr>
                      <m:ctrlPr>
                        <w:rPr>
                          <w:rFonts w:ascii="Cambria Math" w:hAnsi="Cambria Math" w:cstheme="minorHAnsi"/>
                          <w:i/>
                          <w:sz w:val="24"/>
                          <w:szCs w:val="24"/>
                        </w:rPr>
                      </m:ctrlPr>
                    </m:sSubPr>
                    <m:e>
                      <m:r>
                        <m:rPr>
                          <m:sty m:val="p"/>
                        </m:rPr>
                        <w:rPr>
                          <w:rFonts w:ascii="Cambria Math" w:hAnsi="Cambria Math" w:cstheme="minorHAnsi"/>
                          <w:sz w:val="24"/>
                          <w:szCs w:val="24"/>
                        </w:rPr>
                        <m:t>λ</m:t>
                      </m:r>
                    </m:e>
                    <m:sub>
                      <m:r>
                        <w:rPr>
                          <w:rFonts w:ascii="Cambria Math" w:hAnsi="Cambria Math" w:cstheme="minorHAnsi"/>
                          <w:sz w:val="24"/>
                          <w:szCs w:val="24"/>
                        </w:rPr>
                        <m:t>1</m:t>
                      </m:r>
                    </m:sub>
                  </m:sSub>
                  <m:ctrlPr>
                    <w:rPr>
                      <w:rFonts w:ascii="Cambria Math" w:hAnsi="Cambria Math" w:cstheme="minorHAnsi"/>
                      <w:i/>
                      <w:sz w:val="24"/>
                      <w:szCs w:val="24"/>
                    </w:rPr>
                  </m:ctrlPr>
                </m:num>
                <m:den>
                  <m:sSub>
                    <m:sSubPr>
                      <m:ctrlPr>
                        <w:rPr>
                          <w:rFonts w:ascii="Cambria Math" w:hAnsi="Cambria Math" w:cstheme="minorHAnsi"/>
                          <w:i/>
                          <w:sz w:val="24"/>
                          <w:szCs w:val="24"/>
                        </w:rPr>
                      </m:ctrlPr>
                    </m:sSubPr>
                    <m:e>
                      <m:r>
                        <m:rPr>
                          <m:sty m:val="p"/>
                        </m:rPr>
                        <w:rPr>
                          <w:rFonts w:ascii="Cambria Math" w:hAnsi="Cambria Math" w:cstheme="minorHAnsi"/>
                          <w:sz w:val="24"/>
                          <w:szCs w:val="24"/>
                        </w:rPr>
                        <m:t>λ</m:t>
                      </m:r>
                    </m:e>
                    <m:sub>
                      <m:r>
                        <w:rPr>
                          <w:rFonts w:ascii="Cambria Math" w:hAnsi="Cambria Math" w:cstheme="minorHAnsi"/>
                          <w:sz w:val="24"/>
                          <w:szCs w:val="24"/>
                        </w:rPr>
                        <m:t>4</m:t>
                      </m:r>
                    </m:sub>
                  </m:sSub>
                  <m:ctrlPr>
                    <w:rPr>
                      <w:rFonts w:ascii="Cambria Math" w:hAnsi="Cambria Math" w:cstheme="minorHAnsi"/>
                      <w:i/>
                      <w:sz w:val="24"/>
                      <w:szCs w:val="24"/>
                    </w:rPr>
                  </m:ctrlPr>
                </m:den>
              </m:f>
              <m:r>
                <w:rPr>
                  <w:rFonts w:ascii="Cambria Math" w:hAnsi="Cambria Math" w:cstheme="minorHAnsi"/>
                  <w:sz w:val="24"/>
                  <w:szCs w:val="24"/>
                </w:rPr>
                <m:t>+</m:t>
              </m:r>
              <m:sSub>
                <m:sSubPr>
                  <m:ctrlPr>
                    <w:rPr>
                      <w:rFonts w:ascii="Cambria Math" w:hAnsi="Cambria Math" w:cstheme="minorHAnsi"/>
                      <w:i/>
                      <w:sz w:val="24"/>
                      <w:szCs w:val="24"/>
                    </w:rPr>
                  </m:ctrlPr>
                </m:sSubPr>
                <m:e>
                  <m:r>
                    <m:rPr>
                      <m:sty m:val="p"/>
                    </m:rPr>
                    <w:rPr>
                      <w:rFonts w:ascii="Cambria Math" w:hAnsi="Cambria Math" w:cstheme="minorHAnsi"/>
                      <w:sz w:val="24"/>
                      <w:szCs w:val="24"/>
                    </w:rPr>
                    <m:t>λ</m:t>
                  </m:r>
                </m:e>
                <m:sub>
                  <m:r>
                    <w:rPr>
                      <w:rFonts w:ascii="Cambria Math" w:hAnsi="Cambria Math" w:cstheme="minorHAnsi"/>
                      <w:sz w:val="24"/>
                      <w:szCs w:val="24"/>
                    </w:rPr>
                    <m:t>3</m:t>
                  </m:r>
                </m:sub>
              </m:sSub>
              <m:r>
                <m:rPr>
                  <m:sty m:val="p"/>
                </m:rPr>
                <w:rPr>
                  <w:rFonts w:ascii="Cambria Math" w:hAnsi="Cambria Math" w:cstheme="minorHAnsi"/>
                  <w:sz w:val="24"/>
                  <w:szCs w:val="24"/>
                </w:rPr>
                <m:t>χ</m:t>
              </m:r>
              <m:ctrlPr>
                <w:rPr>
                  <w:rFonts w:ascii="Cambria Math" w:hAnsi="Cambria Math" w:cstheme="minorHAnsi"/>
                  <w:i/>
                  <w:sz w:val="24"/>
                  <w:szCs w:val="24"/>
                </w:rPr>
              </m:ctrlPr>
            </m:e>
          </m:d>
          <m:f>
            <m:fPr>
              <m:ctrlPr>
                <w:rPr>
                  <w:rFonts w:ascii="Cambria Math" w:hAnsi="Cambria Math" w:cstheme="minorHAnsi"/>
                  <w:sz w:val="24"/>
                  <w:szCs w:val="24"/>
                </w:rPr>
              </m:ctrlPr>
            </m:fPr>
            <m:num>
              <m:r>
                <w:rPr>
                  <w:rFonts w:ascii="Cambria Math" w:hAnsi="Cambria Math" w:cstheme="minorHAnsi"/>
                  <w:sz w:val="24"/>
                  <w:szCs w:val="24"/>
                </w:rPr>
                <m:t>1</m:t>
              </m:r>
              <m:ctrlPr>
                <w:rPr>
                  <w:rFonts w:ascii="Cambria Math" w:hAnsi="Cambria Math" w:cstheme="minorHAnsi"/>
                  <w:i/>
                  <w:sz w:val="24"/>
                  <w:szCs w:val="24"/>
                </w:rPr>
              </m:ctrlPr>
            </m:num>
            <m:den>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2</m:t>
                  </m:r>
                </m:sub>
              </m:sSub>
              <m:ctrlPr>
                <w:rPr>
                  <w:rFonts w:ascii="Cambria Math" w:hAnsi="Cambria Math" w:cstheme="minorHAnsi"/>
                  <w:i/>
                  <w:sz w:val="24"/>
                  <w:szCs w:val="24"/>
                </w:rPr>
              </m:ctrlPr>
            </m:den>
          </m:f>
          <m:r>
            <w:rPr>
              <w:rFonts w:ascii="Cambria Math" w:hAnsi="Cambria Math" w:cstheme="minorHAnsi"/>
              <w:sz w:val="24"/>
              <w:szCs w:val="24"/>
            </w:rPr>
            <m:t>+</m:t>
          </m:r>
          <m:f>
            <m:fPr>
              <m:ctrlPr>
                <w:rPr>
                  <w:rFonts w:ascii="Cambria Math" w:hAnsi="Cambria Math" w:cstheme="minorHAnsi"/>
                  <w:sz w:val="24"/>
                  <w:szCs w:val="24"/>
                </w:rPr>
              </m:ctrlPr>
            </m:fPr>
            <m:num>
              <m:r>
                <m:rPr>
                  <m:sty m:val="p"/>
                </m:rPr>
                <w:rPr>
                  <w:rFonts w:ascii="Cambria Math" w:hAnsi="Cambria Math" w:cstheme="minorHAnsi"/>
                  <w:sz w:val="24"/>
                  <w:szCs w:val="24"/>
                </w:rPr>
                <m:t>α</m:t>
              </m:r>
              <m:sSub>
                <m:sSubPr>
                  <m:ctrlPr>
                    <w:rPr>
                      <w:rFonts w:ascii="Cambria Math" w:hAnsi="Cambria Math" w:cstheme="minorHAnsi"/>
                      <w:i/>
                      <w:sz w:val="24"/>
                      <w:szCs w:val="24"/>
                    </w:rPr>
                  </m:ctrlPr>
                </m:sSubPr>
                <m:e>
                  <m:r>
                    <m:rPr>
                      <m:sty m:val="p"/>
                    </m:rPr>
                    <w:rPr>
                      <w:rFonts w:ascii="Cambria Math" w:hAnsi="Cambria Math" w:cstheme="minorHAnsi"/>
                      <w:sz w:val="24"/>
                      <w:szCs w:val="24"/>
                    </w:rPr>
                    <m:t>λ</m:t>
                  </m:r>
                  <m:ctrlPr>
                    <w:rPr>
                      <w:rFonts w:ascii="Cambria Math" w:hAnsi="Cambria Math" w:cstheme="minorHAnsi"/>
                      <w:sz w:val="24"/>
                      <w:szCs w:val="24"/>
                    </w:rPr>
                  </m:ctrlPr>
                </m:e>
                <m:sub>
                  <m:r>
                    <w:rPr>
                      <w:rFonts w:ascii="Cambria Math" w:hAnsi="Cambria Math" w:cstheme="minorHAnsi"/>
                      <w:sz w:val="24"/>
                      <w:szCs w:val="24"/>
                    </w:rPr>
                    <m:t>1</m:t>
                  </m:r>
                </m:sub>
              </m:sSub>
              <m:ctrlPr>
                <w:rPr>
                  <w:rFonts w:ascii="Cambria Math" w:hAnsi="Cambria Math" w:cstheme="minorHAnsi"/>
                  <w:i/>
                  <w:sz w:val="24"/>
                  <w:szCs w:val="24"/>
                </w:rPr>
              </m:ctrlPr>
            </m:num>
            <m:den>
              <m:sSub>
                <m:sSubPr>
                  <m:ctrlPr>
                    <w:rPr>
                      <w:rFonts w:ascii="Cambria Math" w:hAnsi="Cambria Math" w:cstheme="minorHAnsi"/>
                      <w:i/>
                      <w:sz w:val="24"/>
                      <w:szCs w:val="24"/>
                    </w:rPr>
                  </m:ctrlPr>
                </m:sSubPr>
                <m:e>
                  <m:r>
                    <m:rPr>
                      <m:sty m:val="p"/>
                    </m:rPr>
                    <w:rPr>
                      <w:rFonts w:ascii="Cambria Math" w:hAnsi="Cambria Math" w:cstheme="minorHAnsi"/>
                      <w:sz w:val="24"/>
                      <w:szCs w:val="24"/>
                    </w:rPr>
                    <m:t>λ</m:t>
                  </m:r>
                </m:e>
                <m:sub>
                  <m:r>
                    <w:rPr>
                      <w:rFonts w:ascii="Cambria Math" w:hAnsi="Cambria Math" w:cstheme="minorHAnsi"/>
                      <w:sz w:val="24"/>
                      <w:szCs w:val="24"/>
                    </w:rPr>
                    <m:t>4</m:t>
                  </m:r>
                </m:sub>
              </m:sSub>
              <m:ctrlPr>
                <w:rPr>
                  <w:rFonts w:ascii="Cambria Math" w:hAnsi="Cambria Math" w:cstheme="minorHAnsi"/>
                  <w:i/>
                  <w:sz w:val="24"/>
                  <w:szCs w:val="24"/>
                </w:rPr>
              </m:ctrlPr>
            </m:den>
          </m:f>
          <m:f>
            <m:fPr>
              <m:ctrlPr>
                <w:rPr>
                  <w:rFonts w:ascii="Cambria Math" w:hAnsi="Cambria Math" w:cstheme="minorHAns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1</m:t>
                  </m:r>
                </m:sub>
              </m:sSub>
              <m:ctrlPr>
                <w:rPr>
                  <w:rFonts w:ascii="Cambria Math" w:hAnsi="Cambria Math" w:cstheme="minorHAnsi"/>
                  <w:i/>
                  <w:sz w:val="24"/>
                  <w:szCs w:val="24"/>
                </w:rPr>
              </m:ctrlPr>
            </m:num>
            <m:den>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2</m:t>
                  </m:r>
                </m:sub>
              </m:sSub>
              <m:ctrlPr>
                <w:rPr>
                  <w:rFonts w:ascii="Cambria Math" w:hAnsi="Cambria Math" w:cstheme="minorHAnsi"/>
                  <w:i/>
                  <w:sz w:val="24"/>
                  <w:szCs w:val="24"/>
                </w:rPr>
              </m:ctrlPr>
            </m:den>
          </m:f>
          <m:r>
            <w:rPr>
              <w:rFonts w:ascii="Cambria Math" w:hAnsi="Cambria Math" w:cstheme="minorHAnsi"/>
              <w:sz w:val="24"/>
              <w:szCs w:val="24"/>
            </w:rPr>
            <m:t>+</m:t>
          </m:r>
          <m:f>
            <m:fPr>
              <m:ctrlPr>
                <w:rPr>
                  <w:rFonts w:ascii="Cambria Math" w:hAnsi="Cambria Math" w:cstheme="minorHAnsi"/>
                  <w:sz w:val="24"/>
                  <w:szCs w:val="24"/>
                </w:rPr>
              </m:ctrlPr>
            </m:fPr>
            <m:num>
              <m:r>
                <m:rPr>
                  <m:sty m:val="p"/>
                </m:rPr>
                <w:rPr>
                  <w:rFonts w:ascii="Cambria Math" w:hAnsi="Cambria Math" w:cstheme="minorHAnsi"/>
                  <w:sz w:val="24"/>
                  <w:szCs w:val="24"/>
                </w:rPr>
                <m:t>α</m:t>
              </m:r>
              <m:ctrlPr>
                <w:rPr>
                  <w:rFonts w:ascii="Cambria Math" w:hAnsi="Cambria Math" w:cstheme="minorHAnsi"/>
                  <w:i/>
                  <w:sz w:val="24"/>
                  <w:szCs w:val="24"/>
                </w:rPr>
              </m:ctrlPr>
            </m:num>
            <m:den>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2</m:t>
                  </m:r>
                </m:sub>
              </m:sSub>
              <m:ctrlPr>
                <w:rPr>
                  <w:rFonts w:ascii="Cambria Math" w:hAnsi="Cambria Math" w:cstheme="minorHAnsi"/>
                  <w:i/>
                  <w:sz w:val="24"/>
                  <w:szCs w:val="24"/>
                </w:rPr>
              </m:ctrlPr>
            </m:den>
          </m:f>
          <m:d>
            <m:dPr>
              <m:begChr m:val="["/>
              <m:endChr m:val="]"/>
              <m:ctrlPr>
                <w:rPr>
                  <w:rFonts w:ascii="Cambria Math" w:hAnsi="Cambria Math" w:cstheme="minorHAnsi"/>
                  <w:sz w:val="24"/>
                  <w:szCs w:val="24"/>
                </w:rPr>
              </m:ctrlPr>
            </m:dPr>
            <m:e>
              <m:r>
                <w:rPr>
                  <w:rFonts w:ascii="Cambria Math" w:hAnsi="Cambria Math" w:cstheme="minorHAnsi"/>
                  <w:sz w:val="24"/>
                  <w:szCs w:val="24"/>
                </w:rPr>
                <m:t>y-ρ</m:t>
              </m:r>
              <m:nary>
                <m:naryPr>
                  <m:chr m:val="∑"/>
                  <m:ctrlPr>
                    <w:rPr>
                      <w:rFonts w:ascii="Cambria Math" w:hAnsi="Cambria Math" w:cstheme="minorHAnsi"/>
                      <w:sz w:val="24"/>
                      <w:szCs w:val="24"/>
                    </w:rPr>
                  </m:ctrlPr>
                </m:naryPr>
                <m:sub>
                  <m:r>
                    <w:rPr>
                      <w:rFonts w:ascii="Cambria Math" w:hAnsi="Cambria Math" w:cstheme="minorHAnsi"/>
                      <w:sz w:val="24"/>
                      <w:szCs w:val="24"/>
                    </w:rPr>
                    <m:t>j=1</m:t>
                  </m:r>
                  <m:ctrlPr>
                    <w:rPr>
                      <w:rFonts w:ascii="Cambria Math" w:hAnsi="Cambria Math" w:cstheme="minorHAnsi"/>
                      <w:i/>
                      <w:sz w:val="24"/>
                      <w:szCs w:val="24"/>
                    </w:rPr>
                  </m:ctrlPr>
                </m:sub>
                <m:sup>
                  <m:r>
                    <w:rPr>
                      <w:rFonts w:ascii="Cambria Math" w:hAnsi="Cambria Math" w:cstheme="minorHAnsi"/>
                      <w:sz w:val="24"/>
                      <w:szCs w:val="24"/>
                    </w:rPr>
                    <m:t>m</m:t>
                  </m:r>
                  <m:ctrlPr>
                    <w:rPr>
                      <w:rFonts w:ascii="Cambria Math" w:hAnsi="Cambria Math" w:cstheme="minorHAnsi"/>
                      <w:i/>
                      <w:sz w:val="24"/>
                      <w:szCs w:val="24"/>
                    </w:rPr>
                  </m:ctrlPr>
                </m:sup>
                <m:e>
                  <m:sSub>
                    <m:sSubPr>
                      <m:ctrlPr>
                        <w:rPr>
                          <w:rFonts w:ascii="Cambria Math" w:hAnsi="Cambria Math" w:cstheme="minorHAnsi"/>
                          <w:i/>
                          <w:sz w:val="24"/>
                          <w:szCs w:val="24"/>
                        </w:rPr>
                      </m:ctrlPr>
                    </m:sSubPr>
                    <m:e>
                      <m:r>
                        <w:rPr>
                          <w:rFonts w:ascii="Cambria Math" w:hAnsi="Cambria Math" w:cstheme="minorHAnsi"/>
                          <w:sz w:val="24"/>
                          <w:szCs w:val="24"/>
                        </w:rPr>
                        <m:t>K</m:t>
                      </m:r>
                    </m:e>
                    <m:sub>
                      <m:r>
                        <w:rPr>
                          <w:rFonts w:ascii="Cambria Math" w:hAnsi="Cambria Math" w:cstheme="minorHAnsi"/>
                          <w:sz w:val="24"/>
                          <w:szCs w:val="24"/>
                        </w:rPr>
                        <m:t>j</m:t>
                      </m:r>
                    </m:sub>
                  </m:sSub>
                  <m:ctrlPr>
                    <w:rPr>
                      <w:rFonts w:ascii="Cambria Math" w:hAnsi="Cambria Math" w:cstheme="minorHAnsi"/>
                      <w:i/>
                      <w:sz w:val="24"/>
                      <w:szCs w:val="24"/>
                    </w:rPr>
                  </m:ctrlPr>
                </m:e>
              </m:nary>
              <m:sSub>
                <m:sSubPr>
                  <m:ctrlPr>
                    <w:rPr>
                      <w:rFonts w:ascii="Cambria Math" w:hAnsi="Cambria Math" w:cstheme="minorHAnsi"/>
                      <w:i/>
                      <w:sz w:val="24"/>
                      <w:szCs w:val="24"/>
                    </w:rPr>
                  </m:ctrlPr>
                </m:sSubPr>
                <m:e>
                  <m:r>
                    <m:rPr>
                      <m:sty m:val="p"/>
                    </m:rPr>
                    <w:rPr>
                      <w:rFonts w:ascii="Cambria Math" w:hAnsi="Cambria Math" w:cstheme="minorHAnsi"/>
                      <w:sz w:val="24"/>
                      <w:szCs w:val="24"/>
                    </w:rPr>
                    <m:t>δ</m:t>
                  </m:r>
                  <m:ctrlPr>
                    <w:rPr>
                      <w:rFonts w:ascii="Cambria Math" w:hAnsi="Cambria Math" w:cstheme="minorHAnsi"/>
                      <w:sz w:val="24"/>
                      <w:szCs w:val="24"/>
                    </w:rPr>
                  </m:ctrlPr>
                </m:e>
                <m:sub>
                  <m:r>
                    <w:rPr>
                      <w:rFonts w:ascii="Cambria Math" w:hAnsi="Cambria Math" w:cstheme="minorHAnsi"/>
                      <w:sz w:val="24"/>
                      <w:szCs w:val="24"/>
                    </w:rPr>
                    <m:t>j</m:t>
                  </m:r>
                </m:sub>
              </m:sSub>
              <m:r>
                <w:rPr>
                  <w:rFonts w:ascii="Cambria Math" w:hAnsi="Cambria Math" w:cstheme="minorHAnsi"/>
                  <w:sz w:val="24"/>
                  <w:szCs w:val="24"/>
                </w:rPr>
                <m:t>+</m:t>
              </m:r>
              <m:nary>
                <m:naryPr>
                  <m:chr m:val="∑"/>
                  <m:ctrlPr>
                    <w:rPr>
                      <w:rFonts w:ascii="Cambria Math" w:hAnsi="Cambria Math" w:cstheme="minorHAnsi"/>
                      <w:sz w:val="24"/>
                      <w:szCs w:val="24"/>
                    </w:rPr>
                  </m:ctrlPr>
                </m:naryPr>
                <m:sub>
                  <m:r>
                    <w:rPr>
                      <w:rFonts w:ascii="Cambria Math" w:hAnsi="Cambria Math" w:cstheme="minorHAnsi"/>
                      <w:sz w:val="24"/>
                      <w:szCs w:val="24"/>
                    </w:rPr>
                    <m:t>j=1</m:t>
                  </m:r>
                  <m:ctrlPr>
                    <w:rPr>
                      <w:rFonts w:ascii="Cambria Math" w:hAnsi="Cambria Math" w:cstheme="minorHAnsi"/>
                      <w:i/>
                      <w:sz w:val="24"/>
                      <w:szCs w:val="24"/>
                    </w:rPr>
                  </m:ctrlPr>
                </m:sub>
                <m:sup>
                  <m:r>
                    <w:rPr>
                      <w:rFonts w:ascii="Cambria Math" w:hAnsi="Cambria Math" w:cstheme="minorHAnsi"/>
                      <w:sz w:val="24"/>
                      <w:szCs w:val="24"/>
                    </w:rPr>
                    <m:t>m</m:t>
                  </m:r>
                  <m:ctrlPr>
                    <w:rPr>
                      <w:rFonts w:ascii="Cambria Math" w:hAnsi="Cambria Math" w:cstheme="minorHAnsi"/>
                      <w:i/>
                      <w:sz w:val="24"/>
                      <w:szCs w:val="24"/>
                    </w:rPr>
                  </m:ctrlPr>
                </m:sup>
                <m:e>
                  <m:f>
                    <m:fPr>
                      <m:ctrlPr>
                        <w:rPr>
                          <w:rFonts w:ascii="Cambria Math" w:hAnsi="Cambria Math" w:cstheme="minorHAns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ϕ</m:t>
                          </m:r>
                        </m:e>
                        <m:sub>
                          <m:r>
                            <w:rPr>
                              <w:rFonts w:ascii="Cambria Math" w:hAnsi="Cambria Math" w:cstheme="minorHAnsi"/>
                              <w:sz w:val="24"/>
                              <w:szCs w:val="24"/>
                            </w:rPr>
                            <m:t>j</m:t>
                          </m:r>
                        </m:sub>
                      </m:sSub>
                      <m:ctrlPr>
                        <w:rPr>
                          <w:rFonts w:ascii="Cambria Math" w:hAnsi="Cambria Math" w:cstheme="minorHAnsi"/>
                          <w:i/>
                          <w:sz w:val="24"/>
                          <w:szCs w:val="24"/>
                        </w:rPr>
                      </m:ctrlPr>
                    </m:num>
                    <m:den>
                      <m:sSub>
                        <m:sSubPr>
                          <m:ctrlPr>
                            <w:rPr>
                              <w:rFonts w:ascii="Cambria Math" w:hAnsi="Cambria Math" w:cstheme="minorHAnsi"/>
                              <w:i/>
                              <w:sz w:val="24"/>
                              <w:szCs w:val="24"/>
                            </w:rPr>
                          </m:ctrlPr>
                        </m:sSubPr>
                        <m:e>
                          <m:r>
                            <m:rPr>
                              <m:sty m:val="p"/>
                            </m:rPr>
                            <w:rPr>
                              <w:rFonts w:ascii="Cambria Math" w:hAnsi="Cambria Math" w:cstheme="minorHAnsi"/>
                              <w:sz w:val="24"/>
                              <w:szCs w:val="24"/>
                            </w:rPr>
                            <m:t>λ</m:t>
                          </m:r>
                        </m:e>
                        <m:sub>
                          <m:r>
                            <w:rPr>
                              <w:rFonts w:ascii="Cambria Math" w:hAnsi="Cambria Math" w:cstheme="minorHAnsi"/>
                              <w:sz w:val="24"/>
                              <w:szCs w:val="24"/>
                            </w:rPr>
                            <m:t>4</m:t>
                          </m:r>
                        </m:sub>
                      </m:sSub>
                      <m:ctrlPr>
                        <w:rPr>
                          <w:rFonts w:ascii="Cambria Math" w:hAnsi="Cambria Math" w:cstheme="minorHAnsi"/>
                          <w:i/>
                          <w:sz w:val="24"/>
                          <w:szCs w:val="24"/>
                        </w:rPr>
                      </m:ctrlPr>
                    </m:den>
                  </m:f>
                  <m:sSub>
                    <m:sSubPr>
                      <m:ctrlPr>
                        <w:rPr>
                          <w:rFonts w:ascii="Cambria Math" w:hAnsi="Cambria Math" w:cstheme="minorHAnsi"/>
                          <w:i/>
                          <w:sz w:val="24"/>
                          <w:szCs w:val="24"/>
                        </w:rPr>
                      </m:ctrlPr>
                    </m:sSubPr>
                    <m:e>
                      <m:r>
                        <m:rPr>
                          <m:sty m:val="p"/>
                        </m:rPr>
                        <w:rPr>
                          <w:rFonts w:ascii="Cambria Math" w:hAnsi="Cambria Math" w:cstheme="minorHAnsi"/>
                          <w:sz w:val="24"/>
                          <w:szCs w:val="24"/>
                        </w:rPr>
                        <m:t>δ</m:t>
                      </m:r>
                      <m:ctrlPr>
                        <w:rPr>
                          <w:rFonts w:ascii="Cambria Math" w:hAnsi="Cambria Math" w:cstheme="minorHAnsi"/>
                          <w:sz w:val="24"/>
                          <w:szCs w:val="24"/>
                        </w:rPr>
                      </m:ctrlPr>
                    </m:e>
                    <m:sub>
                      <m:r>
                        <w:rPr>
                          <w:rFonts w:ascii="Cambria Math" w:hAnsi="Cambria Math" w:cstheme="minorHAnsi"/>
                          <w:sz w:val="24"/>
                          <w:szCs w:val="24"/>
                        </w:rPr>
                        <m:t>j</m:t>
                      </m:r>
                    </m:sub>
                  </m:sSub>
                </m:e>
              </m:nary>
              <m:ctrlPr>
                <w:rPr>
                  <w:rFonts w:ascii="Cambria Math" w:hAnsi="Cambria Math" w:cstheme="minorHAnsi"/>
                  <w:i/>
                  <w:sz w:val="24"/>
                  <w:szCs w:val="24"/>
                </w:rPr>
              </m:ctrlPr>
            </m:e>
          </m:d>
        </m:oMath>
      </m:oMathPara>
    </w:p>
    <w:p w14:paraId="33C623FC" w14:textId="0C577E94" w:rsidR="009026AD" w:rsidRDefault="009026AD" w:rsidP="009026AD">
      <w:pPr>
        <w:autoSpaceDE w:val="0"/>
        <w:autoSpaceDN w:val="0"/>
        <w:adjustRightInd w:val="0"/>
        <w:jc w:val="both"/>
        <w:rPr>
          <w:rFonts w:cstheme="minorHAnsi"/>
          <w:sz w:val="24"/>
          <w:szCs w:val="24"/>
        </w:rPr>
      </w:pPr>
    </w:p>
    <w:p w14:paraId="4CB4E6F0" w14:textId="4E5BEE9A" w:rsidR="00B233D4" w:rsidRDefault="00C87E39" w:rsidP="00C87E39">
      <w:pPr>
        <w:autoSpaceDE w:val="0"/>
        <w:autoSpaceDN w:val="0"/>
        <w:adjustRightInd w:val="0"/>
        <w:jc w:val="both"/>
        <w:rPr>
          <w:rFonts w:cstheme="minorHAnsi"/>
          <w:sz w:val="24"/>
          <w:szCs w:val="24"/>
        </w:rPr>
      </w:pPr>
      <w:r w:rsidRPr="00C87E39">
        <w:rPr>
          <w:rFonts w:cstheme="minorHAnsi"/>
          <w:sz w:val="24"/>
          <w:szCs w:val="24"/>
        </w:rPr>
        <w:t xml:space="preserve">where, consumption </w:t>
      </w:r>
      <m:oMath>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i</m:t>
            </m:r>
          </m:sub>
        </m:sSub>
      </m:oMath>
      <w:r w:rsidRPr="00C87E39">
        <w:rPr>
          <w:rFonts w:cstheme="minorHAnsi"/>
          <w:sz w:val="24"/>
          <w:szCs w:val="24"/>
        </w:rPr>
        <w:t xml:space="preserve"> is modeled as the sum of base consumption of electricity </w:t>
      </w:r>
      <m:oMath>
        <m:sSub>
          <m:sSubPr>
            <m:ctrlPr>
              <w:rPr>
                <w:rFonts w:ascii="Cambria Math" w:hAnsi="Cambria Math" w:cstheme="minorHAnsi"/>
                <w:i/>
                <w:sz w:val="24"/>
                <w:szCs w:val="24"/>
              </w:rPr>
            </m:ctrlPr>
          </m:sSubPr>
          <m:e>
            <m:r>
              <w:rPr>
                <w:rFonts w:ascii="Cambria Math" w:hAnsi="Cambria Math" w:cstheme="minorHAnsi"/>
                <w:sz w:val="24"/>
                <w:szCs w:val="24"/>
              </w:rPr>
              <m:t>ϕ</m:t>
            </m:r>
          </m:e>
          <m:sub>
            <m:r>
              <w:rPr>
                <w:rFonts w:ascii="Cambria Math" w:hAnsi="Cambria Math" w:cstheme="minorHAnsi"/>
                <w:sz w:val="24"/>
                <w:szCs w:val="24"/>
              </w:rPr>
              <m:t>0</m:t>
            </m:r>
          </m:sub>
        </m:sSub>
      </m:oMath>
      <w:r w:rsidRPr="00C87E39">
        <w:rPr>
          <w:rFonts w:cstheme="minorHAnsi"/>
          <w:sz w:val="24"/>
          <w:szCs w:val="24"/>
        </w:rPr>
        <w:t xml:space="preserve"> and consumption due to ownership of appliances </w:t>
      </w:r>
      <m:oMath>
        <m:sSub>
          <m:sSubPr>
            <m:ctrlPr>
              <w:rPr>
                <w:rFonts w:ascii="Cambria Math" w:hAnsi="Cambria Math" w:cstheme="minorHAnsi"/>
                <w:i/>
                <w:sz w:val="24"/>
                <w:szCs w:val="24"/>
              </w:rPr>
            </m:ctrlPr>
          </m:sSubPr>
          <m:e>
            <m:r>
              <m:rPr>
                <m:sty m:val="p"/>
              </m:rPr>
              <w:rPr>
                <w:rFonts w:ascii="Cambria Math" w:hAnsi="Cambria Math" w:cstheme="minorHAnsi"/>
                <w:sz w:val="24"/>
                <w:szCs w:val="24"/>
              </w:rPr>
              <m:t>δ</m:t>
            </m:r>
            <m:ctrlPr>
              <w:rPr>
                <w:rFonts w:ascii="Cambria Math" w:hAnsi="Cambria Math" w:cstheme="minorHAnsi"/>
                <w:sz w:val="24"/>
                <w:szCs w:val="24"/>
              </w:rPr>
            </m:ctrlPr>
          </m:e>
          <m:sub>
            <m:r>
              <w:rPr>
                <w:rFonts w:ascii="Cambria Math" w:hAnsi="Cambria Math" w:cstheme="minorHAnsi"/>
                <w:sz w:val="24"/>
                <w:szCs w:val="24"/>
              </w:rPr>
              <m:t>j</m:t>
            </m:r>
          </m:sub>
        </m:sSub>
        <m:sSub>
          <m:sSubPr>
            <m:ctrlPr>
              <w:rPr>
                <w:rFonts w:ascii="Cambria Math" w:hAnsi="Cambria Math" w:cstheme="minorHAnsi"/>
                <w:i/>
                <w:sz w:val="24"/>
                <w:szCs w:val="24"/>
              </w:rPr>
            </m:ctrlPr>
          </m:sSubPr>
          <m:e>
            <m:r>
              <w:rPr>
                <w:rFonts w:ascii="Cambria Math" w:hAnsi="Cambria Math" w:cstheme="minorHAnsi"/>
                <w:sz w:val="24"/>
                <w:szCs w:val="24"/>
              </w:rPr>
              <m:t>ϕ</m:t>
            </m:r>
            <m:ctrlPr>
              <w:rPr>
                <w:rFonts w:ascii="Cambria Math" w:hAnsi="Cambria Math" w:cstheme="minorHAnsi"/>
                <w:sz w:val="24"/>
                <w:szCs w:val="24"/>
              </w:rPr>
            </m:ctrlPr>
          </m:e>
          <m:sub>
            <m:r>
              <w:rPr>
                <w:rFonts w:ascii="Cambria Math" w:hAnsi="Cambria Math" w:cstheme="minorHAnsi"/>
                <w:sz w:val="24"/>
                <w:szCs w:val="24"/>
              </w:rPr>
              <m:t>j</m:t>
            </m:r>
          </m:sub>
        </m:sSub>
      </m:oMath>
      <w:r w:rsidRPr="00C87E39">
        <w:rPr>
          <w:rFonts w:cstheme="minorHAnsi"/>
          <w:sz w:val="24"/>
          <w:szCs w:val="24"/>
        </w:rPr>
        <w:t xml:space="preserve">, where </w:t>
      </w:r>
      <m:oMath>
        <m:sSub>
          <m:sSubPr>
            <m:ctrlPr>
              <w:rPr>
                <w:rFonts w:ascii="Cambria Math" w:hAnsi="Cambria Math" w:cstheme="minorHAnsi"/>
                <w:i/>
                <w:sz w:val="24"/>
                <w:szCs w:val="24"/>
              </w:rPr>
            </m:ctrlPr>
          </m:sSubPr>
          <m:e>
            <m:r>
              <w:rPr>
                <w:rFonts w:ascii="Cambria Math" w:hAnsi="Cambria Math" w:cstheme="minorHAnsi"/>
                <w:sz w:val="24"/>
                <w:szCs w:val="24"/>
              </w:rPr>
              <m:t>δ</m:t>
            </m:r>
            <m:ctrlPr>
              <w:rPr>
                <w:rFonts w:ascii="Cambria Math" w:hAnsi="Cambria Math" w:cstheme="minorHAnsi"/>
                <w:sz w:val="24"/>
                <w:szCs w:val="24"/>
              </w:rPr>
            </m:ctrlPr>
          </m:e>
          <m:sub>
            <m:r>
              <w:rPr>
                <w:rFonts w:ascii="Cambria Math" w:hAnsi="Cambria Math" w:cstheme="minorHAnsi"/>
                <w:sz w:val="24"/>
                <w:szCs w:val="24"/>
              </w:rPr>
              <m:t>j</m:t>
            </m:r>
          </m:sub>
        </m:sSub>
      </m:oMath>
      <w:r w:rsidRPr="00C87E39">
        <w:rPr>
          <w:rFonts w:cstheme="minorHAnsi"/>
          <w:sz w:val="24"/>
          <w:szCs w:val="24"/>
        </w:rPr>
        <w:t xml:space="preserve"> presents the ownership of appliance </w:t>
      </w:r>
      <m:oMath>
        <m:r>
          <w:rPr>
            <w:rFonts w:ascii="Cambria Math" w:hAnsi="Cambria Math" w:cstheme="minorHAnsi"/>
            <w:sz w:val="24"/>
            <w:szCs w:val="24"/>
          </w:rPr>
          <m:t>j</m:t>
        </m:r>
      </m:oMath>
      <w:r w:rsidRPr="00C87E39">
        <w:rPr>
          <w:rFonts w:cstheme="minorHAnsi"/>
          <w:sz w:val="24"/>
          <w:szCs w:val="24"/>
        </w:rPr>
        <w:t xml:space="preserve"> and </w:t>
      </w:r>
      <m:oMath>
        <m:sSub>
          <m:sSubPr>
            <m:ctrlPr>
              <w:rPr>
                <w:rFonts w:ascii="Cambria Math" w:hAnsi="Cambria Math" w:cstheme="minorHAnsi"/>
                <w:i/>
                <w:sz w:val="24"/>
                <w:szCs w:val="24"/>
              </w:rPr>
            </m:ctrlPr>
          </m:sSubPr>
          <m:e>
            <m:r>
              <w:rPr>
                <w:rFonts w:ascii="Cambria Math" w:hAnsi="Cambria Math" w:cstheme="minorHAnsi"/>
                <w:sz w:val="24"/>
                <w:szCs w:val="24"/>
              </w:rPr>
              <m:t>ϕ</m:t>
            </m:r>
            <m:ctrlPr>
              <w:rPr>
                <w:rFonts w:ascii="Cambria Math" w:hAnsi="Cambria Math" w:cstheme="minorHAnsi"/>
                <w:sz w:val="24"/>
                <w:szCs w:val="24"/>
              </w:rPr>
            </m:ctrlPr>
          </m:e>
          <m:sub>
            <m:r>
              <w:rPr>
                <w:rFonts w:ascii="Cambria Math" w:hAnsi="Cambria Math" w:cstheme="minorHAnsi"/>
                <w:sz w:val="24"/>
                <w:szCs w:val="24"/>
              </w:rPr>
              <m:t>j</m:t>
            </m:r>
          </m:sub>
        </m:sSub>
      </m:oMath>
      <w:r w:rsidR="00D37E8C">
        <w:rPr>
          <w:rFonts w:cstheme="minorHAnsi"/>
          <w:sz w:val="24"/>
          <w:szCs w:val="24"/>
        </w:rPr>
        <w:t xml:space="preserve"> </w:t>
      </w:r>
      <w:r w:rsidRPr="00C87E39">
        <w:rPr>
          <w:rFonts w:cstheme="minorHAnsi"/>
          <w:sz w:val="24"/>
          <w:szCs w:val="24"/>
        </w:rPr>
        <w:t>is</w:t>
      </w:r>
      <w:r w:rsidR="00D37E8C">
        <w:rPr>
          <w:rFonts w:cstheme="minorHAnsi"/>
          <w:sz w:val="24"/>
          <w:szCs w:val="24"/>
        </w:rPr>
        <w:t xml:space="preserve"> </w:t>
      </w:r>
      <w:r w:rsidRPr="00C87E39">
        <w:rPr>
          <w:rFonts w:cstheme="minorHAnsi"/>
          <w:sz w:val="24"/>
          <w:szCs w:val="24"/>
        </w:rPr>
        <w:t>the average electricity consumption of the appliance. In addition, each household's consumption</w:t>
      </w:r>
      <w:r w:rsidR="00D37E8C">
        <w:rPr>
          <w:rFonts w:cstheme="minorHAnsi"/>
          <w:sz w:val="24"/>
          <w:szCs w:val="24"/>
        </w:rPr>
        <w:t xml:space="preserve"> </w:t>
      </w:r>
      <w:r w:rsidRPr="00C87E39">
        <w:rPr>
          <w:rFonts w:cstheme="minorHAnsi"/>
          <w:sz w:val="24"/>
          <w:szCs w:val="24"/>
        </w:rPr>
        <w:t>is a</w:t>
      </w:r>
      <w:r w:rsidR="00D37E8C">
        <w:rPr>
          <w:rFonts w:cstheme="minorHAnsi"/>
          <w:sz w:val="24"/>
          <w:szCs w:val="24"/>
        </w:rPr>
        <w:t>ff</w:t>
      </w:r>
      <w:r w:rsidRPr="00C87E39">
        <w:rPr>
          <w:rFonts w:cstheme="minorHAnsi"/>
          <w:sz w:val="24"/>
          <w:szCs w:val="24"/>
        </w:rPr>
        <w:t xml:space="preserve">ected by the price of electricity </w:t>
      </w:r>
      <m:oMath>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1</m:t>
            </m:r>
          </m:sub>
        </m:sSub>
      </m:oMath>
      <w:r w:rsidRPr="00C87E39">
        <w:rPr>
          <w:rFonts w:cstheme="minorHAnsi"/>
          <w:sz w:val="24"/>
          <w:szCs w:val="24"/>
        </w:rPr>
        <w:t xml:space="preserve">, the price of alternative fuels </w:t>
      </w:r>
      <m:oMath>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2</m:t>
            </m:r>
          </m:sub>
        </m:sSub>
      </m:oMath>
      <w:r w:rsidRPr="00C87E39">
        <w:rPr>
          <w:rFonts w:cstheme="minorHAnsi"/>
          <w:sz w:val="24"/>
          <w:szCs w:val="24"/>
        </w:rPr>
        <w:t>, a vector of household</w:t>
      </w:r>
      <w:r w:rsidR="00ED6E4F">
        <w:rPr>
          <w:rFonts w:cstheme="minorHAnsi"/>
          <w:sz w:val="24"/>
          <w:szCs w:val="24"/>
        </w:rPr>
        <w:t xml:space="preserve"> </w:t>
      </w:r>
      <w:r w:rsidRPr="00C87E39">
        <w:rPr>
          <w:rFonts w:cstheme="minorHAnsi"/>
          <w:sz w:val="24"/>
          <w:szCs w:val="24"/>
        </w:rPr>
        <w:t xml:space="preserve">characteristics </w:t>
      </w:r>
      <m:oMath>
        <m:r>
          <w:rPr>
            <w:rFonts w:ascii="Cambria Math" w:hAnsi="Cambria Math" w:cstheme="minorHAnsi"/>
            <w:sz w:val="24"/>
            <w:szCs w:val="24"/>
          </w:rPr>
          <m:t>χ</m:t>
        </m:r>
      </m:oMath>
      <w:r w:rsidRPr="00C87E39">
        <w:rPr>
          <w:rFonts w:cstheme="minorHAnsi"/>
          <w:sz w:val="24"/>
          <w:szCs w:val="24"/>
        </w:rPr>
        <w:softHyphen/>
        <w:t xml:space="preserve"> and household's disposable income (i.e., total income </w:t>
      </w:r>
      <m:oMath>
        <m:r>
          <w:rPr>
            <w:rFonts w:ascii="Cambria Math" w:hAnsi="Cambria Math" w:cstheme="minorHAnsi"/>
            <w:sz w:val="24"/>
            <w:szCs w:val="24"/>
          </w:rPr>
          <m:t>y</m:t>
        </m:r>
      </m:oMath>
      <w:r w:rsidRPr="00C87E39">
        <w:rPr>
          <w:rFonts w:cstheme="minorHAnsi"/>
          <w:sz w:val="24"/>
          <w:szCs w:val="24"/>
        </w:rPr>
        <w:t xml:space="preserve"> minus the annualized</w:t>
      </w:r>
      <w:r w:rsidR="00ED6E4F">
        <w:rPr>
          <w:rFonts w:cstheme="minorHAnsi"/>
          <w:sz w:val="24"/>
          <w:szCs w:val="24"/>
        </w:rPr>
        <w:t xml:space="preserve"> </w:t>
      </w:r>
      <w:r w:rsidRPr="00C87E39">
        <w:rPr>
          <w:rFonts w:cstheme="minorHAnsi"/>
          <w:sz w:val="24"/>
          <w:szCs w:val="24"/>
        </w:rPr>
        <w:t xml:space="preserve">investment cost of electric appliances </w:t>
      </w:r>
      <m:oMath>
        <m:r>
          <w:rPr>
            <w:rFonts w:ascii="Cambria Math" w:hAnsi="Cambria Math" w:cstheme="minorHAnsi"/>
            <w:sz w:val="24"/>
            <w:szCs w:val="24"/>
          </w:rPr>
          <m:t>ρ</m:t>
        </m:r>
        <m:nary>
          <m:naryPr>
            <m:chr m:val="∑"/>
            <m:ctrlPr>
              <w:rPr>
                <w:rFonts w:ascii="Cambria Math" w:hAnsi="Cambria Math" w:cstheme="minorHAnsi"/>
                <w:sz w:val="24"/>
                <w:szCs w:val="24"/>
              </w:rPr>
            </m:ctrlPr>
          </m:naryPr>
          <m:sub>
            <m:r>
              <w:rPr>
                <w:rFonts w:ascii="Cambria Math" w:hAnsi="Cambria Math" w:cstheme="minorHAnsi"/>
                <w:sz w:val="24"/>
                <w:szCs w:val="24"/>
              </w:rPr>
              <m:t>j=1</m:t>
            </m:r>
            <m:ctrlPr>
              <w:rPr>
                <w:rFonts w:ascii="Cambria Math" w:hAnsi="Cambria Math" w:cstheme="minorHAnsi"/>
                <w:i/>
                <w:sz w:val="24"/>
                <w:szCs w:val="24"/>
              </w:rPr>
            </m:ctrlPr>
          </m:sub>
          <m:sup>
            <m:r>
              <w:rPr>
                <w:rFonts w:ascii="Cambria Math" w:hAnsi="Cambria Math" w:cstheme="minorHAnsi"/>
                <w:sz w:val="24"/>
                <w:szCs w:val="24"/>
              </w:rPr>
              <m:t>m</m:t>
            </m:r>
            <m:ctrlPr>
              <w:rPr>
                <w:rFonts w:ascii="Cambria Math" w:hAnsi="Cambria Math" w:cstheme="minorHAnsi"/>
                <w:i/>
                <w:sz w:val="24"/>
                <w:szCs w:val="24"/>
              </w:rPr>
            </m:ctrlPr>
          </m:sup>
          <m:e>
            <m:sSub>
              <m:sSubPr>
                <m:ctrlPr>
                  <w:rPr>
                    <w:rFonts w:ascii="Cambria Math" w:hAnsi="Cambria Math" w:cstheme="minorHAnsi"/>
                    <w:i/>
                    <w:sz w:val="24"/>
                    <w:szCs w:val="24"/>
                  </w:rPr>
                </m:ctrlPr>
              </m:sSubPr>
              <m:e>
                <m:r>
                  <w:rPr>
                    <w:rFonts w:ascii="Cambria Math" w:hAnsi="Cambria Math" w:cstheme="minorHAnsi"/>
                    <w:sz w:val="24"/>
                    <w:szCs w:val="24"/>
                  </w:rPr>
                  <m:t>K</m:t>
                </m:r>
              </m:e>
              <m:sub>
                <m:r>
                  <w:rPr>
                    <w:rFonts w:ascii="Cambria Math" w:hAnsi="Cambria Math" w:cstheme="minorHAnsi"/>
                    <w:sz w:val="24"/>
                    <w:szCs w:val="24"/>
                  </w:rPr>
                  <m:t>j</m:t>
                </m:r>
              </m:sub>
            </m:sSub>
            <m:ctrlPr>
              <w:rPr>
                <w:rFonts w:ascii="Cambria Math" w:hAnsi="Cambria Math" w:cstheme="minorHAnsi"/>
                <w:i/>
                <w:sz w:val="24"/>
                <w:szCs w:val="24"/>
              </w:rPr>
            </m:ctrlPr>
          </m:e>
        </m:nary>
        <m:sSub>
          <m:sSubPr>
            <m:ctrlPr>
              <w:rPr>
                <w:rFonts w:ascii="Cambria Math" w:hAnsi="Cambria Math" w:cstheme="minorHAnsi"/>
                <w:i/>
                <w:sz w:val="24"/>
                <w:szCs w:val="24"/>
              </w:rPr>
            </m:ctrlPr>
          </m:sSubPr>
          <m:e>
            <m:r>
              <m:rPr>
                <m:sty m:val="p"/>
              </m:rPr>
              <w:rPr>
                <w:rFonts w:ascii="Cambria Math" w:hAnsi="Cambria Math" w:cstheme="minorHAnsi"/>
                <w:sz w:val="24"/>
                <w:szCs w:val="24"/>
              </w:rPr>
              <m:t>δ</m:t>
            </m:r>
            <m:ctrlPr>
              <w:rPr>
                <w:rFonts w:ascii="Cambria Math" w:hAnsi="Cambria Math" w:cstheme="minorHAnsi"/>
                <w:sz w:val="24"/>
                <w:szCs w:val="24"/>
              </w:rPr>
            </m:ctrlPr>
          </m:e>
          <m:sub>
            <m:r>
              <w:rPr>
                <w:rFonts w:ascii="Cambria Math" w:hAnsi="Cambria Math" w:cstheme="minorHAnsi"/>
                <w:sz w:val="24"/>
                <w:szCs w:val="24"/>
              </w:rPr>
              <m:t>j</m:t>
            </m:r>
          </m:sub>
        </m:sSub>
      </m:oMath>
      <w:r w:rsidR="002C76EC">
        <w:rPr>
          <w:rFonts w:cstheme="minorHAnsi"/>
          <w:sz w:val="24"/>
          <w:szCs w:val="24"/>
        </w:rPr>
        <w:t>)</w:t>
      </w:r>
      <w:r w:rsidR="00B233D4">
        <w:rPr>
          <w:rFonts w:cstheme="minorHAnsi"/>
          <w:sz w:val="24"/>
          <w:szCs w:val="24"/>
        </w:rPr>
        <w:t>.</w:t>
      </w:r>
    </w:p>
    <w:p w14:paraId="312502D6" w14:textId="73EAA1D5" w:rsidR="00630B97" w:rsidRDefault="00630B97" w:rsidP="00C87E39">
      <w:pPr>
        <w:autoSpaceDE w:val="0"/>
        <w:autoSpaceDN w:val="0"/>
        <w:adjustRightInd w:val="0"/>
        <w:jc w:val="both"/>
        <w:rPr>
          <w:rFonts w:cstheme="minorHAnsi"/>
          <w:sz w:val="24"/>
          <w:szCs w:val="24"/>
        </w:rPr>
      </w:pPr>
    </w:p>
    <w:p w14:paraId="3C06355F" w14:textId="39368424" w:rsidR="00630B97" w:rsidRDefault="00630B97" w:rsidP="00630B97">
      <w:pPr>
        <w:autoSpaceDE w:val="0"/>
        <w:autoSpaceDN w:val="0"/>
        <w:adjustRightInd w:val="0"/>
        <w:jc w:val="both"/>
        <w:rPr>
          <w:sz w:val="24"/>
          <w:szCs w:val="24"/>
        </w:rPr>
      </w:pPr>
      <w:r w:rsidRPr="10E6A7E3">
        <w:rPr>
          <w:sz w:val="24"/>
          <w:szCs w:val="24"/>
        </w:rPr>
        <w:t>Finally, the actual cooking energy consumption is calculated by</w:t>
      </w:r>
    </w:p>
    <w:p w14:paraId="59654F78" w14:textId="48F4E93A" w:rsidR="005D5288" w:rsidRDefault="00140089" w:rsidP="00C87E39">
      <w:pPr>
        <w:autoSpaceDE w:val="0"/>
        <w:autoSpaceDN w:val="0"/>
        <w:adjustRightInd w:val="0"/>
        <w:jc w:val="both"/>
        <w:rPr>
          <w:rFonts w:cstheme="minorHAnsi"/>
          <w:sz w:val="24"/>
          <w:szCs w:val="24"/>
        </w:rPr>
      </w:pPr>
      <m:oMathPara>
        <m:oMath>
          <m:sSub>
            <m:sSubPr>
              <m:ctrlPr>
                <w:rPr>
                  <w:rFonts w:ascii="Cambria Math" w:hAnsi="Cambria Math" w:cstheme="minorHAnsi"/>
                  <w:i/>
                  <w:sz w:val="24"/>
                  <w:szCs w:val="24"/>
                </w:rPr>
              </m:ctrlPr>
            </m:sSubPr>
            <m:e>
              <m:r>
                <m:rPr>
                  <m:scr m:val="script"/>
                </m:rPr>
                <w:rPr>
                  <w:rFonts w:ascii="Cambria Math" w:hAnsi="Cambria Math" w:cstheme="minorHAnsi"/>
                  <w:sz w:val="24"/>
                  <w:szCs w:val="24"/>
                </w:rPr>
                <m:t>E</m:t>
              </m:r>
            </m:e>
            <m:sub>
              <m:r>
                <w:rPr>
                  <w:rFonts w:ascii="Cambria Math" w:hAnsi="Cambria Math" w:cstheme="minorHAnsi"/>
                  <w:sz w:val="24"/>
                  <w:szCs w:val="24"/>
                </w:rPr>
                <m:t>cook</m:t>
              </m:r>
            </m:sub>
          </m:sSub>
          <m:r>
            <w:rPr>
              <w:rFonts w:ascii="Cambria Math" w:hAnsi="Cambria Math" w:cstheme="minorHAnsi"/>
              <w:sz w:val="24"/>
              <w:szCs w:val="24"/>
            </w:rPr>
            <m:t>=</m:t>
          </m:r>
          <m:f>
            <m:fPr>
              <m:ctrlPr>
                <w:rPr>
                  <w:rFonts w:ascii="Cambria Math" w:hAnsi="Cambria Math" w:cstheme="minorHAnsi"/>
                  <w:sz w:val="24"/>
                  <w:szCs w:val="24"/>
                </w:rPr>
              </m:ctrlPr>
            </m:fPr>
            <m:num>
              <m:sSub>
                <m:sSubPr>
                  <m:ctrlPr>
                    <w:rPr>
                      <w:rFonts w:ascii="Cambria Math" w:hAnsi="Cambria Math" w:cstheme="minorHAnsi"/>
                      <w:i/>
                      <w:sz w:val="24"/>
                      <w:szCs w:val="24"/>
                    </w:rPr>
                  </m:ctrlPr>
                </m:sSubPr>
                <m:e>
                  <m:r>
                    <m:rPr>
                      <m:sty m:val="p"/>
                    </m:rPr>
                    <w:rPr>
                      <w:rFonts w:ascii="Cambria Math" w:hAnsi="Cambria Math" w:cstheme="minorHAnsi"/>
                      <w:sz w:val="24"/>
                      <w:szCs w:val="24"/>
                    </w:rPr>
                    <m:t>δ</m:t>
                  </m:r>
                </m:e>
                <m:sub>
                  <m:r>
                    <w:rPr>
                      <w:rFonts w:ascii="Cambria Math" w:hAnsi="Cambria Math" w:cstheme="minorHAnsi"/>
                      <w:sz w:val="24"/>
                      <w:szCs w:val="24"/>
                    </w:rPr>
                    <m:t>cook</m:t>
                  </m:r>
                </m:sub>
              </m:sSub>
              <m:sSub>
                <m:sSubPr>
                  <m:ctrlPr>
                    <w:rPr>
                      <w:rFonts w:ascii="Cambria Math" w:hAnsi="Cambria Math" w:cstheme="minorHAnsi"/>
                      <w:i/>
                      <w:sz w:val="24"/>
                      <w:szCs w:val="24"/>
                    </w:rPr>
                  </m:ctrlPr>
                </m:sSubPr>
                <m:e>
                  <m:r>
                    <m:rPr>
                      <m:sty m:val="p"/>
                    </m:rPr>
                    <w:rPr>
                      <w:rFonts w:ascii="Cambria Math" w:hAnsi="Cambria Math" w:cstheme="minorHAnsi"/>
                      <w:sz w:val="24"/>
                      <w:szCs w:val="24"/>
                    </w:rPr>
                    <m:t>ϕ</m:t>
                  </m:r>
                  <m:ctrlPr>
                    <w:rPr>
                      <w:rFonts w:ascii="Cambria Math" w:hAnsi="Cambria Math" w:cstheme="minorHAnsi"/>
                      <w:sz w:val="24"/>
                      <w:szCs w:val="24"/>
                    </w:rPr>
                  </m:ctrlPr>
                </m:e>
                <m:sub>
                  <m:r>
                    <w:rPr>
                      <w:rFonts w:ascii="Cambria Math" w:hAnsi="Cambria Math" w:cstheme="minorHAnsi"/>
                      <w:sz w:val="24"/>
                      <w:szCs w:val="24"/>
                    </w:rPr>
                    <m:t>cook</m:t>
                  </m:r>
                </m:sub>
              </m:sSub>
              <m:ctrlPr>
                <w:rPr>
                  <w:rFonts w:ascii="Cambria Math" w:hAnsi="Cambria Math" w:cstheme="minorHAnsi"/>
                  <w:i/>
                  <w:sz w:val="24"/>
                  <w:szCs w:val="24"/>
                </w:rPr>
              </m:ctrlPr>
            </m:num>
            <m:den>
              <m:sSub>
                <m:sSubPr>
                  <m:ctrlPr>
                    <w:rPr>
                      <w:rFonts w:ascii="Cambria Math" w:hAnsi="Cambria Math" w:cstheme="minorHAnsi"/>
                      <w:i/>
                      <w:sz w:val="24"/>
                      <w:szCs w:val="24"/>
                    </w:rPr>
                  </m:ctrlPr>
                </m:sSubPr>
                <m:e>
                  <m:r>
                    <m:rPr>
                      <m:sty m:val="p"/>
                    </m:rPr>
                    <w:rPr>
                      <w:rFonts w:ascii="Cambria Math" w:hAnsi="Cambria Math" w:cstheme="minorHAnsi"/>
                      <w:sz w:val="24"/>
                      <w:szCs w:val="24"/>
                    </w:rPr>
                    <m:t>ϕ</m:t>
                  </m:r>
                </m:e>
                <m:sub>
                  <m:r>
                    <w:rPr>
                      <w:rFonts w:ascii="Cambria Math" w:hAnsi="Cambria Math" w:cstheme="minorHAnsi"/>
                      <w:sz w:val="24"/>
                      <w:szCs w:val="24"/>
                    </w:rPr>
                    <m:t>0</m:t>
                  </m:r>
                </m:sub>
              </m:sSub>
              <m:r>
                <w:rPr>
                  <w:rFonts w:ascii="Cambria Math" w:hAnsi="Cambria Math" w:cstheme="minorHAnsi"/>
                  <w:sz w:val="24"/>
                  <w:szCs w:val="24"/>
                </w:rPr>
                <m:t>+</m:t>
              </m:r>
              <m:nary>
                <m:naryPr>
                  <m:chr m:val="∑"/>
                  <m:ctrlPr>
                    <w:rPr>
                      <w:rFonts w:ascii="Cambria Math" w:hAnsi="Cambria Math" w:cstheme="minorHAnsi"/>
                      <w:sz w:val="24"/>
                      <w:szCs w:val="24"/>
                    </w:rPr>
                  </m:ctrlPr>
                </m:naryPr>
                <m:sub>
                  <m:r>
                    <w:rPr>
                      <w:rFonts w:ascii="Cambria Math" w:hAnsi="Cambria Math" w:cstheme="minorHAnsi"/>
                      <w:sz w:val="24"/>
                      <w:szCs w:val="24"/>
                    </w:rPr>
                    <m:t>j=1</m:t>
                  </m:r>
                  <m:ctrlPr>
                    <w:rPr>
                      <w:rFonts w:ascii="Cambria Math" w:hAnsi="Cambria Math" w:cstheme="minorHAnsi"/>
                      <w:i/>
                      <w:sz w:val="24"/>
                      <w:szCs w:val="24"/>
                    </w:rPr>
                  </m:ctrlPr>
                </m:sub>
                <m:sup>
                  <m:r>
                    <w:rPr>
                      <w:rFonts w:ascii="Cambria Math" w:hAnsi="Cambria Math" w:cstheme="minorHAnsi"/>
                      <w:sz w:val="24"/>
                      <w:szCs w:val="24"/>
                    </w:rPr>
                    <m:t>m</m:t>
                  </m:r>
                  <m:ctrlPr>
                    <w:rPr>
                      <w:rFonts w:ascii="Cambria Math" w:hAnsi="Cambria Math" w:cstheme="minorHAnsi"/>
                      <w:i/>
                      <w:sz w:val="24"/>
                      <w:szCs w:val="24"/>
                    </w:rPr>
                  </m:ctrlPr>
                </m:sup>
                <m:e>
                  <m:sSub>
                    <m:sSubPr>
                      <m:ctrlPr>
                        <w:rPr>
                          <w:rFonts w:ascii="Cambria Math" w:hAnsi="Cambria Math" w:cstheme="minorHAnsi"/>
                          <w:i/>
                          <w:sz w:val="24"/>
                          <w:szCs w:val="24"/>
                        </w:rPr>
                      </m:ctrlPr>
                    </m:sSubPr>
                    <m:e>
                      <m:r>
                        <m:rPr>
                          <m:sty m:val="p"/>
                        </m:rPr>
                        <w:rPr>
                          <w:rFonts w:ascii="Cambria Math" w:hAnsi="Cambria Math" w:cstheme="minorHAnsi"/>
                          <w:sz w:val="24"/>
                          <w:szCs w:val="24"/>
                        </w:rPr>
                        <m:t>δ</m:t>
                      </m:r>
                      <m:ctrlPr>
                        <w:rPr>
                          <w:rFonts w:ascii="Cambria Math" w:hAnsi="Cambria Math" w:cstheme="minorHAnsi"/>
                          <w:sz w:val="24"/>
                          <w:szCs w:val="24"/>
                        </w:rPr>
                      </m:ctrlPr>
                    </m:e>
                    <m:sub>
                      <m:r>
                        <w:rPr>
                          <w:rFonts w:ascii="Cambria Math" w:hAnsi="Cambria Math" w:cstheme="minorHAnsi"/>
                          <w:sz w:val="24"/>
                          <w:szCs w:val="24"/>
                        </w:rPr>
                        <m:t>j</m:t>
                      </m:r>
                    </m:sub>
                  </m:sSub>
                </m:e>
              </m:nary>
              <m:sSub>
                <m:sSubPr>
                  <m:ctrlPr>
                    <w:rPr>
                      <w:rFonts w:ascii="Cambria Math" w:hAnsi="Cambria Math" w:cstheme="minorHAnsi"/>
                      <w:i/>
                      <w:sz w:val="24"/>
                      <w:szCs w:val="24"/>
                    </w:rPr>
                  </m:ctrlPr>
                </m:sSubPr>
                <m:e>
                  <m:r>
                    <w:rPr>
                      <w:rFonts w:ascii="Cambria Math" w:hAnsi="Cambria Math" w:cstheme="minorHAnsi"/>
                      <w:sz w:val="24"/>
                      <w:szCs w:val="24"/>
                    </w:rPr>
                    <m:t>ϕ</m:t>
                  </m:r>
                  <m:ctrlPr>
                    <w:rPr>
                      <w:rFonts w:ascii="Cambria Math" w:hAnsi="Cambria Math" w:cstheme="minorHAnsi"/>
                      <w:sz w:val="24"/>
                      <w:szCs w:val="24"/>
                    </w:rPr>
                  </m:ctrlPr>
                </m:e>
                <m:sub>
                  <m:r>
                    <w:rPr>
                      <w:rFonts w:ascii="Cambria Math" w:hAnsi="Cambria Math" w:cstheme="minorHAnsi"/>
                      <w:sz w:val="24"/>
                      <w:szCs w:val="24"/>
                    </w:rPr>
                    <m:t>j</m:t>
                  </m:r>
                </m:sub>
              </m:sSub>
              <m:ctrlPr>
                <w:rPr>
                  <w:rFonts w:ascii="Cambria Math" w:hAnsi="Cambria Math" w:cstheme="minorHAnsi"/>
                  <w:i/>
                  <w:sz w:val="24"/>
                  <w:szCs w:val="24"/>
                </w:rPr>
              </m:ctrlPr>
            </m:den>
          </m:f>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i</m:t>
              </m:r>
            </m:sub>
          </m:sSub>
        </m:oMath>
      </m:oMathPara>
    </w:p>
    <w:p w14:paraId="046C7E77" w14:textId="7FED3D7E" w:rsidR="005D5288" w:rsidRDefault="679993A9" w:rsidP="005D5288">
      <w:pPr>
        <w:autoSpaceDE w:val="0"/>
        <w:autoSpaceDN w:val="0"/>
        <w:adjustRightInd w:val="0"/>
        <w:jc w:val="both"/>
        <w:rPr>
          <w:sz w:val="24"/>
          <w:szCs w:val="24"/>
        </w:rPr>
      </w:pPr>
      <w:r w:rsidRPr="39BF59DC">
        <w:rPr>
          <w:sz w:val="24"/>
          <w:szCs w:val="24"/>
        </w:rPr>
        <w:t xml:space="preserve">where </w:t>
      </w:r>
      <m:oMath>
        <m:r>
          <w:rPr>
            <w:rFonts w:ascii="Cambria Math" w:hAnsi="Cambria Math" w:cstheme="minorHAnsi"/>
            <w:sz w:val="24"/>
            <w:szCs w:val="24"/>
          </w:rPr>
          <m:t>i</m:t>
        </m:r>
      </m:oMath>
      <w:r w:rsidRPr="39BF59DC">
        <w:rPr>
          <w:sz w:val="24"/>
          <w:szCs w:val="24"/>
        </w:rPr>
        <w:t xml:space="preserve"> takes value 1 if households use a</w:t>
      </w:r>
      <w:r w:rsidR="7989072C" w:rsidRPr="39BF59DC">
        <w:rPr>
          <w:sz w:val="24"/>
          <w:szCs w:val="24"/>
        </w:rPr>
        <w:t>n</w:t>
      </w:r>
      <w:r w:rsidRPr="39BF59DC">
        <w:rPr>
          <w:sz w:val="24"/>
          <w:szCs w:val="24"/>
        </w:rPr>
        <w:t xml:space="preserve"> electric stove and 2 if they use another fuel. The</w:t>
      </w:r>
      <w:r w:rsidR="7989072C" w:rsidRPr="39BF59DC">
        <w:rPr>
          <w:sz w:val="24"/>
          <w:szCs w:val="24"/>
        </w:rPr>
        <w:t xml:space="preserve"> </w:t>
      </w:r>
      <w:r w:rsidRPr="39BF59DC">
        <w:rPr>
          <w:sz w:val="24"/>
          <w:szCs w:val="24"/>
        </w:rPr>
        <w:t>unknown preference parameters (</w:t>
      </w:r>
      <m:oMath>
        <m:r>
          <m:rPr>
            <m:sty m:val="p"/>
          </m:rPr>
          <w:rPr>
            <w:rFonts w:ascii="Cambria Math" w:hAnsi="Cambria Math" w:cstheme="minorHAnsi"/>
            <w:sz w:val="24"/>
            <w:szCs w:val="24"/>
          </w:rPr>
          <m:t>α</m:t>
        </m:r>
      </m:oMath>
      <w:r w:rsidRPr="39BF59DC">
        <w:rPr>
          <w:sz w:val="24"/>
          <w:szCs w:val="24"/>
        </w:rPr>
        <w:t xml:space="preserve">, the </w:t>
      </w:r>
      <m:oMath>
        <m:r>
          <m:rPr>
            <m:sty m:val="p"/>
          </m:rPr>
          <w:rPr>
            <w:rFonts w:ascii="Cambria Math" w:hAnsi="Cambria Math" w:cstheme="minorHAnsi"/>
            <w:sz w:val="24"/>
            <w:szCs w:val="24"/>
          </w:rPr>
          <m:t>ϕ</m:t>
        </m:r>
        <m:r>
          <m:rPr>
            <m:nor/>
          </m:rPr>
          <w:rPr>
            <w:rFonts w:ascii="Cambria Math" w:hAnsi="Cambria Math" w:cstheme="minorHAnsi"/>
            <w:sz w:val="24"/>
            <w:szCs w:val="24"/>
          </w:rPr>
          <m:t>s</m:t>
        </m:r>
      </m:oMath>
      <w:r w:rsidRPr="39BF59DC">
        <w:rPr>
          <w:sz w:val="24"/>
          <w:szCs w:val="24"/>
        </w:rPr>
        <w:t xml:space="preserve"> and the </w:t>
      </w:r>
      <m:oMath>
        <m:r>
          <w:rPr>
            <w:rFonts w:ascii="Cambria Math" w:hAnsi="Cambria Math" w:cstheme="minorHAnsi"/>
            <w:sz w:val="24"/>
            <w:szCs w:val="24"/>
          </w:rPr>
          <m:t>λ</m:t>
        </m:r>
        <m:r>
          <m:rPr>
            <m:nor/>
          </m:rPr>
          <w:rPr>
            <w:rFonts w:ascii="Cambria Math" w:hAnsi="Cambria Math" w:cstheme="minorHAnsi"/>
            <w:sz w:val="24"/>
            <w:szCs w:val="24"/>
          </w:rPr>
          <m:t>s</m:t>
        </m:r>
      </m:oMath>
      <w:r w:rsidRPr="39BF59DC">
        <w:rPr>
          <w:sz w:val="24"/>
          <w:szCs w:val="24"/>
        </w:rPr>
        <w:t>) are estimated following a similar procedure</w:t>
      </w:r>
      <w:r w:rsidR="7989072C" w:rsidRPr="39BF59DC">
        <w:rPr>
          <w:sz w:val="24"/>
          <w:szCs w:val="24"/>
        </w:rPr>
        <w:t xml:space="preserve"> </w:t>
      </w:r>
      <w:r w:rsidRPr="39BF59DC">
        <w:rPr>
          <w:sz w:val="24"/>
          <w:szCs w:val="24"/>
        </w:rPr>
        <w:t xml:space="preserve">as the one described above, albeit </w:t>
      </w:r>
      <w:r w:rsidR="45FD20D9" w:rsidRPr="39BF59DC">
        <w:rPr>
          <w:sz w:val="24"/>
          <w:szCs w:val="24"/>
        </w:rPr>
        <w:t xml:space="preserve">using </w:t>
      </w:r>
      <w:r w:rsidRPr="39BF59DC">
        <w:rPr>
          <w:sz w:val="24"/>
          <w:szCs w:val="24"/>
        </w:rPr>
        <w:t>a di</w:t>
      </w:r>
      <w:r w:rsidR="6982D1D6" w:rsidRPr="39BF59DC">
        <w:rPr>
          <w:sz w:val="24"/>
          <w:szCs w:val="24"/>
        </w:rPr>
        <w:t>ff</w:t>
      </w:r>
      <w:r w:rsidRPr="39BF59DC">
        <w:rPr>
          <w:sz w:val="24"/>
          <w:szCs w:val="24"/>
        </w:rPr>
        <w:t>erent estimation technique, Indirect Inference</w:t>
      </w:r>
      <w:r w:rsidR="005D5288" w:rsidRPr="39BF59DC">
        <w:rPr>
          <w:sz w:val="24"/>
          <w:szCs w:val="24"/>
        </w:rPr>
        <w:fldChar w:fldCharType="begin"/>
      </w:r>
      <w:r w:rsidR="00423D10" w:rsidRPr="39BF59DC">
        <w:rPr>
          <w:sz w:val="24"/>
          <w:szCs w:val="24"/>
        </w:rPr>
        <w:instrText>ADDIN CSL_CITATION {"citationItems":[{"id":"ITEM-1","itemData":{"DOI":"10.1002/jae.3950080507","ISSN":"10991255","abstract":"In this paper we present inference methods which are based on an ‘incorrect’ criterion, in the sense that the optimization of this criterion does not directly provide a consistent estimator of the parameter of interest. Moreover, the argument of the criterion, called the auxiliary parameter, may have a larger dimension than that of the parameter of interest. A second step, based on simulations, provides a consistent and asymptotically normal estimator of the parameter of interest. Various testing procedures are also proposed. The methods described in this paper only require that the model can be simulated, therefore they should be useful for models whose complexity rules out a direct approach. Various fields of applications are suggested (microeconometrics, finance, macroeconometrics). Copyright © 1993 John Wiley &amp; Sons, Ltd.","author":[{"dropping-particle":"","family":"Gourieroux","given":"C.","non-dropping-particle":"","parse-names":false,"suffix":""},{"dropping-particle":"","family":"Monfort","given":"A.","non-dropping-particle":"","parse-names":false,"suffix":""},{"dropping-particle":"","family":"Renault","given":"E.","non-dropping-particle":"","parse-names":false,"suffix":""}],"container-title":"Journal of Applied Econometrics","id":"ITEM-1","issue":"1 S","issued":{"date-parts":[["1993","12"]]},"page":"S85-S118","publisher":"John Wiley &amp; Sons, Ltd","title":"Indirect inference","type":"article-journal","volume":"8"},"uris":["http://www.mendeley.com/documents/?uuid=3158d67a-efe3-370f-bf54-5a7e9390f488","http://www.mendeley.com/documents/?uuid=c3604a43-17bd-4786-b303-92bca8e9a3e1"]}],"mendeley":{"formattedCitation":"&lt;sup&gt;44&lt;/sup&gt;","plainTextFormattedCitation":"44","previouslyFormattedCitation":"&lt;sup&gt;44&lt;/sup&gt;"},"properties":{"noteIndex":0},"schema":"https://github.com/citation-style-language/schema/raw/master/csl-citation.json"}</w:instrText>
      </w:r>
      <w:r w:rsidR="005D5288" w:rsidRPr="39BF59DC">
        <w:rPr>
          <w:sz w:val="24"/>
          <w:szCs w:val="24"/>
        </w:rPr>
        <w:fldChar w:fldCharType="separate"/>
      </w:r>
      <w:r w:rsidR="4AEEDF4A" w:rsidRPr="39BF59DC">
        <w:rPr>
          <w:noProof/>
          <w:sz w:val="24"/>
          <w:szCs w:val="24"/>
          <w:vertAlign w:val="superscript"/>
        </w:rPr>
        <w:t>44</w:t>
      </w:r>
      <w:r w:rsidR="005D5288" w:rsidRPr="39BF59DC">
        <w:rPr>
          <w:sz w:val="24"/>
          <w:szCs w:val="24"/>
        </w:rPr>
        <w:fldChar w:fldCharType="end"/>
      </w:r>
      <w:r w:rsidRPr="39BF59DC">
        <w:rPr>
          <w:sz w:val="24"/>
          <w:szCs w:val="24"/>
        </w:rPr>
        <w:t>, which</w:t>
      </w:r>
      <w:r w:rsidR="6982D1D6" w:rsidRPr="39BF59DC">
        <w:rPr>
          <w:sz w:val="24"/>
          <w:szCs w:val="24"/>
        </w:rPr>
        <w:t xml:space="preserve"> </w:t>
      </w:r>
      <w:r w:rsidRPr="39BF59DC">
        <w:rPr>
          <w:sz w:val="24"/>
          <w:szCs w:val="24"/>
        </w:rPr>
        <w:t xml:space="preserve">is a generalized version of the Method of Simulated Moments. The </w:t>
      </w:r>
      <w:r w:rsidR="1AD90095" w:rsidRPr="39BF59DC">
        <w:rPr>
          <w:sz w:val="24"/>
          <w:szCs w:val="24"/>
        </w:rPr>
        <w:t>empirical fit</w:t>
      </w:r>
      <w:r w:rsidRPr="39BF59DC">
        <w:rPr>
          <w:sz w:val="24"/>
          <w:szCs w:val="24"/>
        </w:rPr>
        <w:t xml:space="preserve"> of the model </w:t>
      </w:r>
      <w:r w:rsidR="33829C39" w:rsidRPr="39BF59DC">
        <w:rPr>
          <w:sz w:val="24"/>
          <w:szCs w:val="24"/>
        </w:rPr>
        <w:t>can be found</w:t>
      </w:r>
      <w:r w:rsidRPr="39BF59DC">
        <w:rPr>
          <w:sz w:val="24"/>
          <w:szCs w:val="24"/>
        </w:rPr>
        <w:t xml:space="preserve"> in</w:t>
      </w:r>
      <w:r w:rsidR="2E5C41C6" w:rsidRPr="39BF59DC">
        <w:rPr>
          <w:sz w:val="24"/>
          <w:szCs w:val="24"/>
        </w:rPr>
        <w:t xml:space="preserve"> the</w:t>
      </w:r>
      <w:r w:rsidRPr="39BF59DC">
        <w:rPr>
          <w:sz w:val="24"/>
          <w:szCs w:val="24"/>
        </w:rPr>
        <w:t xml:space="preserve"> </w:t>
      </w:r>
      <w:r w:rsidR="7B8B9680" w:rsidRPr="39BF59DC">
        <w:rPr>
          <w:sz w:val="24"/>
          <w:szCs w:val="24"/>
        </w:rPr>
        <w:t xml:space="preserve">Supplementary </w:t>
      </w:r>
      <w:r w:rsidR="19FBF6B2" w:rsidRPr="39BF59DC">
        <w:rPr>
          <w:sz w:val="24"/>
          <w:szCs w:val="24"/>
        </w:rPr>
        <w:t>Data File</w:t>
      </w:r>
      <w:r w:rsidRPr="39BF59DC">
        <w:rPr>
          <w:sz w:val="24"/>
          <w:szCs w:val="24"/>
        </w:rPr>
        <w:t>.</w:t>
      </w:r>
    </w:p>
    <w:p w14:paraId="253F1A4F" w14:textId="00E10DDD" w:rsidR="000E322F" w:rsidRDefault="000E322F" w:rsidP="005D5288">
      <w:pPr>
        <w:autoSpaceDE w:val="0"/>
        <w:autoSpaceDN w:val="0"/>
        <w:adjustRightInd w:val="0"/>
        <w:jc w:val="both"/>
        <w:rPr>
          <w:rFonts w:cstheme="minorHAnsi"/>
          <w:sz w:val="24"/>
          <w:szCs w:val="24"/>
        </w:rPr>
      </w:pPr>
    </w:p>
    <w:p w14:paraId="0D5DFDE9" w14:textId="77777777" w:rsidR="00DB666C" w:rsidRPr="00DB666C" w:rsidRDefault="00DB666C" w:rsidP="00DB666C">
      <w:pPr>
        <w:autoSpaceDE w:val="0"/>
        <w:autoSpaceDN w:val="0"/>
        <w:adjustRightInd w:val="0"/>
        <w:jc w:val="both"/>
        <w:rPr>
          <w:rFonts w:cstheme="minorHAnsi"/>
          <w:b/>
          <w:bCs/>
          <w:sz w:val="24"/>
          <w:szCs w:val="24"/>
        </w:rPr>
      </w:pPr>
      <w:r w:rsidRPr="00DB666C">
        <w:rPr>
          <w:rFonts w:cstheme="minorHAnsi"/>
          <w:b/>
          <w:bCs/>
          <w:sz w:val="24"/>
          <w:szCs w:val="24"/>
        </w:rPr>
        <w:t>Scenario Design and Future Simulations</w:t>
      </w:r>
    </w:p>
    <w:p w14:paraId="54DD7D7F" w14:textId="62936ED8" w:rsidR="000E322F" w:rsidRDefault="00DB666C" w:rsidP="00DB666C">
      <w:pPr>
        <w:autoSpaceDE w:val="0"/>
        <w:autoSpaceDN w:val="0"/>
        <w:adjustRightInd w:val="0"/>
        <w:jc w:val="both"/>
        <w:rPr>
          <w:rFonts w:cstheme="minorHAnsi"/>
          <w:sz w:val="24"/>
          <w:szCs w:val="24"/>
        </w:rPr>
      </w:pPr>
      <w:r w:rsidRPr="00DB666C">
        <w:rPr>
          <w:rFonts w:cstheme="minorHAnsi"/>
          <w:sz w:val="24"/>
          <w:szCs w:val="24"/>
        </w:rPr>
        <w:t>We consider three di</w:t>
      </w:r>
      <w:r>
        <w:rPr>
          <w:rFonts w:cstheme="minorHAnsi"/>
          <w:sz w:val="24"/>
          <w:szCs w:val="24"/>
        </w:rPr>
        <w:t>ff</w:t>
      </w:r>
      <w:r w:rsidRPr="00DB666C">
        <w:rPr>
          <w:rFonts w:cstheme="minorHAnsi"/>
          <w:sz w:val="24"/>
          <w:szCs w:val="24"/>
        </w:rPr>
        <w:t>erent future reference scenarios following the narratives of the Shared Socioeconomic Pathways, speci</w:t>
      </w:r>
      <w:r w:rsidR="00C404AB">
        <w:rPr>
          <w:rFonts w:cstheme="minorHAnsi"/>
          <w:sz w:val="24"/>
          <w:szCs w:val="24"/>
        </w:rPr>
        <w:t>fi</w:t>
      </w:r>
      <w:r w:rsidRPr="00DB666C">
        <w:rPr>
          <w:rFonts w:cstheme="minorHAnsi"/>
          <w:sz w:val="24"/>
          <w:szCs w:val="24"/>
        </w:rPr>
        <w:t xml:space="preserve">cally sustainability (SSP1), middle-of-the-road (SSP2), and </w:t>
      </w:r>
      <w:proofErr w:type="gramStart"/>
      <w:r w:rsidRPr="00DB666C">
        <w:rPr>
          <w:rFonts w:cstheme="minorHAnsi"/>
          <w:sz w:val="24"/>
          <w:szCs w:val="24"/>
        </w:rPr>
        <w:t>regional-rivalry</w:t>
      </w:r>
      <w:proofErr w:type="gramEnd"/>
      <w:r w:rsidRPr="00DB666C">
        <w:rPr>
          <w:rFonts w:cstheme="minorHAnsi"/>
          <w:sz w:val="24"/>
          <w:szCs w:val="24"/>
        </w:rPr>
        <w:t xml:space="preserve"> (SSP3). Whereas population</w:t>
      </w:r>
      <w:r w:rsidR="000F0854">
        <w:rPr>
          <w:rFonts w:cstheme="minorHAnsi"/>
          <w:sz w:val="24"/>
          <w:szCs w:val="24"/>
        </w:rPr>
        <w:fldChar w:fldCharType="begin" w:fldLock="1"/>
      </w:r>
      <w:r w:rsidR="00423D10">
        <w:rPr>
          <w:rFonts w:cstheme="minorHAnsi"/>
          <w:sz w:val="24"/>
          <w:szCs w:val="24"/>
        </w:rPr>
        <w:instrText>ADDIN CSL_CITATION {"citationItems":[{"id":"ITEM-1","itemData":{"DOI":"10.1016/j.gloenvcha.2014.06.004","ISSN":"09593780","abstract":"This paper applies the methods of multi-dimensional mathematical demography to project national populations based on alternative assumptions on future, fertility, mortality, migration and educational transitions that correspond to the five shared socioeconomic pathways (SSP) storylines. In doing so it goes a significant step beyond past population scenarios in the IPCC context which considered only total population size. By differentiating the human population not only by age and sex—as is conventionally done in demographic projections—but also by different levels of educational attainment the most fundamental aspects of human development and social change are being explicitly addressed through modeling the changing composition of populations by these three important individual characteristics. The scenarios have been defined in a collaborative effort of the international Integrated Assessment Modeling community with the medium scenario following that of a major new effort by the Wittgenstein Centre for Demography and Global Human Capital (IIASA, OEAW, WU) involving over 550 experts from around the world. As a result, in terms of total world population size the trajectories resulting from the five SSPs stay very close to each other until around 2030 and by the middle of the century already a visible differentiation appears with the range between the highest (SSP3) and the lowest (SSP1) trajectories spanning 1.5 billion. The range opens up much more with the SSP3 reaching 12.6 billion in 2100 and SSP1 falling to 6.9 billion which is lower than today's world population.","author":[{"dropping-particle":"","family":"KC","given":"Samir","non-dropping-particle":"","parse-names":false,"suffix":""},{"dropping-particle":"","family":"Lutz","given":"Wolfgang","non-dropping-particle":"","parse-names":false,"suffix":""}],"container-title":"Global Environmental Change","id":"ITEM-1","issued":{"date-parts":[["2017","1","1"]]},"page":"181-192","publisher":"Elsevier Ltd","title":"The human core of the shared socioeconomic pathways: Population scenarios by age, sex and level of education for all countries to 2100","type":"article-journal","volume":"42"},"uris":["http://www.mendeley.com/documents/?uuid=b5289165-aeb0-36fe-9e0e-e1129d14117c"]}],"mendeley":{"formattedCitation":"&lt;sup&gt;45&lt;/sup&gt;","plainTextFormattedCitation":"45","previouslyFormattedCitation":"&lt;sup&gt;45&lt;/sup&gt;"},"properties":{"noteIndex":0},"schema":"https://github.com/citation-style-language/schema/raw/master/csl-citation.json"}</w:instrText>
      </w:r>
      <w:r w:rsidR="000F0854">
        <w:rPr>
          <w:rFonts w:cstheme="minorHAnsi"/>
          <w:sz w:val="24"/>
          <w:szCs w:val="24"/>
        </w:rPr>
        <w:fldChar w:fldCharType="separate"/>
      </w:r>
      <w:r w:rsidR="00423D10" w:rsidRPr="00423D10">
        <w:rPr>
          <w:rFonts w:cstheme="minorHAnsi"/>
          <w:noProof/>
          <w:sz w:val="24"/>
          <w:szCs w:val="24"/>
          <w:vertAlign w:val="superscript"/>
        </w:rPr>
        <w:t>45</w:t>
      </w:r>
      <w:r w:rsidR="000F0854">
        <w:rPr>
          <w:rFonts w:cstheme="minorHAnsi"/>
          <w:sz w:val="24"/>
          <w:szCs w:val="24"/>
        </w:rPr>
        <w:fldChar w:fldCharType="end"/>
      </w:r>
      <w:r w:rsidRPr="00DB666C">
        <w:rPr>
          <w:rFonts w:cstheme="minorHAnsi"/>
          <w:sz w:val="24"/>
          <w:szCs w:val="24"/>
        </w:rPr>
        <w:t xml:space="preserve"> and urbanization</w:t>
      </w:r>
      <w:r w:rsidR="004A1246">
        <w:rPr>
          <w:rFonts w:cstheme="minorHAnsi"/>
          <w:sz w:val="24"/>
          <w:szCs w:val="24"/>
        </w:rPr>
        <w:fldChar w:fldCharType="begin" w:fldLock="1"/>
      </w:r>
      <w:r w:rsidR="00423D10">
        <w:rPr>
          <w:rFonts w:cstheme="minorHAnsi"/>
          <w:sz w:val="24"/>
          <w:szCs w:val="24"/>
        </w:rPr>
        <w:instrText>ADDIN CSL_CITATION {"citationItems":[{"id":"ITEM-1","itemData":{"DOI":"https://doi.org/10.1016/j.gloenvcha.2015.03.008","ISSN":"0959-3780","abstract":"The new scenario process for climate change research includes the creation of Shared Socioeconomic Pathways (SSPs) describing alternative societal development trends over the coming decades. Urbanization is a key aspect of development that is relevant to studies of mitigation, adaptation, and impacts. Incorporating urbanization into the SSPs requires a consistent set of global urbanization projections that cover long time horizons and span a full range of uncertainty. Existing urbanization projections do not meet these needs, in particular providing only a single scenario over the next few decades, a period during which urbanization is likely to be highly dynamic in many countries. We present here a new, long-term, global set of urbanization projections at country level that cover a plausible range of uncertainty. We create SSP-specific projections by choosing urbanization outcomes consistent with each SSP narrative. Results show that the world continues to urbanize in each of the SSPs but outcomes differ widely across them, with urbanization reaching 60%, 79%, and 92% by the end of century in SSP3, SSP2, and SSP1/SSP4/SSP5, respectively. The degree of convergence in urbanization across countries also differs substantially, with largely convergent outcomes by the end of the century in SSP1 and SSP5 and persistent diversity in SSP3. This set of global, country-specific projections produces urbanization pathways that are typical of regions in different stages of urbanization and development levels, and can be extended to further elaborate assumptions about the styles of urban growth and spatial distributions of urban people and land cover occurring in each SSP.","author":[{"dropping-particle":"","family":"Jiang","given":"Leiwen","non-dropping-particle":"","parse-names":false,"suffix":""},{"dropping-particle":"","family":"O’Neill","given":"Brian C","non-dropping-particle":"","parse-names":false,"suffix":""}],"container-title":"Global Environmental Change","id":"ITEM-1","issued":{"date-parts":[["2017"]]},"page":"193-199","title":"Global urbanization projections for the Shared Socioeconomic Pathways","type":"article-journal","volume":"42"},"uris":["http://www.mendeley.com/documents/?uuid=65d7f9ee-61ba-3340-bafd-e06a0b4bbba2"]}],"mendeley":{"formattedCitation":"&lt;sup&gt;46&lt;/sup&gt;","plainTextFormattedCitation":"46","previouslyFormattedCitation":"&lt;sup&gt;46&lt;/sup&gt;"},"properties":{"noteIndex":0},"schema":"https://github.com/citation-style-language/schema/raw/master/csl-citation.json"}</w:instrText>
      </w:r>
      <w:r w:rsidR="004A1246">
        <w:rPr>
          <w:rFonts w:cstheme="minorHAnsi"/>
          <w:sz w:val="24"/>
          <w:szCs w:val="24"/>
        </w:rPr>
        <w:fldChar w:fldCharType="separate"/>
      </w:r>
      <w:r w:rsidR="00423D10" w:rsidRPr="00423D10">
        <w:rPr>
          <w:rFonts w:cstheme="minorHAnsi"/>
          <w:noProof/>
          <w:sz w:val="24"/>
          <w:szCs w:val="24"/>
          <w:vertAlign w:val="superscript"/>
        </w:rPr>
        <w:t>46</w:t>
      </w:r>
      <w:r w:rsidR="004A1246">
        <w:rPr>
          <w:rFonts w:cstheme="minorHAnsi"/>
          <w:sz w:val="24"/>
          <w:szCs w:val="24"/>
        </w:rPr>
        <w:fldChar w:fldCharType="end"/>
      </w:r>
      <w:r w:rsidRPr="00DB666C">
        <w:rPr>
          <w:rFonts w:cstheme="minorHAnsi"/>
          <w:sz w:val="24"/>
          <w:szCs w:val="24"/>
        </w:rPr>
        <w:t xml:space="preserve"> projections by country for the SSP</w:t>
      </w:r>
      <w:r w:rsidR="00C404AB">
        <w:rPr>
          <w:rFonts w:cstheme="minorHAnsi"/>
          <w:sz w:val="24"/>
          <w:szCs w:val="24"/>
        </w:rPr>
        <w:t xml:space="preserve"> </w:t>
      </w:r>
      <w:r w:rsidRPr="00DB666C">
        <w:rPr>
          <w:rFonts w:cstheme="minorHAnsi"/>
          <w:sz w:val="24"/>
          <w:szCs w:val="24"/>
        </w:rPr>
        <w:t>scenarios are as described in the references cited here, a special algorithm was applied to obtain</w:t>
      </w:r>
      <w:r w:rsidR="00C404AB">
        <w:rPr>
          <w:rFonts w:cstheme="minorHAnsi"/>
          <w:sz w:val="24"/>
          <w:szCs w:val="24"/>
        </w:rPr>
        <w:t xml:space="preserve"> </w:t>
      </w:r>
      <w:r w:rsidRPr="00DB666C">
        <w:rPr>
          <w:rFonts w:cstheme="minorHAnsi"/>
          <w:sz w:val="24"/>
          <w:szCs w:val="24"/>
        </w:rPr>
        <w:t>separate income distributions for urban and rural households. Speci</w:t>
      </w:r>
      <w:r w:rsidR="00C404AB">
        <w:rPr>
          <w:rFonts w:cstheme="minorHAnsi"/>
          <w:sz w:val="24"/>
          <w:szCs w:val="24"/>
        </w:rPr>
        <w:t>fi</w:t>
      </w:r>
      <w:r w:rsidRPr="00DB666C">
        <w:rPr>
          <w:rFonts w:cstheme="minorHAnsi"/>
          <w:sz w:val="24"/>
          <w:szCs w:val="24"/>
        </w:rPr>
        <w:t>cally, a machine learning</w:t>
      </w:r>
      <w:r w:rsidR="00C404AB">
        <w:rPr>
          <w:rFonts w:cstheme="minorHAnsi"/>
          <w:sz w:val="24"/>
          <w:szCs w:val="24"/>
        </w:rPr>
        <w:t xml:space="preserve"> </w:t>
      </w:r>
      <w:r w:rsidRPr="00DB666C">
        <w:rPr>
          <w:rFonts w:cstheme="minorHAnsi"/>
          <w:sz w:val="24"/>
          <w:szCs w:val="24"/>
        </w:rPr>
        <w:t>algorithm</w:t>
      </w:r>
      <w:r w:rsidR="008A7C78">
        <w:rPr>
          <w:rFonts w:cstheme="minorHAnsi"/>
          <w:sz w:val="24"/>
          <w:szCs w:val="24"/>
        </w:rPr>
        <w:fldChar w:fldCharType="begin" w:fldLock="1"/>
      </w:r>
      <w:r w:rsidR="00423D10">
        <w:rPr>
          <w:rFonts w:cstheme="minorHAnsi"/>
          <w:sz w:val="24"/>
          <w:szCs w:val="24"/>
        </w:rPr>
        <w:instrText>ADDIN CSL_CITATION {"citationItems":[{"id":"ITEM-1","itemData":{"DOI":"10.1016/S0167-9473(01)00065-2","ISSN":"0167-9473","author":[{"dropping-particle":"","family":"Friedman","given":"Jerome H","non-dropping-particle":"","parse-names":false,"suffix":""}],"container-title":"Computational Statistics &amp; Data Analysis","id":"ITEM-1","issue":"4","issued":{"date-parts":[["2002"]]},"page":"367–378","title":"Stochastic gradient boosting","type":"article-journal","volume":"38"},"uris":["http://www.mendeley.com/documents/?uuid=34fc7747-d787-3108-96cd-37915708a684"]}],"mendeley":{"formattedCitation":"&lt;sup&gt;47&lt;/sup&gt;","plainTextFormattedCitation":"47","previouslyFormattedCitation":"&lt;sup&gt;47&lt;/sup&gt;"},"properties":{"noteIndex":0},"schema":"https://github.com/citation-style-language/schema/raw/master/csl-citation.json"}</w:instrText>
      </w:r>
      <w:r w:rsidR="008A7C78">
        <w:rPr>
          <w:rFonts w:cstheme="minorHAnsi"/>
          <w:sz w:val="24"/>
          <w:szCs w:val="24"/>
        </w:rPr>
        <w:fldChar w:fldCharType="separate"/>
      </w:r>
      <w:r w:rsidR="00423D10" w:rsidRPr="00423D10">
        <w:rPr>
          <w:rFonts w:cstheme="minorHAnsi"/>
          <w:noProof/>
          <w:sz w:val="24"/>
          <w:szCs w:val="24"/>
          <w:vertAlign w:val="superscript"/>
        </w:rPr>
        <w:t>47</w:t>
      </w:r>
      <w:r w:rsidR="008A7C78">
        <w:rPr>
          <w:rFonts w:cstheme="minorHAnsi"/>
          <w:sz w:val="24"/>
          <w:szCs w:val="24"/>
        </w:rPr>
        <w:fldChar w:fldCharType="end"/>
      </w:r>
      <w:r w:rsidRPr="00DB666C">
        <w:rPr>
          <w:rFonts w:cstheme="minorHAnsi"/>
          <w:sz w:val="24"/>
          <w:szCs w:val="24"/>
        </w:rPr>
        <w:t xml:space="preserve"> was applied on a large longitudinal dataset including average household income and</w:t>
      </w:r>
      <w:r w:rsidR="008A705F">
        <w:rPr>
          <w:rFonts w:cstheme="minorHAnsi"/>
          <w:sz w:val="24"/>
          <w:szCs w:val="24"/>
        </w:rPr>
        <w:t xml:space="preserve"> </w:t>
      </w:r>
      <w:r w:rsidR="003A0B6D">
        <w:rPr>
          <w:rFonts w:cstheme="minorHAnsi"/>
          <w:sz w:val="24"/>
          <w:szCs w:val="24"/>
        </w:rPr>
        <w:t>G</w:t>
      </w:r>
      <w:r w:rsidRPr="00DB666C">
        <w:rPr>
          <w:rFonts w:cstheme="minorHAnsi"/>
          <w:sz w:val="24"/>
          <w:szCs w:val="24"/>
        </w:rPr>
        <w:t>ini coe</w:t>
      </w:r>
      <w:r w:rsidR="008A705F">
        <w:rPr>
          <w:rFonts w:cstheme="minorHAnsi"/>
          <w:sz w:val="24"/>
          <w:szCs w:val="24"/>
        </w:rPr>
        <w:t>ffi</w:t>
      </w:r>
      <w:r w:rsidRPr="00DB666C">
        <w:rPr>
          <w:rFonts w:cstheme="minorHAnsi"/>
          <w:sz w:val="24"/>
          <w:szCs w:val="24"/>
        </w:rPr>
        <w:t>cient estimates for urban and rural households of all regions of the world to obtain associations between these indicators and other SSP drivers. The algorithm was trained on data from</w:t>
      </w:r>
      <w:r w:rsidR="003A0B6D">
        <w:rPr>
          <w:rFonts w:cstheme="minorHAnsi"/>
          <w:sz w:val="24"/>
          <w:szCs w:val="24"/>
        </w:rPr>
        <w:t xml:space="preserve"> </w:t>
      </w:r>
      <w:r w:rsidRPr="00DB666C">
        <w:rPr>
          <w:rFonts w:cstheme="minorHAnsi"/>
          <w:sz w:val="24"/>
          <w:szCs w:val="24"/>
        </w:rPr>
        <w:t>1988 to 2010, while data from 2011 to 2015 was used for validation. These associations were posteriorly applied to the corresponding scenarios</w:t>
      </w:r>
      <w:r w:rsidR="009E46C3">
        <w:rPr>
          <w:rFonts w:cstheme="minorHAnsi"/>
          <w:sz w:val="24"/>
          <w:szCs w:val="24"/>
        </w:rPr>
        <w:fldChar w:fldCharType="begin" w:fldLock="1"/>
      </w:r>
      <w:r w:rsidR="000F3215">
        <w:rPr>
          <w:rFonts w:cstheme="minorHAnsi"/>
          <w:sz w:val="24"/>
          <w:szCs w:val="24"/>
        </w:rPr>
        <w:instrText>ADDIN CSL_CITATION {"citationItems":[{"id":"ITEM-1","itemData":{"DOI":"https://doi.org/10.1016/j.futures.2018.07.001","ISSN":"0016-3287","abstract":"This paper presents global scenarios of future national Gini coefficients, based on an econometric model of the evolution of income inequality within countries over the last three decades. These projections are defined within the scenario framework of the Shared Socioeconomic Pathways (SSP) in climate research, in which income inequality is a qualitative dimension, but not quantified. The projections are driven primarily by total factor productivity (TFP), education attainment at different levels of education, and social public spending. We combine projections of TFP and education from the SSPs and scenarios of public spending with the historical model results to generate Ginis by SSP with uncertainty. The resulting Gini trends across SSPs are distinct and broadly consistent with the SSP narratives. Divergence in Ginis across the SSPs is strongest in emerging economies, and weakest in industrialized countries. The insights from this analysis can enrich the SSP narratives along new dimensions, such as capital and labor income shares and trade.","author":[{"dropping-particle":"","family":"Rao","given":"Narasimha D","non-dropping-particle":"","parse-names":false,"suffix":""},{"dropping-particle":"","family":"Sauer","given":"Petra","non-dropping-particle":"","parse-names":false,"suffix":""},{"dropping-particle":"","family":"Gidden","given":"Matthew","non-dropping-particle":"","parse-names":false,"suffix":""},{"dropping-particle":"","family":"Riahi","given":"Keywan","non-dropping-particle":"","parse-names":false,"suffix":""}],"container-title":"Futures","id":"ITEM-1","issued":{"date-parts":[["2019"]]},"page":"27-39","title":"Income inequality projections for the Shared Socioeconomic Pathways (SSPs)","type":"article-journal","volume":"105"},"uris":["http://www.mendeley.com/documents/?uuid=f65be695-073a-374d-bd75-be35d94e9476"]},{"id":"ITEM-2","itemData":{"DOI":"10.1016/j.gloenvcha.2014.06.004","ISSN":"09593780","abstract":"This paper applies the methods of multi-dimensional mathematical demography to project national populations based on alternative assumptions on future, fertility, mortality, migration and educational transitions that correspond to the five shared socioeconomic pathways (SSP) storylines. In doing so it goes a significant step beyond past population scenarios in the IPCC context which considered only total population size. By differentiating the human population not only by age and sex—as is conventionally done in demographic projections—but also by different levels of educational attainment the most fundamental aspects of human development and social change are being explicitly addressed through modeling the changing composition of populations by these three important individual characteristics. The scenarios have been defined in a collaborative effort of the international Integrated Assessment Modeling community with the medium scenario following that of a major new effort by the Wittgenstein Centre for Demography and Global Human Capital (IIASA, OEAW, WU) involving over 550 experts from around the world. As a result, in terms of total world population size the trajectories resulting from the five SSPs stay very close to each other until around 2030 and by the middle of the century already a visible differentiation appears with the range between the highest (SSP3) and the lowest (SSP1) trajectories spanning 1.5 billion. The range opens up much more with the SSP3 reaching 12.6 billion in 2100 and SSP1 falling to 6.9 billion which is lower than today's world population.","author":[{"dropping-particle":"","family":"KC","given":"Samir","non-dropping-particle":"","parse-names":false,"suffix":""},{"dropping-particle":"","family":"Lutz","given":"Wolfgang","non-dropping-particle":"","parse-names":false,"suffix":""}],"container-title":"Global Environmental Change","id":"ITEM-2","issued":{"date-parts":[["2017","1","1"]]},"page":"181-192","publisher":"Elsevier Ltd","title":"The human core of the shared socioeconomic pathways: Population scenarios by age, sex and level of education for all countries to 2100","type":"article-journal","volume":"42"},"uris":["http://www.mendeley.com/documents/?uuid=b5289165-aeb0-36fe-9e0e-e1129d14117c"]},{"id":"ITEM-3","itemData":{"DOI":"https://doi.org/10.1016/j.gloenvcha.2015.03.008","ISSN":"0959-3780","abstract":"The new scenario process for climate change research includes the creation of Shared Socioeconomic Pathways (SSPs) describing alternative societal development trends over the coming decades. Urbanization is a key aspect of development that is relevant to studies of mitigation, adaptation, and impacts. Incorporating urbanization into the SSPs requires a consistent set of global urbanization projections that cover long time horizons and span a full range of uncertainty. Existing urbanization projections do not meet these needs, in particular providing only a single scenario over the next few decades, a period during which urbanization is likely to be highly dynamic in many countries. We present here a new, long-term, global set of urbanization projections at country level that cover a plausible range of uncertainty. We create SSP-specific projections by choosing urbanization outcomes consistent with each SSP narrative. Results show that the world continues to urbanize in each of the SSPs but outcomes differ widely across them, with urbanization reaching 60%, 79%, and 92% by the end of century in SSP3, SSP2, and SSP1/SSP4/SSP5, respectively. The degree of convergence in urbanization across countries also differs substantially, with largely convergent outcomes by the end of the century in SSP1 and SSP5 and persistent diversity in SSP3. This set of global, country-specific projections produces urbanization pathways that are typical of regions in different stages of urbanization and development levels, and can be extended to further elaborate assumptions about the styles of urban growth and spatial distributions of urban people and land cover occurring in each SSP.","author":[{"dropping-particle":"","family":"Jiang","given":"Leiwen","non-dropping-particle":"","parse-names":false,"suffix":""},{"dropping-particle":"","family":"O’Neill","given":"Brian C","non-dropping-particle":"","parse-names":false,"suffix":""}],"container-title":"Global Environmental Change","id":"ITEM-3","issued":{"date-parts":[["2017"]]},"page":"193-199","title":"Global urbanization projections for the Shared Socioeconomic Pathways","type":"article-journal","volume":"42"},"uris":["http://www.mendeley.com/documents/?uuid=65d7f9ee-61ba-3340-bafd-e06a0b4bbba2"]},{"id":"ITEM-4","itemData":{"DOI":"10.1038/s41560-018-0179-z","ISSN":"20587546","abstract":"Low-carbon investments are necessary for driving the energy system transformation that is called for by both the Paris Agreement and Sustainable Development Goals. Improving understanding of the scale and nature of these investments under diverging technology and policy futures is therefore of great importance to decision makers. Here, using six global modelling frameworks, we show that the pronounced reallocation of the investment portfolio required to transform the energy system will not be initiated by the current suite of countries' Nationally Determined Contributions. Charting a course toward 'well below 2 °C' instead sees low-carbon investments overtaking fossil investments globally by around 2025 or before and growing thereafter. Pursuing the 1.5 °C target demands a marked upscaling in low-carbon capital beyond that of a 2 °C-consistent future. Actions consistent with an energy transformation would increase the costs of achieving the goals of energy access and food security, but reduce the costs of achieving air-quality goals.","author":[{"dropping-particle":"","family":"McCollum","given":"David L.","non-dropping-particle":"","parse-names":false,"suffix":""},{"dropping-particle":"","family":"Zhou","given":"Wenji","non-dropping-particle":"","parse-names":false,"suffix":""},{"dropping-particle":"","family":"Bertram","given":"Christoph","non-dropping-particle":"","parse-names":false,"suffix":""},{"dropping-particle":"","family":"Boer","given":"Harmen Sytze","non-dropping-particle":"De","parse-names":false,"suffix":""},{"dropping-particle":"","family":"Bosetti","given":"Valentina","non-dropping-particle":"","parse-names":false,"suffix":""},{"dropping-particle":"","family":"Busch","given":"Sebastian","non-dropping-particle":"","parse-names":false,"suffix":""},{"dropping-particle":"","family":"Després","given":"Jacques","non-dropping-particle":"","parse-names":false,"suffix":""},{"dropping-particle":"","family":"Drouet","given":"Laurent","non-dropping-particle":"","parse-names":false,"suffix":""},{"dropping-particle":"","family":"Emmerling","given":"Johannes","non-dropping-particle":"","parse-names":false,"suffix":""},{"dropping-particle":"","family":"Fay","given":"Marianne","non-dropping-particle":"","parse-names":false,"suffix":""},{"dropping-particle":"","family":"Fricko","given":"Oliver","non-dropping-particle":"","parse-names":false,"suffix":""},{"dropping-particle":"","family":"Fujimori","given":"Shinichiro","non-dropping-particle":"","parse-names":false,"suffix":""},{"dropping-particle":"","family":"Gidden","given":"Matthew","non-dropping-particle":"","parse-names":false,"suffix":""},{"dropping-particle":"","family":"Harmsen","given":"Mathijs","non-dropping-particle":"","parse-names":false,"suffix":""},{"dropping-particle":"","family":"Huppmann","given":"Daniel","non-dropping-particle":"","parse-names":false,"suffix":""},{"dropping-particle":"","family":"Iyer","given":"Gokul","non-dropping-particle":"","parse-names":false,"suffix":""},{"dropping-particle":"","family":"Krey","given":"Volker","non-dropping-particle":"","parse-names":false,"suffix":""},{"dropping-particle":"","family":"Kriegler","given":"Elmar","non-dropping-particle":"","parse-names":false,"suffix":""},{"dropping-particle":"","family":"Nicolas","given":"Claire","non-dropping-particle":"","parse-names":false,"suffix":""},{"dropping-particle":"","family":"Pachauri","given":"Shonali","non-dropping-particle":"","parse-names":false,"suffix":""},{"dropping-particle":"","family":"Parkinson","given":"Simon","non-dropping-particle":"","parse-names":false,"suffix":""},{"dropping-particle":"","family":"Poblete-Cazenave","given":"Miguel","non-dropping-particle":"","parse-names":false,"suffix":""},{"dropping-particle":"","family":"Rafaj","given":"Peter","non-dropping-particle":"","parse-names":false,"suffix":""},{"dropping-particle":"","family":"Rao","given":"Narasimha","non-dropping-particle":"","parse-names":false,"suffix":""},{"dropping-particle":"","family":"Rozenberg","given":"Julie","non-dropping-particle":"","parse-names":false,"suffix":""},{"dropping-particle":"","family":"Schmitz","given":"Andreas","non-dropping-particle":"","parse-names":false,"suffix":""},{"dropping-particle":"","family":"Schoepp","given":"Wolfgang","non-dropping-particle":"","parse-names":false,"suffix":""},{"dropping-particle":"","family":"Vuuren","given":"Detlef","non-dropping-particle":"Van","parse-names":false,"suffix":""},{"dropping-particle":"","family":"Riahi","given":"Keywan","non-dropping-particle":"","parse-names":false,"suffix":""}],"container-title":"Nature Energy","id":"ITEM-4","issue":"7","issued":{"date-parts":[["2018"]]},"page":"589-599","title":"Energy investment needs for fulfilling the Paris Agreement and achieving the Sustainable Development Goals","type":"article-journal","volume":"3"},"uris":["http://www.mendeley.com/documents/?uuid=1fefe913-e9bc-4063-b371-becbf67b8a1f"]}],"mendeley":{"formattedCitation":"&lt;sup&gt;25,45,46,48&lt;/sup&gt;","plainTextFormattedCitation":"25,45,46,48","previouslyFormattedCitation":"&lt;sup&gt;25,45,46,48&lt;/sup&gt;"},"properties":{"noteIndex":0},"schema":"https://github.com/citation-style-language/schema/raw/master/csl-citation.json"}</w:instrText>
      </w:r>
      <w:r w:rsidR="009E46C3">
        <w:rPr>
          <w:rFonts w:cstheme="minorHAnsi"/>
          <w:sz w:val="24"/>
          <w:szCs w:val="24"/>
        </w:rPr>
        <w:fldChar w:fldCharType="separate"/>
      </w:r>
      <w:r w:rsidR="004667B7" w:rsidRPr="004667B7">
        <w:rPr>
          <w:rFonts w:cstheme="minorHAnsi"/>
          <w:noProof/>
          <w:sz w:val="24"/>
          <w:szCs w:val="24"/>
          <w:vertAlign w:val="superscript"/>
        </w:rPr>
        <w:t>25,45,46,48</w:t>
      </w:r>
      <w:r w:rsidR="009E46C3">
        <w:rPr>
          <w:rFonts w:cstheme="minorHAnsi"/>
          <w:sz w:val="24"/>
          <w:szCs w:val="24"/>
        </w:rPr>
        <w:fldChar w:fldCharType="end"/>
      </w:r>
      <w:r w:rsidRPr="00DB666C">
        <w:rPr>
          <w:rFonts w:cstheme="minorHAnsi"/>
          <w:sz w:val="24"/>
          <w:szCs w:val="24"/>
        </w:rPr>
        <w:t xml:space="preserve"> to obtain the future income distributions</w:t>
      </w:r>
      <w:r w:rsidR="003A0B6D">
        <w:rPr>
          <w:rFonts w:cstheme="minorHAnsi"/>
          <w:sz w:val="24"/>
          <w:szCs w:val="24"/>
        </w:rPr>
        <w:t xml:space="preserve"> </w:t>
      </w:r>
      <w:r w:rsidRPr="00DB666C">
        <w:rPr>
          <w:rFonts w:cstheme="minorHAnsi"/>
          <w:sz w:val="24"/>
          <w:szCs w:val="24"/>
        </w:rPr>
        <w:t>for urban and rural households separately in all countries and regions.</w:t>
      </w:r>
    </w:p>
    <w:p w14:paraId="1B88DE22" w14:textId="6CBE6EC1" w:rsidR="00D35110" w:rsidRDefault="00D35110" w:rsidP="00DB666C">
      <w:pPr>
        <w:autoSpaceDE w:val="0"/>
        <w:autoSpaceDN w:val="0"/>
        <w:adjustRightInd w:val="0"/>
        <w:jc w:val="both"/>
        <w:rPr>
          <w:rFonts w:cstheme="minorHAnsi"/>
          <w:sz w:val="24"/>
          <w:szCs w:val="24"/>
        </w:rPr>
      </w:pPr>
    </w:p>
    <w:p w14:paraId="60ABC8FD" w14:textId="79FC9252" w:rsidR="00D35110" w:rsidRDefault="00D35110" w:rsidP="00D35110">
      <w:pPr>
        <w:autoSpaceDE w:val="0"/>
        <w:autoSpaceDN w:val="0"/>
        <w:adjustRightInd w:val="0"/>
        <w:jc w:val="both"/>
        <w:rPr>
          <w:rFonts w:cstheme="minorHAnsi"/>
          <w:sz w:val="24"/>
          <w:szCs w:val="24"/>
        </w:rPr>
      </w:pPr>
      <w:r w:rsidRPr="00D35110">
        <w:rPr>
          <w:rFonts w:cstheme="minorHAnsi"/>
          <w:sz w:val="24"/>
          <w:szCs w:val="24"/>
        </w:rPr>
        <w:lastRenderedPageBreak/>
        <w:t>The COVID scenario deserves special attention. For its elaboration, the original GDP trend</w:t>
      </w:r>
      <w:r>
        <w:rPr>
          <w:rFonts w:cstheme="minorHAnsi"/>
          <w:sz w:val="24"/>
          <w:szCs w:val="24"/>
        </w:rPr>
        <w:t xml:space="preserve"> </w:t>
      </w:r>
      <w:r w:rsidRPr="00D35110">
        <w:rPr>
          <w:rFonts w:cstheme="minorHAnsi"/>
          <w:sz w:val="24"/>
          <w:szCs w:val="24"/>
        </w:rPr>
        <w:t>for the reference SSP3 from 2010 to 2019 was retained (since this is closer to actual GDP trends</w:t>
      </w:r>
      <w:r>
        <w:rPr>
          <w:rFonts w:cstheme="minorHAnsi"/>
          <w:sz w:val="24"/>
          <w:szCs w:val="24"/>
        </w:rPr>
        <w:t xml:space="preserve"> </w:t>
      </w:r>
      <w:r w:rsidRPr="00D35110">
        <w:rPr>
          <w:rFonts w:cstheme="minorHAnsi"/>
          <w:sz w:val="24"/>
          <w:szCs w:val="24"/>
        </w:rPr>
        <w:t xml:space="preserve">in the last years). For the years 2020 and 2021, we then used the most recent </w:t>
      </w:r>
      <w:r w:rsidR="00A24AE9">
        <w:rPr>
          <w:rFonts w:cstheme="minorHAnsi"/>
          <w:sz w:val="24"/>
          <w:szCs w:val="24"/>
        </w:rPr>
        <w:t xml:space="preserve">national </w:t>
      </w:r>
      <w:r w:rsidRPr="00D35110">
        <w:rPr>
          <w:rFonts w:cstheme="minorHAnsi"/>
          <w:sz w:val="24"/>
          <w:szCs w:val="24"/>
        </w:rPr>
        <w:t xml:space="preserve">GDP growth </w:t>
      </w:r>
      <w:r w:rsidR="001F2A0C">
        <w:rPr>
          <w:rFonts w:cstheme="minorHAnsi"/>
          <w:sz w:val="24"/>
          <w:szCs w:val="24"/>
        </w:rPr>
        <w:t>estimates</w:t>
      </w:r>
      <w:r w:rsidR="001F2A0C" w:rsidRPr="00D35110">
        <w:rPr>
          <w:rFonts w:cstheme="minorHAnsi"/>
          <w:sz w:val="24"/>
          <w:szCs w:val="24"/>
        </w:rPr>
        <w:t xml:space="preserve"> </w:t>
      </w:r>
      <w:r w:rsidRPr="00D35110">
        <w:rPr>
          <w:rFonts w:cstheme="minorHAnsi"/>
          <w:sz w:val="24"/>
          <w:szCs w:val="24"/>
        </w:rPr>
        <w:t>from the World Bank</w:t>
      </w:r>
      <w:r w:rsidR="00A72188">
        <w:rPr>
          <w:rFonts w:cstheme="minorHAnsi"/>
          <w:sz w:val="24"/>
          <w:szCs w:val="24"/>
        </w:rPr>
        <w:fldChar w:fldCharType="begin" w:fldLock="1"/>
      </w:r>
      <w:r w:rsidR="000F3215">
        <w:rPr>
          <w:rFonts w:cstheme="minorHAnsi"/>
          <w:sz w:val="24"/>
          <w:szCs w:val="24"/>
        </w:rPr>
        <w:instrText>ADDIN CSL_CITATION {"citationItems":[{"id":"ITEM-1","itemData":{"DOI":"10.1596/978-1-4648-1553-9_ch1","author":[{"dropping-particle":"","family":"World Bank","given":"","non-dropping-particle":"","parse-names":false,"suffix":""}],"container-title":"Global Economic Prospects","id":"ITEM-1","issued":{"date-parts":[["2020"]]},"page":"1-66","publisher":"World Bank","title":"Global Outlook: Pandemic, Recession: The Global Economy in Crisis","type":"chapter"},"uris":["http://www.mendeley.com/documents/?uuid=2b004552-b962-3918-8b6b-7fed1313f9f6"]}],"mendeley":{"formattedCitation":"&lt;sup&gt;49&lt;/sup&gt;","plainTextFormattedCitation":"49","previouslyFormattedCitation":"&lt;sup&gt;49&lt;/sup&gt;"},"properties":{"noteIndex":0},"schema":"https://github.com/citation-style-language/schema/raw/master/csl-citation.json"}</w:instrText>
      </w:r>
      <w:r w:rsidR="00A72188">
        <w:rPr>
          <w:rFonts w:cstheme="minorHAnsi"/>
          <w:sz w:val="24"/>
          <w:szCs w:val="24"/>
        </w:rPr>
        <w:fldChar w:fldCharType="separate"/>
      </w:r>
      <w:r w:rsidR="004667B7" w:rsidRPr="004667B7">
        <w:rPr>
          <w:rFonts w:cstheme="minorHAnsi"/>
          <w:noProof/>
          <w:sz w:val="24"/>
          <w:szCs w:val="24"/>
          <w:vertAlign w:val="superscript"/>
        </w:rPr>
        <w:t>49</w:t>
      </w:r>
      <w:r w:rsidR="00A72188">
        <w:rPr>
          <w:rFonts w:cstheme="minorHAnsi"/>
          <w:sz w:val="24"/>
          <w:szCs w:val="24"/>
        </w:rPr>
        <w:fldChar w:fldCharType="end"/>
      </w:r>
      <w:r w:rsidRPr="00D35110">
        <w:rPr>
          <w:rFonts w:cstheme="minorHAnsi"/>
          <w:sz w:val="24"/>
          <w:szCs w:val="24"/>
        </w:rPr>
        <w:t xml:space="preserve">. We assumed convergence in GDP growth trends in the year </w:t>
      </w:r>
      <w:r w:rsidR="0040534F">
        <w:rPr>
          <w:rFonts w:cstheme="minorHAnsi"/>
          <w:sz w:val="24"/>
          <w:szCs w:val="24"/>
        </w:rPr>
        <w:t>2</w:t>
      </w:r>
      <w:r w:rsidRPr="00D35110">
        <w:rPr>
          <w:rFonts w:cstheme="minorHAnsi"/>
          <w:sz w:val="24"/>
          <w:szCs w:val="24"/>
        </w:rPr>
        <w:t>040,</w:t>
      </w:r>
      <w:r w:rsidR="0040534F">
        <w:rPr>
          <w:rFonts w:cstheme="minorHAnsi"/>
          <w:sz w:val="24"/>
          <w:szCs w:val="24"/>
        </w:rPr>
        <w:t xml:space="preserve"> </w:t>
      </w:r>
      <w:r w:rsidRPr="00D35110">
        <w:rPr>
          <w:rFonts w:cstheme="minorHAnsi"/>
          <w:sz w:val="24"/>
          <w:szCs w:val="24"/>
        </w:rPr>
        <w:t xml:space="preserve">considering a </w:t>
      </w:r>
      <w:r w:rsidR="00CB3D66" w:rsidRPr="00D35110">
        <w:rPr>
          <w:rFonts w:cstheme="minorHAnsi"/>
          <w:sz w:val="24"/>
          <w:szCs w:val="24"/>
        </w:rPr>
        <w:t>20-year</w:t>
      </w:r>
      <w:r w:rsidRPr="00D35110">
        <w:rPr>
          <w:rFonts w:cstheme="minorHAnsi"/>
          <w:sz w:val="24"/>
          <w:szCs w:val="24"/>
        </w:rPr>
        <w:t xml:space="preserve"> </w:t>
      </w:r>
      <w:r w:rsidR="00485553">
        <w:rPr>
          <w:rFonts w:cstheme="minorHAnsi"/>
          <w:sz w:val="24"/>
          <w:szCs w:val="24"/>
        </w:rPr>
        <w:t xml:space="preserve">protracted </w:t>
      </w:r>
      <w:r w:rsidRPr="00D35110">
        <w:rPr>
          <w:rFonts w:cstheme="minorHAnsi"/>
          <w:sz w:val="24"/>
          <w:szCs w:val="24"/>
        </w:rPr>
        <w:t xml:space="preserve">recovery period from the pandemic worldwide. The revised GDP </w:t>
      </w:r>
      <w:r w:rsidR="0040534F">
        <w:rPr>
          <w:rFonts w:cstheme="minorHAnsi"/>
          <w:sz w:val="24"/>
          <w:szCs w:val="24"/>
        </w:rPr>
        <w:t>e</w:t>
      </w:r>
      <w:r w:rsidRPr="00D35110">
        <w:rPr>
          <w:rFonts w:cstheme="minorHAnsi"/>
          <w:sz w:val="24"/>
          <w:szCs w:val="24"/>
        </w:rPr>
        <w:t>stimates</w:t>
      </w:r>
      <w:r w:rsidR="0040534F">
        <w:rPr>
          <w:rFonts w:cstheme="minorHAnsi"/>
          <w:sz w:val="24"/>
          <w:szCs w:val="24"/>
        </w:rPr>
        <w:t xml:space="preserve"> </w:t>
      </w:r>
      <w:r w:rsidRPr="00D35110">
        <w:rPr>
          <w:rFonts w:cstheme="minorHAnsi"/>
          <w:sz w:val="24"/>
          <w:szCs w:val="24"/>
        </w:rPr>
        <w:t>were used to adjust the level of average household income</w:t>
      </w:r>
      <w:r w:rsidR="00A24AE9">
        <w:rPr>
          <w:rFonts w:cstheme="minorHAnsi"/>
          <w:sz w:val="24"/>
          <w:szCs w:val="24"/>
        </w:rPr>
        <w:t xml:space="preserve"> in each region and period</w:t>
      </w:r>
      <w:r w:rsidRPr="00D35110">
        <w:rPr>
          <w:rFonts w:cstheme="minorHAnsi"/>
          <w:sz w:val="24"/>
          <w:szCs w:val="24"/>
        </w:rPr>
        <w:t xml:space="preserve">. The standard deviation, </w:t>
      </w:r>
      <w:r w:rsidR="0040534F">
        <w:rPr>
          <w:rFonts w:cstheme="minorHAnsi"/>
          <w:sz w:val="24"/>
          <w:szCs w:val="24"/>
        </w:rPr>
        <w:t>w</w:t>
      </w:r>
      <w:r w:rsidRPr="00D35110">
        <w:rPr>
          <w:rFonts w:cstheme="minorHAnsi"/>
          <w:sz w:val="24"/>
          <w:szCs w:val="24"/>
        </w:rPr>
        <w:t>hich is used</w:t>
      </w:r>
      <w:r w:rsidR="0040534F">
        <w:rPr>
          <w:rFonts w:cstheme="minorHAnsi"/>
          <w:sz w:val="24"/>
          <w:szCs w:val="24"/>
        </w:rPr>
        <w:t xml:space="preserve"> </w:t>
      </w:r>
      <w:r w:rsidRPr="00D35110">
        <w:rPr>
          <w:rFonts w:cstheme="minorHAnsi"/>
          <w:sz w:val="24"/>
          <w:szCs w:val="24"/>
        </w:rPr>
        <w:t xml:space="preserve">to estimate inequality, was also adjusted in line with its association with GDP, </w:t>
      </w:r>
      <w:r w:rsidR="00CB3D66" w:rsidRPr="00D35110">
        <w:rPr>
          <w:rFonts w:cstheme="minorHAnsi"/>
          <w:sz w:val="24"/>
          <w:szCs w:val="24"/>
        </w:rPr>
        <w:t>urbanization,</w:t>
      </w:r>
      <w:r w:rsidRPr="00D35110">
        <w:rPr>
          <w:rFonts w:cstheme="minorHAnsi"/>
          <w:sz w:val="24"/>
          <w:szCs w:val="24"/>
        </w:rPr>
        <w:t xml:space="preserve"> and</w:t>
      </w:r>
      <w:r w:rsidR="0040534F">
        <w:rPr>
          <w:rFonts w:cstheme="minorHAnsi"/>
          <w:sz w:val="24"/>
          <w:szCs w:val="24"/>
        </w:rPr>
        <w:t xml:space="preserve"> </w:t>
      </w:r>
      <w:r w:rsidRPr="00D35110">
        <w:rPr>
          <w:rFonts w:cstheme="minorHAnsi"/>
          <w:sz w:val="24"/>
          <w:szCs w:val="24"/>
        </w:rPr>
        <w:t>year. T</w:t>
      </w:r>
      <w:r w:rsidR="003B27CC">
        <w:rPr>
          <w:rFonts w:cstheme="minorHAnsi"/>
          <w:sz w:val="24"/>
          <w:szCs w:val="24"/>
        </w:rPr>
        <w:t xml:space="preserve">he </w:t>
      </w:r>
      <w:r w:rsidR="003B27CC" w:rsidRPr="39BF59DC">
        <w:rPr>
          <w:sz w:val="24"/>
          <w:szCs w:val="24"/>
        </w:rPr>
        <w:t>Supplementary Data File</w:t>
      </w:r>
      <w:r w:rsidR="003B27CC" w:rsidRPr="00D35110" w:rsidDel="003B27CC">
        <w:rPr>
          <w:rFonts w:cstheme="minorHAnsi"/>
          <w:sz w:val="24"/>
          <w:szCs w:val="24"/>
        </w:rPr>
        <w:t xml:space="preserve"> </w:t>
      </w:r>
      <w:r w:rsidRPr="00D35110">
        <w:rPr>
          <w:rFonts w:cstheme="minorHAnsi"/>
          <w:sz w:val="24"/>
          <w:szCs w:val="24"/>
        </w:rPr>
        <w:t xml:space="preserve">contains </w:t>
      </w:r>
      <w:r w:rsidR="00AD6F4B">
        <w:rPr>
          <w:rFonts w:cstheme="minorHAnsi"/>
          <w:sz w:val="24"/>
          <w:szCs w:val="24"/>
        </w:rPr>
        <w:t xml:space="preserve">values of </w:t>
      </w:r>
      <w:r w:rsidRPr="00D35110">
        <w:rPr>
          <w:rFonts w:cstheme="minorHAnsi"/>
          <w:sz w:val="24"/>
          <w:szCs w:val="24"/>
        </w:rPr>
        <w:t>all scenario drivers for the period of analysis.</w:t>
      </w:r>
    </w:p>
    <w:p w14:paraId="70349DD0" w14:textId="2D971765" w:rsidR="0073518E" w:rsidRDefault="0073518E" w:rsidP="00D35110">
      <w:pPr>
        <w:autoSpaceDE w:val="0"/>
        <w:autoSpaceDN w:val="0"/>
        <w:adjustRightInd w:val="0"/>
        <w:jc w:val="both"/>
        <w:rPr>
          <w:rFonts w:cstheme="minorHAnsi"/>
          <w:sz w:val="24"/>
          <w:szCs w:val="24"/>
        </w:rPr>
      </w:pPr>
    </w:p>
    <w:p w14:paraId="186947A6" w14:textId="48E7B000" w:rsidR="0073518E" w:rsidRDefault="3BC78FF0" w:rsidP="0073518E">
      <w:pPr>
        <w:autoSpaceDE w:val="0"/>
        <w:autoSpaceDN w:val="0"/>
        <w:adjustRightInd w:val="0"/>
        <w:jc w:val="both"/>
        <w:rPr>
          <w:sz w:val="24"/>
          <w:szCs w:val="24"/>
        </w:rPr>
      </w:pPr>
      <w:r w:rsidRPr="39BF59DC">
        <w:rPr>
          <w:sz w:val="24"/>
          <w:szCs w:val="24"/>
        </w:rPr>
        <w:t>We also consider ambitious climate mitigation policy scenarios that limit global warming to below 2</w:t>
      </w:r>
      <w:r w:rsidR="0F82B08A" w:rsidRPr="39BF59DC">
        <w:rPr>
          <w:rFonts w:ascii="Roboto" w:hAnsi="Roboto"/>
          <w:color w:val="111111"/>
        </w:rPr>
        <w:t>°</w:t>
      </w:r>
      <w:r w:rsidRPr="39BF59DC">
        <w:rPr>
          <w:sz w:val="24"/>
          <w:szCs w:val="24"/>
        </w:rPr>
        <w:t xml:space="preserve">C (CP2C) by the end of the century. The mitigation policy simulated in this analysis </w:t>
      </w:r>
      <w:r w:rsidR="185645E9" w:rsidRPr="39BF59DC">
        <w:rPr>
          <w:sz w:val="24"/>
          <w:szCs w:val="24"/>
        </w:rPr>
        <w:t>c</w:t>
      </w:r>
      <w:r w:rsidRPr="39BF59DC">
        <w:rPr>
          <w:sz w:val="24"/>
          <w:szCs w:val="24"/>
        </w:rPr>
        <w:t>onsiders regionally di</w:t>
      </w:r>
      <w:r w:rsidR="185645E9" w:rsidRPr="39BF59DC">
        <w:rPr>
          <w:sz w:val="24"/>
          <w:szCs w:val="24"/>
        </w:rPr>
        <w:t>ff</w:t>
      </w:r>
      <w:r w:rsidRPr="39BF59DC">
        <w:rPr>
          <w:sz w:val="24"/>
          <w:szCs w:val="24"/>
        </w:rPr>
        <w:t xml:space="preserve">erentiated carbon price trajectories </w:t>
      </w:r>
      <w:r w:rsidR="0A4B045A" w:rsidRPr="39BF59DC">
        <w:rPr>
          <w:sz w:val="24"/>
          <w:szCs w:val="24"/>
        </w:rPr>
        <w:t>as</w:t>
      </w:r>
      <w:r w:rsidRPr="39BF59DC">
        <w:rPr>
          <w:sz w:val="24"/>
          <w:szCs w:val="24"/>
        </w:rPr>
        <w:t xml:space="preserve"> estimated by</w:t>
      </w:r>
      <w:r w:rsidR="460AC66B" w:rsidRPr="39BF59DC">
        <w:rPr>
          <w:sz w:val="24"/>
          <w:szCs w:val="24"/>
        </w:rPr>
        <w:t xml:space="preserve"> </w:t>
      </w:r>
      <w:r w:rsidR="0073518E" w:rsidRPr="39BF59DC">
        <w:rPr>
          <w:sz w:val="24"/>
          <w:szCs w:val="24"/>
        </w:rPr>
        <w:fldChar w:fldCharType="begin"/>
      </w:r>
      <w:r w:rsidR="00D80A04" w:rsidRPr="39BF59DC">
        <w:rPr>
          <w:sz w:val="24"/>
          <w:szCs w:val="24"/>
        </w:rPr>
        <w:instrText>ADDIN CSL_CITATION {"citationItems":[{"id":"ITEM-1","itemData":{"DOI":"10.1038/s41560-018-0179-z","ISSN":"20587546","abstract":"Low-carbon investments are necessary for driving the energy system transformation that is called for by both the Paris Agreement and Sustainable Development Goals. Improving understanding of the scale and nature of these investments under diverging technology and policy futures is therefore of great importance to decision makers. Here, using six global modelling frameworks, we show that the pronounced reallocation of the investment portfolio required to transform the energy system will not be initiated by the current suite of countries' Nationally Determined Contributions. Charting a course toward 'well below 2 °C' instead sees low-carbon investments overtaking fossil investments globally by around 2025 or before and growing thereafter. Pursuing the 1.5 °C target demands a marked upscaling in low-carbon capital beyond that of a 2 °C-consistent future. Actions consistent with an energy transformation would increase the costs of achieving the goals of energy access and food security, but reduce the costs of achieving air-quality goals.","author":[{"dropping-particle":"","family":"McCollum","given":"David L.","non-dropping-particle":"","parse-names":false,"suffix":""},{"dropping-particle":"","family":"Zhou","given":"Wenji","non-dropping-particle":"","parse-names":false,"suffix":""},{"dropping-particle":"","family":"Bertram","given":"Christoph","non-dropping-particle":"","parse-names":false,"suffix":""},{"dropping-particle":"","family":"Boer","given":"Harmen Sytze","non-dropping-particle":"De","parse-names":false,"suffix":""},{"dropping-particle":"","family":"Bosetti","given":"Valentina","non-dropping-particle":"","parse-names":false,"suffix":""},{"dropping-particle":"","family":"Busch","given":"Sebastian","non-dropping-particle":"","parse-names":false,"suffix":""},{"dropping-particle":"","family":"Després","given":"Jacques","non-dropping-particle":"","parse-names":false,"suffix":""},{"dropping-particle":"","family":"Drouet","given":"Laurent","non-dropping-particle":"","parse-names":false,"suffix":""},{"dropping-particle":"","family":"Emmerling","given":"Johannes","non-dropping-particle":"","parse-names":false,"suffix":""},{"dropping-particle":"","family":"Fay","given":"Marianne","non-dropping-particle":"","parse-names":false,"suffix":""},{"dropping-particle":"","family":"Fricko","given":"Oliver","non-dropping-particle":"","parse-names":false,"suffix":""},{"dropping-particle":"","family":"Fujimori","given":"Shinichiro","non-dropping-particle":"","parse-names":false,"suffix":""},{"dropping-particle":"","family":"Gidden","given":"Matthew","non-dropping-particle":"","parse-names":false,"suffix":""},{"dropping-particle":"","family":"Harmsen","given":"Mathijs","non-dropping-particle":"","parse-names":false,"suffix":""},{"dropping-particle":"","family":"Huppmann","given":"Daniel","non-dropping-particle":"","parse-names":false,"suffix":""},{"dropping-particle":"","family":"Iyer","given":"Gokul","non-dropping-particle":"","parse-names":false,"suffix":""},{"dropping-particle":"","family":"Krey","given":"Volker","non-dropping-particle":"","parse-names":false,"suffix":""},{"dropping-particle":"","family":"Kriegler","given":"Elmar","non-dropping-particle":"","parse-names":false,"suffix":""},{"dropping-particle":"","family":"Nicolas","given":"Claire","non-dropping-particle":"","parse-names":false,"suffix":""},{"dropping-particle":"","family":"Pachauri","given":"Shonali","non-dropping-particle":"","parse-names":false,"suffix":""},{"dropping-particle":"","family":"Parkinson","given":"Simon","non-dropping-particle":"","parse-names":false,"suffix":""},{"dropping-particle":"","family":"Poblete-Cazenave","given":"Miguel","non-dropping-particle":"","parse-names":false,"suffix":""},{"dropping-particle":"","family":"Rafaj","given":"Peter","non-dropping-particle":"","parse-names":false,"suffix":""},{"dropping-particle":"","family":"Rao","given":"Narasimha","non-dropping-particle":"","parse-names":false,"suffix":""},{"dropping-particle":"","family":"Rozenberg","given":"Julie","non-dropping-particle":"","parse-names":false,"suffix":""},{"dropping-particle":"","family":"Schmitz","given":"Andreas","non-dropping-particle":"","parse-names":false,"suffix":""},{"dropping-particle":"","family":"Schoepp","given":"Wolfgang","non-dropping-particle":"","parse-names":false,"suffix":""},{"dropping-particle":"","family":"Vuuren","given":"Detlef","non-dropping-particle":"Van","parse-names":false,"suffix":""},{"dropping-particle":"","family":"Riahi","given":"Keywan","non-dropping-particle":"","parse-names":false,"suffix":""}],"container-title":"Nature Energy","id":"ITEM-1","issue":"7","issued":{"date-parts":[["2018"]]},"page":"589-599","title":"Energy investment needs for fulfilling the Paris Agreement and achieving the Sustainable Development Goals","type":"article-journal","volume":"3"},"uris":["http://www.mendeley.com/documents/?uuid=1fefe913-e9bc-4063-b371-becbf67b8a1f","http://www.mendeley.com/documents/?uuid=c7228d86-3dce-3815-b1ef-d0ed005cadc8"]}],"mendeley":{"formattedCitation":"&lt;sup&gt;25&lt;/sup&gt;","plainTextFormattedCitation":"25","previouslyFormattedCitation":"&lt;sup&gt;25&lt;/sup&gt;"},"properties":{"noteIndex":0},"schema":"https://github.com/citation-style-language/schema/raw/master/csl-citation.json"}</w:instrText>
      </w:r>
      <w:r w:rsidR="0073518E" w:rsidRPr="39BF59DC">
        <w:rPr>
          <w:sz w:val="24"/>
          <w:szCs w:val="24"/>
        </w:rPr>
        <w:fldChar w:fldCharType="separate"/>
      </w:r>
      <w:r w:rsidR="729BCEF2" w:rsidRPr="39BF59DC">
        <w:rPr>
          <w:noProof/>
          <w:sz w:val="24"/>
          <w:szCs w:val="24"/>
          <w:vertAlign w:val="superscript"/>
        </w:rPr>
        <w:t>25</w:t>
      </w:r>
      <w:r w:rsidR="0073518E" w:rsidRPr="39BF59DC">
        <w:rPr>
          <w:sz w:val="24"/>
          <w:szCs w:val="24"/>
        </w:rPr>
        <w:fldChar w:fldCharType="end"/>
      </w:r>
      <w:r w:rsidRPr="39BF59DC">
        <w:rPr>
          <w:sz w:val="24"/>
          <w:szCs w:val="24"/>
        </w:rPr>
        <w:t xml:space="preserve">. </w:t>
      </w:r>
      <w:r w:rsidR="693E2345" w:rsidRPr="39BF59DC">
        <w:rPr>
          <w:sz w:val="24"/>
          <w:szCs w:val="24"/>
        </w:rPr>
        <w:t xml:space="preserve">Details on all key scenario drivers and assumptions </w:t>
      </w:r>
      <w:r w:rsidR="7237A000" w:rsidRPr="39BF59DC">
        <w:rPr>
          <w:sz w:val="24"/>
          <w:szCs w:val="24"/>
        </w:rPr>
        <w:t xml:space="preserve">are presented in Supplementary </w:t>
      </w:r>
      <w:r w:rsidR="5BC0621F" w:rsidRPr="39BF59DC">
        <w:rPr>
          <w:sz w:val="24"/>
          <w:szCs w:val="24"/>
        </w:rPr>
        <w:t>Data File</w:t>
      </w:r>
      <w:r w:rsidR="7237A000" w:rsidRPr="39BF59DC">
        <w:rPr>
          <w:sz w:val="24"/>
          <w:szCs w:val="24"/>
        </w:rPr>
        <w:t xml:space="preserve">. </w:t>
      </w:r>
      <w:r w:rsidRPr="39BF59DC">
        <w:rPr>
          <w:sz w:val="24"/>
          <w:szCs w:val="24"/>
        </w:rPr>
        <w:t>The</w:t>
      </w:r>
      <w:r w:rsidR="185645E9" w:rsidRPr="39BF59DC">
        <w:rPr>
          <w:sz w:val="24"/>
          <w:szCs w:val="24"/>
        </w:rPr>
        <w:t xml:space="preserve"> </w:t>
      </w:r>
      <w:r w:rsidRPr="39BF59DC">
        <w:rPr>
          <w:sz w:val="24"/>
          <w:szCs w:val="24"/>
        </w:rPr>
        <w:t xml:space="preserve">microdata based structural estimation models described above are soft-linked to the </w:t>
      </w:r>
      <w:proofErr w:type="spellStart"/>
      <w:r w:rsidRPr="39BF59DC">
        <w:rPr>
          <w:sz w:val="24"/>
          <w:szCs w:val="24"/>
        </w:rPr>
        <w:t>MESSAGEix</w:t>
      </w:r>
      <w:proofErr w:type="spellEnd"/>
      <w:r w:rsidRPr="39BF59DC">
        <w:rPr>
          <w:sz w:val="24"/>
          <w:szCs w:val="24"/>
        </w:rPr>
        <w:t>-GLOBIOM integrated assessment model</w:t>
      </w:r>
      <w:r w:rsidR="0073518E" w:rsidRPr="39BF59DC">
        <w:rPr>
          <w:sz w:val="24"/>
          <w:szCs w:val="24"/>
        </w:rPr>
        <w:fldChar w:fldCharType="begin"/>
      </w:r>
      <w:r w:rsidR="00423D10" w:rsidRPr="39BF59DC">
        <w:rPr>
          <w:sz w:val="24"/>
          <w:szCs w:val="24"/>
        </w:rPr>
        <w:instrText>ADDIN CSL_CITATION {"citationItems":[{"id":"ITEM-1","itemData":{"DOI":"10.22022/IACC/03-2021.17115","author":[{"dropping-particle":"","family":"Krey","given":"V","non-dropping-particle":"","parse-names":false,"suffix":""},{"dropping-particle":"","family":"Havlik","given":"P","non-dropping-particle":"","parse-names":false,"suffix":""},{"dropping-particle":"","family":"Kishimoto","given":"P","non-dropping-particle":"","parse-names":false,"suffix":""},{"dropping-particle":"","family":"Fricko","given":"O","non-dropping-particle":"","parse-names":false,"suffix":""},{"dropping-particle":"","family":"Zilliacus","given":"J","non-dropping-particle":"","parse-names":false,"suffix":""},{"dropping-particle":"","family":"Gidden","given":"M","non-dropping-particle":"","parse-names":false,"suffix":""},{"dropping-particle":"","family":"Strubegger","given":"M","non-dropping-particle":"","parse-names":false,"suffix":""},{"dropping-particle":"","family":"Kartasasmita","given":"G","non-dropping-particle":"","parse-names":false,"suffix":""},{"dropping-particle":"","family":"Ermolieva","given":"T","non-dropping-particle":"","parse-names":false,"suffix":""},{"dropping-particle":"","family":"Forsell","given":"N","non-dropping-particle":"","parse-names":false,"suffix":""},{"dropping-particle":"","family":"Guo","given":"F","non-dropping-particle":"","parse-names":false,"suffix":""},{"dropping-particle":"","family":"Gusti","given":"M","non-dropping-particle":"","parse-names":false,"suffix":""},{"dropping-particle":"","family":"Huppmann","given":"D","non-dropping-particle":"","parse-names":false,"suffix":""},{"dropping-particle":"","family":"Johnson","given":"N","non-dropping-particle":"","parse-names":false,"suffix":""},{"dropping-particle":"","family":"Kikstra","given":"J","non-dropping-particle":"","parse-names":false,"suffix":""},{"dropping-particle":"","family":"Kindermann","given":"G","non-dropping-particle":"","parse-names":false,"suffix":""},{"dropping-particle":"","family":"Kolp","given":"P","non-dropping-particle":"","parse-names":false,"suffix":""},{"dropping-particle":"","family":"Lovat","given":"F","non-dropping-particle":"","parse-names":false,"suffix":""},{"dropping-particle":"","family":"McCollum","given":"D","non-dropping-particle":"","parse-names":false,"suffix":""},{"dropping-particle":"","family":"Min","given":"J","non-dropping-particle":"","parse-names":false,"suffix":""},{"dropping-particle":"","family":"Pachauri","given":"S","non-dropping-particle":"","parse-names":false,"suffix":""},{"dropping-particle":"","family":"Parkinson","given":"S","non-dropping-particle":"","parse-names":false,"suffix":""},{"dropping-particle":"","family":"Rao","given":"S","non-dropping-particle":"","parse-names":false,"suffix":""},{"dropping-particle":"","family":"Rogelj","given":"J","non-dropping-particle":"","parse-names":false,"suffix":""},{"dropping-particle":"","family":"Unlu","given":"G","non-dropping-particle":"","parse-names":false,"suffix":""},{"dropping-particle":"","family":"Valin","given":"H","non-dropping-particle":"","parse-names":false,"suffix":""},{"dropping-particle":"","family":"Wagner","given":"P","non-dropping-particle":"","parse-names":false,"suffix":""},{"dropping-particle":"","family":"Zakeri","given":"B","non-dropping-particle":"","parse-names":false,"suffix":""},{"dropping-particle":"","family":"Obersteiner","given":"M","non-dropping-particle":"","parse-names":false,"suffix":""},{"dropping-particle":"","family":"Riahi","given":"K","non-dropping-particle":"","parse-names":false,"suffix":""}],"id":"ITEM-1","issued":{"date-parts":[["2020"]]},"publisher":"IIASA","publisher-place":"Laxenburg, Austria","title":"{MESSAGEix-GLOBIOM} Documentation - 2020 release","type":"report"},"uris":["http://www.mendeley.com/documents/?uuid=5de0a315-0600-4ce1-980e-ee2b296e3724","http://www.mendeley.com/documents/?uuid=dbf00fdc-f62d-49c9-b880-3c02ee6aea48"]}],"mendeley":{"formattedCitation":"&lt;sup&gt;42&lt;/sup&gt;","plainTextFormattedCitation":"42","previouslyFormattedCitation":"&lt;sup&gt;42&lt;/sup&gt;"},"properties":{"noteIndex":0},"schema":"https://github.com/citation-style-language/schema/raw/master/csl-citation.json"}</w:instrText>
      </w:r>
      <w:r w:rsidR="0073518E" w:rsidRPr="39BF59DC">
        <w:rPr>
          <w:sz w:val="24"/>
          <w:szCs w:val="24"/>
        </w:rPr>
        <w:fldChar w:fldCharType="separate"/>
      </w:r>
      <w:r w:rsidR="4AEEDF4A" w:rsidRPr="39BF59DC">
        <w:rPr>
          <w:noProof/>
          <w:sz w:val="24"/>
          <w:szCs w:val="24"/>
          <w:vertAlign w:val="superscript"/>
        </w:rPr>
        <w:t>42</w:t>
      </w:r>
      <w:r w:rsidR="0073518E" w:rsidRPr="39BF59DC">
        <w:rPr>
          <w:sz w:val="24"/>
          <w:szCs w:val="24"/>
        </w:rPr>
        <w:fldChar w:fldCharType="end"/>
      </w:r>
      <w:r w:rsidRPr="39BF59DC">
        <w:rPr>
          <w:sz w:val="24"/>
          <w:szCs w:val="24"/>
        </w:rPr>
        <w:t>, which allows macroeconomic feedbacks via energy</w:t>
      </w:r>
      <w:r w:rsidR="185645E9" w:rsidRPr="39BF59DC">
        <w:rPr>
          <w:sz w:val="24"/>
          <w:szCs w:val="24"/>
        </w:rPr>
        <w:t xml:space="preserve"> </w:t>
      </w:r>
      <w:r w:rsidRPr="39BF59DC">
        <w:rPr>
          <w:sz w:val="24"/>
          <w:szCs w:val="24"/>
        </w:rPr>
        <w:t>prices to be captured. These re</w:t>
      </w:r>
      <w:r w:rsidR="185645E9" w:rsidRPr="39BF59DC">
        <w:rPr>
          <w:sz w:val="24"/>
          <w:szCs w:val="24"/>
        </w:rPr>
        <w:t>f</w:t>
      </w:r>
      <w:r w:rsidR="333B3BEF" w:rsidRPr="39BF59DC">
        <w:rPr>
          <w:sz w:val="24"/>
          <w:szCs w:val="24"/>
        </w:rPr>
        <w:t>l</w:t>
      </w:r>
      <w:r w:rsidRPr="39BF59DC">
        <w:rPr>
          <w:sz w:val="24"/>
          <w:szCs w:val="24"/>
        </w:rPr>
        <w:t>ect changes in the energy supply mix and land-use to meet</w:t>
      </w:r>
      <w:r w:rsidR="333B3BEF" w:rsidRPr="39BF59DC">
        <w:rPr>
          <w:sz w:val="24"/>
          <w:szCs w:val="24"/>
        </w:rPr>
        <w:t xml:space="preserve"> </w:t>
      </w:r>
      <w:r w:rsidRPr="39BF59DC">
        <w:rPr>
          <w:sz w:val="24"/>
          <w:szCs w:val="24"/>
        </w:rPr>
        <w:t>estimated demands at least cost.</w:t>
      </w:r>
    </w:p>
    <w:p w14:paraId="2865F612" w14:textId="6A9DE907" w:rsidR="009D6BC2" w:rsidRDefault="009D6BC2" w:rsidP="0073518E">
      <w:pPr>
        <w:autoSpaceDE w:val="0"/>
        <w:autoSpaceDN w:val="0"/>
        <w:adjustRightInd w:val="0"/>
        <w:jc w:val="both"/>
        <w:rPr>
          <w:rFonts w:cstheme="minorHAnsi"/>
          <w:sz w:val="24"/>
          <w:szCs w:val="24"/>
        </w:rPr>
      </w:pPr>
    </w:p>
    <w:p w14:paraId="63449739" w14:textId="77777777" w:rsidR="00AF3239" w:rsidRPr="00B8535B" w:rsidRDefault="00AF3239" w:rsidP="008E2FE9">
      <w:pPr>
        <w:autoSpaceDE w:val="0"/>
        <w:autoSpaceDN w:val="0"/>
        <w:adjustRightInd w:val="0"/>
        <w:jc w:val="both"/>
        <w:rPr>
          <w:rFonts w:cstheme="minorHAnsi"/>
          <w:sz w:val="29"/>
          <w:szCs w:val="29"/>
        </w:rPr>
      </w:pPr>
      <w:r w:rsidRPr="00B8535B">
        <w:rPr>
          <w:rFonts w:cstheme="minorHAnsi"/>
          <w:sz w:val="29"/>
          <w:szCs w:val="29"/>
        </w:rPr>
        <w:t>Data Availability</w:t>
      </w:r>
    </w:p>
    <w:p w14:paraId="47019F3D" w14:textId="67B5615A" w:rsidR="009D6BC2" w:rsidRDefault="008E2FE9" w:rsidP="007C4765">
      <w:pPr>
        <w:autoSpaceDE w:val="0"/>
        <w:autoSpaceDN w:val="0"/>
        <w:adjustRightInd w:val="0"/>
        <w:jc w:val="both"/>
        <w:rPr>
          <w:sz w:val="24"/>
          <w:szCs w:val="24"/>
        </w:rPr>
      </w:pPr>
      <w:r w:rsidRPr="39BF59DC">
        <w:rPr>
          <w:sz w:val="24"/>
          <w:szCs w:val="24"/>
        </w:rPr>
        <w:t>Links to the micro datasets that were used in the analysis are included in the Supplementary</w:t>
      </w:r>
      <w:r w:rsidR="0AE3331A" w:rsidRPr="39BF59DC">
        <w:rPr>
          <w:sz w:val="24"/>
          <w:szCs w:val="24"/>
        </w:rPr>
        <w:t xml:space="preserve"> </w:t>
      </w:r>
      <w:r w:rsidRPr="39BF59DC">
        <w:rPr>
          <w:sz w:val="24"/>
          <w:szCs w:val="24"/>
        </w:rPr>
        <w:t>Information File, when available. Given that some of these datasets are not publicly available, the data used for the estimation module is only available from the corresponding author on reasonable request. The simulated datasets generated during the current study are also available from the corresponding author on reasonable request.</w:t>
      </w:r>
      <w:r w:rsidR="007C4765" w:rsidRPr="39BF59DC">
        <w:rPr>
          <w:sz w:val="24"/>
          <w:szCs w:val="24"/>
        </w:rPr>
        <w:t xml:space="preserve"> </w:t>
      </w:r>
      <w:r w:rsidR="00811393">
        <w:rPr>
          <w:sz w:val="24"/>
          <w:szCs w:val="24"/>
        </w:rPr>
        <w:t xml:space="preserve">All estimated moments, </w:t>
      </w:r>
      <w:r w:rsidR="009953C9">
        <w:rPr>
          <w:sz w:val="24"/>
          <w:szCs w:val="24"/>
        </w:rPr>
        <w:t>scenario assumptions and t</w:t>
      </w:r>
      <w:r w:rsidR="007C4765" w:rsidRPr="39BF59DC">
        <w:rPr>
          <w:sz w:val="24"/>
          <w:szCs w:val="24"/>
        </w:rPr>
        <w:t xml:space="preserve">he datasets underlying the plots are available in the </w:t>
      </w:r>
      <w:r w:rsidR="3176FA1F" w:rsidRPr="39BF59DC">
        <w:rPr>
          <w:sz w:val="24"/>
          <w:szCs w:val="24"/>
        </w:rPr>
        <w:t>Supplementary Data File</w:t>
      </w:r>
      <w:r w:rsidR="34348BFD" w:rsidRPr="39BF59DC">
        <w:rPr>
          <w:sz w:val="24"/>
          <w:szCs w:val="24"/>
        </w:rPr>
        <w:t>.</w:t>
      </w:r>
    </w:p>
    <w:p w14:paraId="45640310" w14:textId="28D650F6" w:rsidR="00B8535B" w:rsidRDefault="00B8535B" w:rsidP="008E2FE9">
      <w:pPr>
        <w:autoSpaceDE w:val="0"/>
        <w:autoSpaceDN w:val="0"/>
        <w:adjustRightInd w:val="0"/>
        <w:jc w:val="both"/>
        <w:rPr>
          <w:rFonts w:cstheme="minorHAnsi"/>
          <w:sz w:val="24"/>
          <w:szCs w:val="24"/>
        </w:rPr>
      </w:pPr>
    </w:p>
    <w:p w14:paraId="597CFFA9" w14:textId="77777777" w:rsidR="00B8535B" w:rsidRPr="00B8535B" w:rsidRDefault="00B8535B" w:rsidP="00B8535B">
      <w:pPr>
        <w:autoSpaceDE w:val="0"/>
        <w:autoSpaceDN w:val="0"/>
        <w:adjustRightInd w:val="0"/>
        <w:jc w:val="both"/>
        <w:rPr>
          <w:rFonts w:cstheme="minorHAnsi"/>
          <w:sz w:val="29"/>
          <w:szCs w:val="29"/>
        </w:rPr>
      </w:pPr>
      <w:r w:rsidRPr="00B8535B">
        <w:rPr>
          <w:rFonts w:cstheme="minorHAnsi"/>
          <w:sz w:val="29"/>
          <w:szCs w:val="29"/>
        </w:rPr>
        <w:t>Code Availability</w:t>
      </w:r>
    </w:p>
    <w:p w14:paraId="40ECB72C" w14:textId="066EF13C" w:rsidR="00B8535B" w:rsidRDefault="00B8535B" w:rsidP="00B8535B">
      <w:pPr>
        <w:autoSpaceDE w:val="0"/>
        <w:autoSpaceDN w:val="0"/>
        <w:adjustRightInd w:val="0"/>
        <w:jc w:val="both"/>
        <w:rPr>
          <w:rFonts w:cstheme="minorHAnsi"/>
          <w:sz w:val="24"/>
          <w:szCs w:val="24"/>
        </w:rPr>
      </w:pPr>
      <w:r w:rsidRPr="00B8535B">
        <w:rPr>
          <w:rFonts w:cstheme="minorHAnsi"/>
          <w:sz w:val="24"/>
          <w:szCs w:val="24"/>
        </w:rPr>
        <w:t>The codes used during the current study are available from the corresponding author on reasonable</w:t>
      </w:r>
      <w:r>
        <w:rPr>
          <w:rFonts w:cstheme="minorHAnsi"/>
          <w:sz w:val="24"/>
          <w:szCs w:val="24"/>
        </w:rPr>
        <w:t xml:space="preserve"> </w:t>
      </w:r>
      <w:r w:rsidRPr="00B8535B">
        <w:rPr>
          <w:rFonts w:cstheme="minorHAnsi"/>
          <w:sz w:val="24"/>
          <w:szCs w:val="24"/>
        </w:rPr>
        <w:t>request.</w:t>
      </w:r>
    </w:p>
    <w:p w14:paraId="15EF3239" w14:textId="77777777" w:rsidR="00D801D9" w:rsidRDefault="00D801D9" w:rsidP="00B8535B">
      <w:pPr>
        <w:autoSpaceDE w:val="0"/>
        <w:autoSpaceDN w:val="0"/>
        <w:adjustRightInd w:val="0"/>
        <w:jc w:val="both"/>
        <w:rPr>
          <w:rFonts w:cstheme="minorHAnsi"/>
          <w:sz w:val="24"/>
          <w:szCs w:val="24"/>
        </w:rPr>
      </w:pPr>
    </w:p>
    <w:p w14:paraId="65576831" w14:textId="77777777" w:rsidR="005F40D9" w:rsidRPr="00E53408" w:rsidRDefault="005F40D9" w:rsidP="005F40D9">
      <w:pPr>
        <w:autoSpaceDE w:val="0"/>
        <w:autoSpaceDN w:val="0"/>
        <w:adjustRightInd w:val="0"/>
        <w:jc w:val="both"/>
        <w:rPr>
          <w:rFonts w:cstheme="minorHAnsi"/>
          <w:sz w:val="29"/>
          <w:szCs w:val="29"/>
        </w:rPr>
      </w:pPr>
      <w:r w:rsidRPr="00E53408">
        <w:rPr>
          <w:rFonts w:cstheme="minorHAnsi"/>
          <w:sz w:val="29"/>
          <w:szCs w:val="29"/>
        </w:rPr>
        <w:t>Competing interests</w:t>
      </w:r>
    </w:p>
    <w:p w14:paraId="1B013E8D" w14:textId="77777777" w:rsidR="005F40D9" w:rsidRDefault="005F40D9" w:rsidP="005F40D9">
      <w:pPr>
        <w:autoSpaceDE w:val="0"/>
        <w:autoSpaceDN w:val="0"/>
        <w:adjustRightInd w:val="0"/>
        <w:jc w:val="both"/>
        <w:rPr>
          <w:rFonts w:cstheme="minorHAnsi"/>
          <w:sz w:val="24"/>
          <w:szCs w:val="24"/>
        </w:rPr>
      </w:pPr>
      <w:r w:rsidRPr="005F40D9">
        <w:rPr>
          <w:rFonts w:cstheme="minorHAnsi"/>
          <w:sz w:val="24"/>
          <w:szCs w:val="24"/>
        </w:rPr>
        <w:t>The authors declare no competing interests.</w:t>
      </w:r>
    </w:p>
    <w:p w14:paraId="5F135AE4" w14:textId="77777777" w:rsidR="005F40D9" w:rsidRDefault="005F40D9" w:rsidP="005F40D9">
      <w:pPr>
        <w:autoSpaceDE w:val="0"/>
        <w:autoSpaceDN w:val="0"/>
        <w:adjustRightInd w:val="0"/>
        <w:jc w:val="both"/>
        <w:rPr>
          <w:rFonts w:cstheme="minorHAnsi"/>
          <w:sz w:val="24"/>
          <w:szCs w:val="24"/>
        </w:rPr>
      </w:pPr>
    </w:p>
    <w:p w14:paraId="402FCB28" w14:textId="19C96AD0" w:rsidR="00920204" w:rsidRPr="00E53408" w:rsidRDefault="00920204" w:rsidP="005F40D9">
      <w:pPr>
        <w:autoSpaceDE w:val="0"/>
        <w:autoSpaceDN w:val="0"/>
        <w:adjustRightInd w:val="0"/>
        <w:jc w:val="both"/>
        <w:rPr>
          <w:rFonts w:cstheme="minorHAnsi"/>
          <w:sz w:val="29"/>
          <w:szCs w:val="29"/>
        </w:rPr>
      </w:pPr>
      <w:r w:rsidRPr="00E53408">
        <w:rPr>
          <w:rFonts w:cstheme="minorHAnsi"/>
          <w:sz w:val="29"/>
          <w:szCs w:val="29"/>
        </w:rPr>
        <w:t>Acknowledgements</w:t>
      </w:r>
    </w:p>
    <w:p w14:paraId="049197F9" w14:textId="77777777" w:rsidR="00920204" w:rsidRPr="00925350" w:rsidRDefault="00920204" w:rsidP="00920204">
      <w:pPr>
        <w:autoSpaceDE w:val="0"/>
        <w:autoSpaceDN w:val="0"/>
        <w:adjustRightInd w:val="0"/>
        <w:jc w:val="both"/>
        <w:rPr>
          <w:rFonts w:cstheme="minorHAnsi"/>
          <w:sz w:val="24"/>
          <w:szCs w:val="24"/>
        </w:rPr>
      </w:pPr>
      <w:r w:rsidRPr="00C77C15">
        <w:rPr>
          <w:rFonts w:cstheme="minorHAnsi"/>
          <w:sz w:val="24"/>
          <w:szCs w:val="24"/>
        </w:rPr>
        <w:t xml:space="preserve">M.P.-C. </w:t>
      </w:r>
      <w:r w:rsidRPr="0076277A">
        <w:rPr>
          <w:rFonts w:cstheme="minorHAnsi"/>
          <w:sz w:val="24"/>
          <w:szCs w:val="24"/>
        </w:rPr>
        <w:t>received funding from the European Union’s Horizon 2020 research and</w:t>
      </w:r>
      <w:r>
        <w:rPr>
          <w:rFonts w:cstheme="minorHAnsi"/>
          <w:sz w:val="24"/>
          <w:szCs w:val="24"/>
        </w:rPr>
        <w:t xml:space="preserve"> </w:t>
      </w:r>
      <w:r w:rsidRPr="0076277A">
        <w:rPr>
          <w:rFonts w:cstheme="minorHAnsi"/>
          <w:sz w:val="24"/>
          <w:szCs w:val="24"/>
        </w:rPr>
        <w:t xml:space="preserve">innovation </w:t>
      </w:r>
      <w:proofErr w:type="spellStart"/>
      <w:r w:rsidRPr="0076277A">
        <w:rPr>
          <w:rFonts w:cstheme="minorHAnsi"/>
          <w:sz w:val="24"/>
          <w:szCs w:val="24"/>
        </w:rPr>
        <w:t>programme</w:t>
      </w:r>
      <w:proofErr w:type="spellEnd"/>
      <w:r w:rsidRPr="0076277A">
        <w:rPr>
          <w:rFonts w:cstheme="minorHAnsi"/>
          <w:sz w:val="24"/>
          <w:szCs w:val="24"/>
        </w:rPr>
        <w:t xml:space="preserve"> under grant agreement no. 821124 (</w:t>
      </w:r>
      <w:r>
        <w:rPr>
          <w:rFonts w:cstheme="minorHAnsi"/>
          <w:sz w:val="24"/>
          <w:szCs w:val="24"/>
        </w:rPr>
        <w:t>NAVIGATE</w:t>
      </w:r>
      <w:r w:rsidRPr="0076277A">
        <w:rPr>
          <w:rFonts w:cstheme="minorHAnsi"/>
          <w:sz w:val="24"/>
          <w:szCs w:val="24"/>
        </w:rPr>
        <w:t>).</w:t>
      </w:r>
      <w:r>
        <w:rPr>
          <w:rFonts w:cstheme="minorHAnsi"/>
          <w:sz w:val="24"/>
          <w:szCs w:val="24"/>
        </w:rPr>
        <w:t xml:space="preserve"> </w:t>
      </w:r>
      <w:r w:rsidRPr="004B07FC">
        <w:rPr>
          <w:rFonts w:cstheme="minorHAnsi"/>
          <w:sz w:val="24"/>
          <w:szCs w:val="24"/>
        </w:rPr>
        <w:t>This work was partially funded by the</w:t>
      </w:r>
      <w:r>
        <w:rPr>
          <w:rFonts w:cstheme="minorHAnsi"/>
          <w:sz w:val="24"/>
          <w:szCs w:val="24"/>
        </w:rPr>
        <w:t xml:space="preserve"> </w:t>
      </w:r>
      <w:r w:rsidRPr="004B07FC">
        <w:rPr>
          <w:rFonts w:cstheme="minorHAnsi"/>
          <w:sz w:val="24"/>
          <w:szCs w:val="24"/>
        </w:rPr>
        <w:t>contributions of the National Member Organizations of IIASA.</w:t>
      </w:r>
    </w:p>
    <w:p w14:paraId="607FE826" w14:textId="77777777" w:rsidR="00920204" w:rsidRDefault="00920204" w:rsidP="00920204">
      <w:pPr>
        <w:autoSpaceDE w:val="0"/>
        <w:autoSpaceDN w:val="0"/>
        <w:adjustRightInd w:val="0"/>
        <w:jc w:val="both"/>
        <w:rPr>
          <w:rFonts w:cstheme="minorHAnsi"/>
          <w:sz w:val="24"/>
          <w:szCs w:val="24"/>
        </w:rPr>
      </w:pPr>
    </w:p>
    <w:p w14:paraId="25F9D897" w14:textId="77777777" w:rsidR="00920204" w:rsidRPr="00E53408" w:rsidRDefault="00920204" w:rsidP="00920204">
      <w:pPr>
        <w:autoSpaceDE w:val="0"/>
        <w:autoSpaceDN w:val="0"/>
        <w:adjustRightInd w:val="0"/>
        <w:jc w:val="both"/>
        <w:rPr>
          <w:rFonts w:cstheme="minorHAnsi"/>
          <w:sz w:val="29"/>
          <w:szCs w:val="29"/>
        </w:rPr>
      </w:pPr>
      <w:r w:rsidRPr="00E53408">
        <w:rPr>
          <w:rFonts w:cstheme="minorHAnsi"/>
          <w:sz w:val="29"/>
          <w:szCs w:val="29"/>
        </w:rPr>
        <w:t>Author contributions</w:t>
      </w:r>
    </w:p>
    <w:p w14:paraId="7CF6EA13" w14:textId="77777777" w:rsidR="00920204" w:rsidRPr="0065237F" w:rsidRDefault="00920204" w:rsidP="00920204">
      <w:pPr>
        <w:autoSpaceDE w:val="0"/>
        <w:autoSpaceDN w:val="0"/>
        <w:adjustRightInd w:val="0"/>
        <w:jc w:val="both"/>
        <w:rPr>
          <w:rFonts w:cstheme="minorHAnsi"/>
          <w:sz w:val="24"/>
          <w:szCs w:val="24"/>
        </w:rPr>
      </w:pPr>
      <w:r w:rsidRPr="00C77C15">
        <w:rPr>
          <w:rFonts w:cstheme="minorHAnsi"/>
          <w:sz w:val="24"/>
          <w:szCs w:val="24"/>
        </w:rPr>
        <w:t>S.P. and M.P.-C. conceived the initial framework. S.P. and M.P.-C. designed the</w:t>
      </w:r>
      <w:r>
        <w:rPr>
          <w:rFonts w:cstheme="minorHAnsi"/>
          <w:sz w:val="24"/>
          <w:szCs w:val="24"/>
        </w:rPr>
        <w:t xml:space="preserve"> </w:t>
      </w:r>
      <w:r w:rsidRPr="00C77C15">
        <w:rPr>
          <w:rFonts w:cstheme="minorHAnsi"/>
          <w:sz w:val="24"/>
          <w:szCs w:val="24"/>
        </w:rPr>
        <w:t>research. M.P.-C., A.</w:t>
      </w:r>
      <w:r>
        <w:rPr>
          <w:rFonts w:cstheme="minorHAnsi"/>
          <w:sz w:val="24"/>
          <w:szCs w:val="24"/>
        </w:rPr>
        <w:t>A</w:t>
      </w:r>
      <w:r w:rsidRPr="00C77C15">
        <w:rPr>
          <w:rFonts w:cstheme="minorHAnsi"/>
          <w:sz w:val="24"/>
          <w:szCs w:val="24"/>
        </w:rPr>
        <w:t xml:space="preserve">. and </w:t>
      </w:r>
      <w:r>
        <w:rPr>
          <w:rFonts w:cstheme="minorHAnsi"/>
          <w:sz w:val="24"/>
          <w:szCs w:val="24"/>
        </w:rPr>
        <w:t>M.J.G</w:t>
      </w:r>
      <w:r w:rsidRPr="00C77C15">
        <w:rPr>
          <w:rFonts w:cstheme="minorHAnsi"/>
          <w:sz w:val="24"/>
          <w:szCs w:val="24"/>
        </w:rPr>
        <w:t xml:space="preserve">. prepared the data. M.P.-C. </w:t>
      </w:r>
      <w:r>
        <w:rPr>
          <w:rFonts w:cstheme="minorHAnsi"/>
          <w:sz w:val="24"/>
          <w:szCs w:val="24"/>
        </w:rPr>
        <w:t xml:space="preserve">and A.A. </w:t>
      </w:r>
      <w:r w:rsidRPr="00C77C15">
        <w:rPr>
          <w:rFonts w:cstheme="minorHAnsi"/>
          <w:sz w:val="24"/>
          <w:szCs w:val="24"/>
        </w:rPr>
        <w:t>performed the modelling,</w:t>
      </w:r>
      <w:r>
        <w:rPr>
          <w:rFonts w:cstheme="minorHAnsi"/>
          <w:sz w:val="24"/>
          <w:szCs w:val="24"/>
        </w:rPr>
        <w:t xml:space="preserve"> </w:t>
      </w:r>
      <w:r w:rsidRPr="00C77C15">
        <w:rPr>
          <w:rFonts w:cstheme="minorHAnsi"/>
          <w:sz w:val="24"/>
          <w:szCs w:val="24"/>
        </w:rPr>
        <w:t>wrote the codes</w:t>
      </w:r>
      <w:r>
        <w:rPr>
          <w:rFonts w:cstheme="minorHAnsi"/>
          <w:sz w:val="24"/>
          <w:szCs w:val="24"/>
        </w:rPr>
        <w:t>,</w:t>
      </w:r>
      <w:r w:rsidRPr="00C77C15">
        <w:rPr>
          <w:rFonts w:cstheme="minorHAnsi"/>
          <w:sz w:val="24"/>
          <w:szCs w:val="24"/>
        </w:rPr>
        <w:t xml:space="preserve"> and carried out the analysis. S.P. </w:t>
      </w:r>
      <w:r>
        <w:rPr>
          <w:rFonts w:cstheme="minorHAnsi"/>
          <w:sz w:val="24"/>
          <w:szCs w:val="24"/>
        </w:rPr>
        <w:t xml:space="preserve">and </w:t>
      </w:r>
      <w:r w:rsidRPr="00C77C15">
        <w:rPr>
          <w:rFonts w:cstheme="minorHAnsi"/>
          <w:sz w:val="24"/>
          <w:szCs w:val="24"/>
        </w:rPr>
        <w:t>M.P.-C. led the writing of the paper</w:t>
      </w:r>
      <w:r>
        <w:rPr>
          <w:rFonts w:cstheme="minorHAnsi"/>
          <w:sz w:val="24"/>
          <w:szCs w:val="24"/>
        </w:rPr>
        <w:t xml:space="preserve"> </w:t>
      </w:r>
      <w:r w:rsidRPr="00C77C15">
        <w:rPr>
          <w:rFonts w:cstheme="minorHAnsi"/>
          <w:sz w:val="24"/>
          <w:szCs w:val="24"/>
        </w:rPr>
        <w:t>with all other authors contributing</w:t>
      </w:r>
      <w:r>
        <w:rPr>
          <w:rFonts w:cstheme="minorHAnsi"/>
          <w:sz w:val="24"/>
          <w:szCs w:val="24"/>
        </w:rPr>
        <w:t xml:space="preserve"> to writing, revisions and editing</w:t>
      </w:r>
      <w:r w:rsidRPr="00C77C15">
        <w:rPr>
          <w:rFonts w:cstheme="minorHAnsi"/>
          <w:sz w:val="24"/>
          <w:szCs w:val="24"/>
        </w:rPr>
        <w:t>.</w:t>
      </w:r>
    </w:p>
    <w:p w14:paraId="7EF60BCE" w14:textId="77777777" w:rsidR="00920204" w:rsidRDefault="00920204" w:rsidP="00B8535B">
      <w:pPr>
        <w:autoSpaceDE w:val="0"/>
        <w:autoSpaceDN w:val="0"/>
        <w:adjustRightInd w:val="0"/>
        <w:jc w:val="both"/>
        <w:rPr>
          <w:rFonts w:cstheme="minorHAnsi"/>
          <w:sz w:val="24"/>
          <w:szCs w:val="24"/>
        </w:rPr>
      </w:pPr>
    </w:p>
    <w:p w14:paraId="41CC5FCB" w14:textId="5A8875FB" w:rsidR="002B10D9" w:rsidRDefault="008F4280" w:rsidP="00140089">
      <w:pPr>
        <w:rPr>
          <w:rFonts w:cstheme="minorHAnsi"/>
          <w:sz w:val="29"/>
          <w:szCs w:val="29"/>
        </w:rPr>
      </w:pPr>
      <w:r>
        <w:rPr>
          <w:rFonts w:cstheme="minorHAnsi"/>
          <w:sz w:val="29"/>
          <w:szCs w:val="29"/>
        </w:rPr>
        <w:br w:type="page"/>
      </w:r>
      <w:r w:rsidR="00925350" w:rsidRPr="00925350">
        <w:rPr>
          <w:rFonts w:cstheme="minorHAnsi"/>
          <w:sz w:val="29"/>
          <w:szCs w:val="29"/>
        </w:rPr>
        <w:lastRenderedPageBreak/>
        <w:t>References</w:t>
      </w:r>
    </w:p>
    <w:p w14:paraId="25BBA5BB" w14:textId="41C608EA" w:rsidR="00F43037" w:rsidRPr="00E53408" w:rsidRDefault="00E375DA" w:rsidP="00F43037">
      <w:pPr>
        <w:widowControl w:val="0"/>
        <w:autoSpaceDE w:val="0"/>
        <w:autoSpaceDN w:val="0"/>
        <w:adjustRightInd w:val="0"/>
        <w:ind w:left="640" w:hanging="640"/>
        <w:rPr>
          <w:rFonts w:cstheme="minorHAnsi"/>
          <w:noProof/>
          <w:sz w:val="24"/>
          <w:szCs w:val="24"/>
        </w:rPr>
      </w:pPr>
      <w:r w:rsidRPr="00E53408">
        <w:rPr>
          <w:rFonts w:cstheme="minorHAnsi"/>
          <w:sz w:val="24"/>
          <w:szCs w:val="24"/>
        </w:rPr>
        <w:fldChar w:fldCharType="begin" w:fldLock="1"/>
      </w:r>
      <w:r w:rsidRPr="00E53408">
        <w:rPr>
          <w:rFonts w:cstheme="minorHAnsi"/>
          <w:sz w:val="24"/>
          <w:szCs w:val="24"/>
        </w:rPr>
        <w:instrText xml:space="preserve">ADDIN Mendeley Bibliography CSL_BIBLIOGRAPHY </w:instrText>
      </w:r>
      <w:r w:rsidRPr="00E53408">
        <w:rPr>
          <w:rFonts w:cstheme="minorHAnsi"/>
          <w:sz w:val="24"/>
          <w:szCs w:val="24"/>
        </w:rPr>
        <w:fldChar w:fldCharType="separate"/>
      </w:r>
      <w:r w:rsidR="00F43037" w:rsidRPr="00E53408">
        <w:rPr>
          <w:rFonts w:cstheme="minorHAnsi"/>
          <w:noProof/>
          <w:sz w:val="24"/>
          <w:szCs w:val="24"/>
        </w:rPr>
        <w:t>1.</w:t>
      </w:r>
      <w:r w:rsidR="00F43037" w:rsidRPr="00E53408">
        <w:rPr>
          <w:rFonts w:cstheme="minorHAnsi"/>
          <w:noProof/>
          <w:sz w:val="24"/>
          <w:szCs w:val="24"/>
        </w:rPr>
        <w:tab/>
        <w:t xml:space="preserve">Rosenthal, J., Quinn, A., Grieshop, A. P., Pillarisetti, A. &amp; Glass, R. I. Clean cooking and the SDGs: Integrated analytical approaches to guide energy interventions for health and environment goals. </w:t>
      </w:r>
      <w:r w:rsidR="00F43037" w:rsidRPr="00E53408">
        <w:rPr>
          <w:rFonts w:cstheme="minorHAnsi"/>
          <w:i/>
          <w:iCs/>
          <w:noProof/>
          <w:sz w:val="24"/>
          <w:szCs w:val="24"/>
        </w:rPr>
        <w:t>Energy Sustain. Dev.</w:t>
      </w:r>
      <w:r w:rsidR="00F43037" w:rsidRPr="00E53408">
        <w:rPr>
          <w:rFonts w:cstheme="minorHAnsi"/>
          <w:noProof/>
          <w:sz w:val="24"/>
          <w:szCs w:val="24"/>
        </w:rPr>
        <w:t xml:space="preserve"> </w:t>
      </w:r>
      <w:r w:rsidR="00F43037" w:rsidRPr="00E53408">
        <w:rPr>
          <w:rFonts w:cstheme="minorHAnsi"/>
          <w:b/>
          <w:bCs/>
          <w:noProof/>
          <w:sz w:val="24"/>
          <w:szCs w:val="24"/>
        </w:rPr>
        <w:t>42</w:t>
      </w:r>
      <w:r w:rsidR="00F43037" w:rsidRPr="00E53408">
        <w:rPr>
          <w:rFonts w:cstheme="minorHAnsi"/>
          <w:noProof/>
          <w:sz w:val="24"/>
          <w:szCs w:val="24"/>
        </w:rPr>
        <w:t>, 152–159 (2018).</w:t>
      </w:r>
    </w:p>
    <w:p w14:paraId="2AD1C78F"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2.</w:t>
      </w:r>
      <w:r w:rsidRPr="00E53408">
        <w:rPr>
          <w:rFonts w:cstheme="minorHAnsi"/>
          <w:noProof/>
          <w:sz w:val="24"/>
          <w:szCs w:val="24"/>
        </w:rPr>
        <w:tab/>
        <w:t xml:space="preserve">Maji, P. &amp; Kandlikar, M. Quantifying the air quality, climate and equity implications of India’s household energy transition. </w:t>
      </w:r>
      <w:r w:rsidRPr="00E53408">
        <w:rPr>
          <w:rFonts w:cstheme="minorHAnsi"/>
          <w:i/>
          <w:iCs/>
          <w:noProof/>
          <w:sz w:val="24"/>
          <w:szCs w:val="24"/>
        </w:rPr>
        <w:t>Energy Sustain. Dev.</w:t>
      </w:r>
      <w:r w:rsidRPr="00E53408">
        <w:rPr>
          <w:rFonts w:cstheme="minorHAnsi"/>
          <w:noProof/>
          <w:sz w:val="24"/>
          <w:szCs w:val="24"/>
        </w:rPr>
        <w:t xml:space="preserve"> </w:t>
      </w:r>
      <w:r w:rsidRPr="00E53408">
        <w:rPr>
          <w:rFonts w:cstheme="minorHAnsi"/>
          <w:b/>
          <w:bCs/>
          <w:noProof/>
          <w:sz w:val="24"/>
          <w:szCs w:val="24"/>
        </w:rPr>
        <w:t>55</w:t>
      </w:r>
      <w:r w:rsidRPr="00E53408">
        <w:rPr>
          <w:rFonts w:cstheme="minorHAnsi"/>
          <w:noProof/>
          <w:sz w:val="24"/>
          <w:szCs w:val="24"/>
        </w:rPr>
        <w:t>, 37–47 (2020).</w:t>
      </w:r>
    </w:p>
    <w:p w14:paraId="4CE17D82"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3.</w:t>
      </w:r>
      <w:r w:rsidRPr="00E53408">
        <w:rPr>
          <w:rFonts w:cstheme="minorHAnsi"/>
          <w:noProof/>
          <w:sz w:val="24"/>
          <w:szCs w:val="24"/>
        </w:rPr>
        <w:tab/>
        <w:t xml:space="preserve">Watts, N. </w:t>
      </w:r>
      <w:r w:rsidRPr="00E53408">
        <w:rPr>
          <w:rFonts w:cstheme="minorHAnsi"/>
          <w:i/>
          <w:iCs/>
          <w:noProof/>
          <w:sz w:val="24"/>
          <w:szCs w:val="24"/>
        </w:rPr>
        <w:t>et al.</w:t>
      </w:r>
      <w:r w:rsidRPr="00E53408">
        <w:rPr>
          <w:rFonts w:cstheme="minorHAnsi"/>
          <w:noProof/>
          <w:sz w:val="24"/>
          <w:szCs w:val="24"/>
        </w:rPr>
        <w:t xml:space="preserve"> The 2020 report of The Lancet Countdown on health and climate change: responding to converging crises | Elsevier Enhanced Reader. </w:t>
      </w:r>
      <w:r w:rsidRPr="00E53408">
        <w:rPr>
          <w:rFonts w:cstheme="minorHAnsi"/>
          <w:i/>
          <w:iCs/>
          <w:noProof/>
          <w:sz w:val="24"/>
          <w:szCs w:val="24"/>
        </w:rPr>
        <w:t>Lancet</w:t>
      </w:r>
      <w:r w:rsidRPr="00E53408">
        <w:rPr>
          <w:rFonts w:cstheme="minorHAnsi"/>
          <w:noProof/>
          <w:sz w:val="24"/>
          <w:szCs w:val="24"/>
        </w:rPr>
        <w:t xml:space="preserve"> </w:t>
      </w:r>
      <w:r w:rsidRPr="00E53408">
        <w:rPr>
          <w:rFonts w:cstheme="minorHAnsi"/>
          <w:b/>
          <w:bCs/>
          <w:noProof/>
          <w:sz w:val="24"/>
          <w:szCs w:val="24"/>
        </w:rPr>
        <w:t>397</w:t>
      </w:r>
      <w:r w:rsidRPr="00E53408">
        <w:rPr>
          <w:rFonts w:cstheme="minorHAnsi"/>
          <w:noProof/>
          <w:sz w:val="24"/>
          <w:szCs w:val="24"/>
        </w:rPr>
        <w:t>, 129–170 (2020).</w:t>
      </w:r>
    </w:p>
    <w:p w14:paraId="0198C5CA"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4.</w:t>
      </w:r>
      <w:r w:rsidRPr="00E53408">
        <w:rPr>
          <w:rFonts w:cstheme="minorHAnsi"/>
          <w:noProof/>
          <w:sz w:val="24"/>
          <w:szCs w:val="24"/>
        </w:rPr>
        <w:tab/>
        <w:t xml:space="preserve">IEA, IRENA, UNSD, WB &amp; WHO. </w:t>
      </w:r>
      <w:r w:rsidRPr="00E53408">
        <w:rPr>
          <w:rFonts w:cstheme="minorHAnsi"/>
          <w:i/>
          <w:iCs/>
          <w:noProof/>
          <w:sz w:val="24"/>
          <w:szCs w:val="24"/>
        </w:rPr>
        <w:t>Tracking SDG 7 : The Energy Progress Report 2020</w:t>
      </w:r>
      <w:r w:rsidRPr="00E53408">
        <w:rPr>
          <w:rFonts w:cstheme="minorHAnsi"/>
          <w:noProof/>
          <w:sz w:val="24"/>
          <w:szCs w:val="24"/>
        </w:rPr>
        <w:t>. https://openknowledge.worldbank.org/handle/10986/33822 (2020).</w:t>
      </w:r>
    </w:p>
    <w:p w14:paraId="5CE87687"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5.</w:t>
      </w:r>
      <w:r w:rsidRPr="00E53408">
        <w:rPr>
          <w:rFonts w:cstheme="minorHAnsi"/>
          <w:noProof/>
          <w:sz w:val="24"/>
          <w:szCs w:val="24"/>
        </w:rPr>
        <w:tab/>
        <w:t xml:space="preserve">Energy Sector Management Assistance Program. </w:t>
      </w:r>
      <w:r w:rsidRPr="00E53408">
        <w:rPr>
          <w:rFonts w:cstheme="minorHAnsi"/>
          <w:i/>
          <w:iCs/>
          <w:noProof/>
          <w:sz w:val="24"/>
          <w:szCs w:val="24"/>
        </w:rPr>
        <w:t>The State of Access to Modern Energy Cooking Services</w:t>
      </w:r>
      <w:r w:rsidRPr="00E53408">
        <w:rPr>
          <w:rFonts w:cstheme="minorHAnsi"/>
          <w:noProof/>
          <w:sz w:val="24"/>
          <w:szCs w:val="24"/>
        </w:rPr>
        <w:t>. http://documents.worldbank.org/curated/en/937141600195758792/The-State-of-Access-to-Modern-Energy-Cooking-Services (2020).</w:t>
      </w:r>
    </w:p>
    <w:p w14:paraId="5D17EFF6"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6.</w:t>
      </w:r>
      <w:r w:rsidRPr="00E53408">
        <w:rPr>
          <w:rFonts w:cstheme="minorHAnsi"/>
          <w:noProof/>
          <w:sz w:val="24"/>
          <w:szCs w:val="24"/>
        </w:rPr>
        <w:tab/>
        <w:t xml:space="preserve">Fattorini, D. &amp; Regoli, F. Role of the chronic air pollution levels in the Covid-19 outbreak risk in Italy. </w:t>
      </w:r>
      <w:r w:rsidRPr="00E53408">
        <w:rPr>
          <w:rFonts w:cstheme="minorHAnsi"/>
          <w:i/>
          <w:iCs/>
          <w:noProof/>
          <w:sz w:val="24"/>
          <w:szCs w:val="24"/>
        </w:rPr>
        <w:t>Environ. Pollut.</w:t>
      </w:r>
      <w:r w:rsidRPr="00E53408">
        <w:rPr>
          <w:rFonts w:cstheme="minorHAnsi"/>
          <w:noProof/>
          <w:sz w:val="24"/>
          <w:szCs w:val="24"/>
        </w:rPr>
        <w:t xml:space="preserve"> </w:t>
      </w:r>
      <w:r w:rsidRPr="00E53408">
        <w:rPr>
          <w:rFonts w:cstheme="minorHAnsi"/>
          <w:b/>
          <w:bCs/>
          <w:noProof/>
          <w:sz w:val="24"/>
          <w:szCs w:val="24"/>
        </w:rPr>
        <w:t>264</w:t>
      </w:r>
      <w:r w:rsidRPr="00E53408">
        <w:rPr>
          <w:rFonts w:cstheme="minorHAnsi"/>
          <w:noProof/>
          <w:sz w:val="24"/>
          <w:szCs w:val="24"/>
        </w:rPr>
        <w:t>, 114732 (2020).</w:t>
      </w:r>
    </w:p>
    <w:p w14:paraId="7A5D8A47"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7.</w:t>
      </w:r>
      <w:r w:rsidRPr="00E53408">
        <w:rPr>
          <w:rFonts w:cstheme="minorHAnsi"/>
          <w:noProof/>
          <w:sz w:val="24"/>
          <w:szCs w:val="24"/>
        </w:rPr>
        <w:tab/>
        <w:t xml:space="preserve">Pozzer, A. </w:t>
      </w:r>
      <w:r w:rsidRPr="00E53408">
        <w:rPr>
          <w:rFonts w:cstheme="minorHAnsi"/>
          <w:i/>
          <w:iCs/>
          <w:noProof/>
          <w:sz w:val="24"/>
          <w:szCs w:val="24"/>
        </w:rPr>
        <w:t>et al.</w:t>
      </w:r>
      <w:r w:rsidRPr="00E53408">
        <w:rPr>
          <w:rFonts w:cstheme="minorHAnsi"/>
          <w:noProof/>
          <w:sz w:val="24"/>
          <w:szCs w:val="24"/>
        </w:rPr>
        <w:t xml:space="preserve"> Regional and global contributions of air pollution to risk of death from COVID-19. </w:t>
      </w:r>
      <w:r w:rsidRPr="00E53408">
        <w:rPr>
          <w:rFonts w:cstheme="minorHAnsi"/>
          <w:i/>
          <w:iCs/>
          <w:noProof/>
          <w:sz w:val="24"/>
          <w:szCs w:val="24"/>
        </w:rPr>
        <w:t>Cardiovasc. Res.</w:t>
      </w:r>
      <w:r w:rsidRPr="00E53408">
        <w:rPr>
          <w:rFonts w:cstheme="minorHAnsi"/>
          <w:noProof/>
          <w:sz w:val="24"/>
          <w:szCs w:val="24"/>
        </w:rPr>
        <w:t xml:space="preserve"> </w:t>
      </w:r>
      <w:r w:rsidRPr="00E53408">
        <w:rPr>
          <w:rFonts w:cstheme="minorHAnsi"/>
          <w:b/>
          <w:bCs/>
          <w:noProof/>
          <w:sz w:val="24"/>
          <w:szCs w:val="24"/>
        </w:rPr>
        <w:t>116</w:t>
      </w:r>
      <w:r w:rsidRPr="00E53408">
        <w:rPr>
          <w:rFonts w:cstheme="minorHAnsi"/>
          <w:noProof/>
          <w:sz w:val="24"/>
          <w:szCs w:val="24"/>
        </w:rPr>
        <w:t>, 2247–2253 (2020).</w:t>
      </w:r>
    </w:p>
    <w:p w14:paraId="718EC4CB"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8.</w:t>
      </w:r>
      <w:r w:rsidRPr="00E53408">
        <w:rPr>
          <w:rFonts w:cstheme="minorHAnsi"/>
          <w:noProof/>
          <w:sz w:val="24"/>
          <w:szCs w:val="24"/>
        </w:rPr>
        <w:tab/>
        <w:t xml:space="preserve">IEA. </w:t>
      </w:r>
      <w:r w:rsidRPr="00E53408">
        <w:rPr>
          <w:rFonts w:cstheme="minorHAnsi"/>
          <w:i/>
          <w:iCs/>
          <w:noProof/>
          <w:sz w:val="24"/>
          <w:szCs w:val="24"/>
        </w:rPr>
        <w:t>The Covid-19 crisis is reversing progress on energy access in Africa</w:t>
      </w:r>
      <w:r w:rsidRPr="00E53408">
        <w:rPr>
          <w:rFonts w:cstheme="minorHAnsi"/>
          <w:noProof/>
          <w:sz w:val="24"/>
          <w:szCs w:val="24"/>
        </w:rPr>
        <w:t>. https://www.iea.org/articles/the-covid-19-crisis-is-reversing-progress-on-energy-access-in-africa (2020).</w:t>
      </w:r>
    </w:p>
    <w:p w14:paraId="0D209B75"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9.</w:t>
      </w:r>
      <w:r w:rsidRPr="00E53408">
        <w:rPr>
          <w:rFonts w:cstheme="minorHAnsi"/>
          <w:noProof/>
          <w:sz w:val="24"/>
          <w:szCs w:val="24"/>
        </w:rPr>
        <w:tab/>
        <w:t xml:space="preserve">Boza-Kiss, B., Pachauri, S. &amp; Zimm, C. Deprivations and Inequities in Cities Viewed Through a Pandemic Lens. </w:t>
      </w:r>
      <w:r w:rsidRPr="00E53408">
        <w:rPr>
          <w:rFonts w:cstheme="minorHAnsi"/>
          <w:i/>
          <w:iCs/>
          <w:noProof/>
          <w:sz w:val="24"/>
          <w:szCs w:val="24"/>
        </w:rPr>
        <w:t>Front. Sustain. Cities</w:t>
      </w:r>
      <w:r w:rsidRPr="00E53408">
        <w:rPr>
          <w:rFonts w:cstheme="minorHAnsi"/>
          <w:noProof/>
          <w:sz w:val="24"/>
          <w:szCs w:val="24"/>
        </w:rPr>
        <w:t xml:space="preserve"> </w:t>
      </w:r>
      <w:r w:rsidRPr="00E53408">
        <w:rPr>
          <w:rFonts w:cstheme="minorHAnsi"/>
          <w:b/>
          <w:bCs/>
          <w:noProof/>
          <w:sz w:val="24"/>
          <w:szCs w:val="24"/>
        </w:rPr>
        <w:t>3</w:t>
      </w:r>
      <w:r w:rsidRPr="00E53408">
        <w:rPr>
          <w:rFonts w:cstheme="minorHAnsi"/>
          <w:noProof/>
          <w:sz w:val="24"/>
          <w:szCs w:val="24"/>
        </w:rPr>
        <w:t>, 15 (2021).</w:t>
      </w:r>
    </w:p>
    <w:p w14:paraId="36F886C9"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10.</w:t>
      </w:r>
      <w:r w:rsidRPr="00E53408">
        <w:rPr>
          <w:rFonts w:cstheme="minorHAnsi"/>
          <w:noProof/>
          <w:sz w:val="24"/>
          <w:szCs w:val="24"/>
        </w:rPr>
        <w:tab/>
        <w:t xml:space="preserve">Shupler, M. </w:t>
      </w:r>
      <w:r w:rsidRPr="00E53408">
        <w:rPr>
          <w:rFonts w:cstheme="minorHAnsi"/>
          <w:i/>
          <w:iCs/>
          <w:noProof/>
          <w:sz w:val="24"/>
          <w:szCs w:val="24"/>
        </w:rPr>
        <w:t>et al.</w:t>
      </w:r>
      <w:r w:rsidRPr="00E53408">
        <w:rPr>
          <w:rFonts w:cstheme="minorHAnsi"/>
          <w:noProof/>
          <w:sz w:val="24"/>
          <w:szCs w:val="24"/>
        </w:rPr>
        <w:t xml:space="preserve"> COVID-19 impacts on household energy &amp; food security in a Kenyan informal settlement: The need for integrated approaches to the SDGs. </w:t>
      </w:r>
      <w:r w:rsidRPr="00E53408">
        <w:rPr>
          <w:rFonts w:cstheme="minorHAnsi"/>
          <w:i/>
          <w:iCs/>
          <w:noProof/>
          <w:sz w:val="24"/>
          <w:szCs w:val="24"/>
        </w:rPr>
        <w:t>Renew. Sustain. Energy Rev.</w:t>
      </w:r>
      <w:r w:rsidRPr="00E53408">
        <w:rPr>
          <w:rFonts w:cstheme="minorHAnsi"/>
          <w:noProof/>
          <w:sz w:val="24"/>
          <w:szCs w:val="24"/>
        </w:rPr>
        <w:t xml:space="preserve"> </w:t>
      </w:r>
      <w:r w:rsidRPr="00E53408">
        <w:rPr>
          <w:rFonts w:cstheme="minorHAnsi"/>
          <w:b/>
          <w:bCs/>
          <w:noProof/>
          <w:sz w:val="24"/>
          <w:szCs w:val="24"/>
        </w:rPr>
        <w:t>144</w:t>
      </w:r>
      <w:r w:rsidRPr="00E53408">
        <w:rPr>
          <w:rFonts w:cstheme="minorHAnsi"/>
          <w:noProof/>
          <w:sz w:val="24"/>
          <w:szCs w:val="24"/>
        </w:rPr>
        <w:t>, 111018 (2021).</w:t>
      </w:r>
    </w:p>
    <w:p w14:paraId="77579818"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11.</w:t>
      </w:r>
      <w:r w:rsidRPr="00E53408">
        <w:rPr>
          <w:rFonts w:cstheme="minorHAnsi"/>
          <w:noProof/>
          <w:sz w:val="24"/>
          <w:szCs w:val="24"/>
        </w:rPr>
        <w:tab/>
        <w:t xml:space="preserve">Dagnachew, A. G. </w:t>
      </w:r>
      <w:r w:rsidRPr="00E53408">
        <w:rPr>
          <w:rFonts w:cstheme="minorHAnsi"/>
          <w:i/>
          <w:iCs/>
          <w:noProof/>
          <w:sz w:val="24"/>
          <w:szCs w:val="24"/>
        </w:rPr>
        <w:t>et al.</w:t>
      </w:r>
      <w:r w:rsidRPr="00E53408">
        <w:rPr>
          <w:rFonts w:cstheme="minorHAnsi"/>
          <w:noProof/>
          <w:sz w:val="24"/>
          <w:szCs w:val="24"/>
        </w:rPr>
        <w:t xml:space="preserve"> The role of decentralized systems in providing universal electricity access in Sub-Saharan Africa – A model-based approach. </w:t>
      </w:r>
      <w:r w:rsidRPr="00E53408">
        <w:rPr>
          <w:rFonts w:cstheme="minorHAnsi"/>
          <w:i/>
          <w:iCs/>
          <w:noProof/>
          <w:sz w:val="24"/>
          <w:szCs w:val="24"/>
        </w:rPr>
        <w:t>Energy</w:t>
      </w:r>
      <w:r w:rsidRPr="00E53408">
        <w:rPr>
          <w:rFonts w:cstheme="minorHAnsi"/>
          <w:noProof/>
          <w:sz w:val="24"/>
          <w:szCs w:val="24"/>
        </w:rPr>
        <w:t xml:space="preserve"> </w:t>
      </w:r>
      <w:r w:rsidRPr="00E53408">
        <w:rPr>
          <w:rFonts w:cstheme="minorHAnsi"/>
          <w:b/>
          <w:bCs/>
          <w:noProof/>
          <w:sz w:val="24"/>
          <w:szCs w:val="24"/>
        </w:rPr>
        <w:t>139</w:t>
      </w:r>
      <w:r w:rsidRPr="00E53408">
        <w:rPr>
          <w:rFonts w:cstheme="minorHAnsi"/>
          <w:noProof/>
          <w:sz w:val="24"/>
          <w:szCs w:val="24"/>
        </w:rPr>
        <w:t>, 184–195 (2017).</w:t>
      </w:r>
    </w:p>
    <w:p w14:paraId="7672D111"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12.</w:t>
      </w:r>
      <w:r w:rsidRPr="00E53408">
        <w:rPr>
          <w:rFonts w:cstheme="minorHAnsi"/>
          <w:noProof/>
          <w:sz w:val="24"/>
          <w:szCs w:val="24"/>
        </w:rPr>
        <w:tab/>
        <w:t xml:space="preserve">Dagnachew, A. G., Lucas, P. L., Hof, A. F. &amp; van Vuuren, D. P. Trade-offs and synergies between universal electricity access and climate change mitigation in Sub-Saharan Africa. </w:t>
      </w:r>
      <w:r w:rsidRPr="00E53408">
        <w:rPr>
          <w:rFonts w:cstheme="minorHAnsi"/>
          <w:i/>
          <w:iCs/>
          <w:noProof/>
          <w:sz w:val="24"/>
          <w:szCs w:val="24"/>
        </w:rPr>
        <w:t>Energy Policy</w:t>
      </w:r>
      <w:r w:rsidRPr="00E53408">
        <w:rPr>
          <w:rFonts w:cstheme="minorHAnsi"/>
          <w:noProof/>
          <w:sz w:val="24"/>
          <w:szCs w:val="24"/>
        </w:rPr>
        <w:t xml:space="preserve"> </w:t>
      </w:r>
      <w:r w:rsidRPr="00E53408">
        <w:rPr>
          <w:rFonts w:cstheme="minorHAnsi"/>
          <w:b/>
          <w:bCs/>
          <w:noProof/>
          <w:sz w:val="24"/>
          <w:szCs w:val="24"/>
        </w:rPr>
        <w:t>114</w:t>
      </w:r>
      <w:r w:rsidRPr="00E53408">
        <w:rPr>
          <w:rFonts w:cstheme="minorHAnsi"/>
          <w:noProof/>
          <w:sz w:val="24"/>
          <w:szCs w:val="24"/>
        </w:rPr>
        <w:t>, 355–366 (2018).</w:t>
      </w:r>
    </w:p>
    <w:p w14:paraId="2DCB7F39"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13.</w:t>
      </w:r>
      <w:r w:rsidRPr="00E53408">
        <w:rPr>
          <w:rFonts w:cstheme="minorHAnsi"/>
          <w:noProof/>
          <w:sz w:val="24"/>
          <w:szCs w:val="24"/>
        </w:rPr>
        <w:tab/>
        <w:t xml:space="preserve">Panos, E., Densing, M. &amp; Volkart, K. Access to electricity in the World Energy Council’s global energy scenarios: An outlook for developing regions until 2030. </w:t>
      </w:r>
      <w:r w:rsidRPr="00E53408">
        <w:rPr>
          <w:rFonts w:cstheme="minorHAnsi"/>
          <w:i/>
          <w:iCs/>
          <w:noProof/>
          <w:sz w:val="24"/>
          <w:szCs w:val="24"/>
        </w:rPr>
        <w:t>Energy Strateg. Rev.</w:t>
      </w:r>
      <w:r w:rsidRPr="00E53408">
        <w:rPr>
          <w:rFonts w:cstheme="minorHAnsi"/>
          <w:noProof/>
          <w:sz w:val="24"/>
          <w:szCs w:val="24"/>
        </w:rPr>
        <w:t xml:space="preserve"> </w:t>
      </w:r>
      <w:r w:rsidRPr="00E53408">
        <w:rPr>
          <w:rFonts w:cstheme="minorHAnsi"/>
          <w:b/>
          <w:bCs/>
          <w:noProof/>
          <w:sz w:val="24"/>
          <w:szCs w:val="24"/>
        </w:rPr>
        <w:t>9</w:t>
      </w:r>
      <w:r w:rsidRPr="00E53408">
        <w:rPr>
          <w:rFonts w:cstheme="minorHAnsi"/>
          <w:noProof/>
          <w:sz w:val="24"/>
          <w:szCs w:val="24"/>
        </w:rPr>
        <w:t>, 28–49 (2016).</w:t>
      </w:r>
    </w:p>
    <w:p w14:paraId="72DC85E5"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14.</w:t>
      </w:r>
      <w:r w:rsidRPr="00E53408">
        <w:rPr>
          <w:rFonts w:cstheme="minorHAnsi"/>
          <w:noProof/>
          <w:sz w:val="24"/>
          <w:szCs w:val="24"/>
        </w:rPr>
        <w:tab/>
        <w:t xml:space="preserve">Moksnes, N., Korkovelos, A., Mentis, D. &amp; Howells, M. Electrification pathways for Kenya--linking spatial electrification analysis and medium to long term energy planning. </w:t>
      </w:r>
      <w:r w:rsidRPr="00E53408">
        <w:rPr>
          <w:rFonts w:cstheme="minorHAnsi"/>
          <w:i/>
          <w:iCs/>
          <w:noProof/>
          <w:sz w:val="24"/>
          <w:szCs w:val="24"/>
        </w:rPr>
        <w:t>Environ. Res. Lett.</w:t>
      </w:r>
      <w:r w:rsidRPr="00E53408">
        <w:rPr>
          <w:rFonts w:cstheme="minorHAnsi"/>
          <w:noProof/>
          <w:sz w:val="24"/>
          <w:szCs w:val="24"/>
        </w:rPr>
        <w:t xml:space="preserve"> </w:t>
      </w:r>
      <w:r w:rsidRPr="00E53408">
        <w:rPr>
          <w:rFonts w:cstheme="minorHAnsi"/>
          <w:b/>
          <w:bCs/>
          <w:noProof/>
          <w:sz w:val="24"/>
          <w:szCs w:val="24"/>
        </w:rPr>
        <w:t>12</w:t>
      </w:r>
      <w:r w:rsidRPr="00E53408">
        <w:rPr>
          <w:rFonts w:cstheme="minorHAnsi"/>
          <w:noProof/>
          <w:sz w:val="24"/>
          <w:szCs w:val="24"/>
        </w:rPr>
        <w:t>, 95008 (2017).</w:t>
      </w:r>
    </w:p>
    <w:p w14:paraId="11099A61"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15.</w:t>
      </w:r>
      <w:r w:rsidRPr="00E53408">
        <w:rPr>
          <w:rFonts w:cstheme="minorHAnsi"/>
          <w:noProof/>
          <w:sz w:val="24"/>
          <w:szCs w:val="24"/>
        </w:rPr>
        <w:tab/>
        <w:t xml:space="preserve">Dagnachew, A. G., Hof, A. F., Lucas, P. L. &amp; van Vuuren, D. P. Scenario analysis for promoting clean cooking in Sub-Saharan Africa: Costs and benefits. </w:t>
      </w:r>
      <w:r w:rsidRPr="00E53408">
        <w:rPr>
          <w:rFonts w:cstheme="minorHAnsi"/>
          <w:i/>
          <w:iCs/>
          <w:noProof/>
          <w:sz w:val="24"/>
          <w:szCs w:val="24"/>
        </w:rPr>
        <w:t>Energy</w:t>
      </w:r>
      <w:r w:rsidRPr="00E53408">
        <w:rPr>
          <w:rFonts w:cstheme="minorHAnsi"/>
          <w:noProof/>
          <w:sz w:val="24"/>
          <w:szCs w:val="24"/>
        </w:rPr>
        <w:t xml:space="preserve"> </w:t>
      </w:r>
      <w:r w:rsidRPr="00E53408">
        <w:rPr>
          <w:rFonts w:cstheme="minorHAnsi"/>
          <w:b/>
          <w:bCs/>
          <w:noProof/>
          <w:sz w:val="24"/>
          <w:szCs w:val="24"/>
        </w:rPr>
        <w:t>192</w:t>
      </w:r>
      <w:r w:rsidRPr="00E53408">
        <w:rPr>
          <w:rFonts w:cstheme="minorHAnsi"/>
          <w:noProof/>
          <w:sz w:val="24"/>
          <w:szCs w:val="24"/>
        </w:rPr>
        <w:t>, 116641 (2020).</w:t>
      </w:r>
    </w:p>
    <w:p w14:paraId="38743C34"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16.</w:t>
      </w:r>
      <w:r w:rsidRPr="00E53408">
        <w:rPr>
          <w:rFonts w:cstheme="minorHAnsi"/>
          <w:noProof/>
          <w:sz w:val="24"/>
          <w:szCs w:val="24"/>
        </w:rPr>
        <w:tab/>
        <w:t xml:space="preserve">Pachauri, S., Rao, N. D. &amp; Cameron, C. Outlook for modern cooking energy access in Central America. </w:t>
      </w:r>
      <w:r w:rsidRPr="00E53408">
        <w:rPr>
          <w:rFonts w:cstheme="minorHAnsi"/>
          <w:i/>
          <w:iCs/>
          <w:noProof/>
          <w:sz w:val="24"/>
          <w:szCs w:val="24"/>
        </w:rPr>
        <w:t>PLoS One</w:t>
      </w:r>
      <w:r w:rsidRPr="00E53408">
        <w:rPr>
          <w:rFonts w:cstheme="minorHAnsi"/>
          <w:noProof/>
          <w:sz w:val="24"/>
          <w:szCs w:val="24"/>
        </w:rPr>
        <w:t xml:space="preserve"> </w:t>
      </w:r>
      <w:r w:rsidRPr="00E53408">
        <w:rPr>
          <w:rFonts w:cstheme="minorHAnsi"/>
          <w:b/>
          <w:bCs/>
          <w:noProof/>
          <w:sz w:val="24"/>
          <w:szCs w:val="24"/>
        </w:rPr>
        <w:t>13</w:t>
      </w:r>
      <w:r w:rsidRPr="00E53408">
        <w:rPr>
          <w:rFonts w:cstheme="minorHAnsi"/>
          <w:noProof/>
          <w:sz w:val="24"/>
          <w:szCs w:val="24"/>
        </w:rPr>
        <w:t>, e0197974 (2018).</w:t>
      </w:r>
    </w:p>
    <w:p w14:paraId="5E365CDF"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17.</w:t>
      </w:r>
      <w:r w:rsidRPr="00E53408">
        <w:rPr>
          <w:rFonts w:cstheme="minorHAnsi"/>
          <w:noProof/>
          <w:sz w:val="24"/>
          <w:szCs w:val="24"/>
        </w:rPr>
        <w:tab/>
        <w:t xml:space="preserve">Shankar, A. V </w:t>
      </w:r>
      <w:r w:rsidRPr="00E53408">
        <w:rPr>
          <w:rFonts w:cstheme="minorHAnsi"/>
          <w:i/>
          <w:iCs/>
          <w:noProof/>
          <w:sz w:val="24"/>
          <w:szCs w:val="24"/>
        </w:rPr>
        <w:t>et al.</w:t>
      </w:r>
      <w:r w:rsidRPr="00E53408">
        <w:rPr>
          <w:rFonts w:cstheme="minorHAnsi"/>
          <w:noProof/>
          <w:sz w:val="24"/>
          <w:szCs w:val="24"/>
        </w:rPr>
        <w:t xml:space="preserve"> Everybody stacks: Lessons from household energy case studies to inform design principles for clean energy transitions. </w:t>
      </w:r>
      <w:r w:rsidRPr="00E53408">
        <w:rPr>
          <w:rFonts w:cstheme="minorHAnsi"/>
          <w:i/>
          <w:iCs/>
          <w:noProof/>
          <w:sz w:val="24"/>
          <w:szCs w:val="24"/>
        </w:rPr>
        <w:t>Energy Policy</w:t>
      </w:r>
      <w:r w:rsidRPr="00E53408">
        <w:rPr>
          <w:rFonts w:cstheme="minorHAnsi"/>
          <w:noProof/>
          <w:sz w:val="24"/>
          <w:szCs w:val="24"/>
        </w:rPr>
        <w:t xml:space="preserve"> </w:t>
      </w:r>
      <w:r w:rsidRPr="00E53408">
        <w:rPr>
          <w:rFonts w:cstheme="minorHAnsi"/>
          <w:b/>
          <w:bCs/>
          <w:noProof/>
          <w:sz w:val="24"/>
          <w:szCs w:val="24"/>
        </w:rPr>
        <w:t>141</w:t>
      </w:r>
      <w:r w:rsidRPr="00E53408">
        <w:rPr>
          <w:rFonts w:cstheme="minorHAnsi"/>
          <w:noProof/>
          <w:sz w:val="24"/>
          <w:szCs w:val="24"/>
        </w:rPr>
        <w:t>, 111468 (2020).</w:t>
      </w:r>
    </w:p>
    <w:p w14:paraId="6695C9E0"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lastRenderedPageBreak/>
        <w:t>18.</w:t>
      </w:r>
      <w:r w:rsidRPr="00E53408">
        <w:rPr>
          <w:rFonts w:cstheme="minorHAnsi"/>
          <w:noProof/>
          <w:sz w:val="24"/>
          <w:szCs w:val="24"/>
        </w:rPr>
        <w:tab/>
        <w:t xml:space="preserve">Gould, C. F., Hou, X., Richmond, J., Sharma, A. &amp; Urpelainen, J. Jointly modeling the adoption and use of clean cooking fuels in rural India. </w:t>
      </w:r>
      <w:r w:rsidRPr="00E53408">
        <w:rPr>
          <w:rFonts w:cstheme="minorHAnsi"/>
          <w:i/>
          <w:iCs/>
          <w:noProof/>
          <w:sz w:val="24"/>
          <w:szCs w:val="24"/>
        </w:rPr>
        <w:t>Environ. Res. Commun.</w:t>
      </w:r>
      <w:r w:rsidRPr="00E53408">
        <w:rPr>
          <w:rFonts w:cstheme="minorHAnsi"/>
          <w:noProof/>
          <w:sz w:val="24"/>
          <w:szCs w:val="24"/>
        </w:rPr>
        <w:t xml:space="preserve"> </w:t>
      </w:r>
      <w:r w:rsidRPr="00E53408">
        <w:rPr>
          <w:rFonts w:cstheme="minorHAnsi"/>
          <w:b/>
          <w:bCs/>
          <w:noProof/>
          <w:sz w:val="24"/>
          <w:szCs w:val="24"/>
        </w:rPr>
        <w:t>2</w:t>
      </w:r>
      <w:r w:rsidRPr="00E53408">
        <w:rPr>
          <w:rFonts w:cstheme="minorHAnsi"/>
          <w:noProof/>
          <w:sz w:val="24"/>
          <w:szCs w:val="24"/>
        </w:rPr>
        <w:t>, 85004 (2020).</w:t>
      </w:r>
    </w:p>
    <w:p w14:paraId="1B6E81AD"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19.</w:t>
      </w:r>
      <w:r w:rsidRPr="00E53408">
        <w:rPr>
          <w:rFonts w:cstheme="minorHAnsi"/>
          <w:noProof/>
          <w:sz w:val="24"/>
          <w:szCs w:val="24"/>
        </w:rPr>
        <w:tab/>
        <w:t xml:space="preserve">Jeuland, M., Soo, J.-S. T. &amp; Shindell, D. The need for policies to reduce the costs of cleaner cooking in low income settings: Implications from systematic analysis of costs and benefits. </w:t>
      </w:r>
      <w:r w:rsidRPr="00E53408">
        <w:rPr>
          <w:rFonts w:cstheme="minorHAnsi"/>
          <w:i/>
          <w:iCs/>
          <w:noProof/>
          <w:sz w:val="24"/>
          <w:szCs w:val="24"/>
        </w:rPr>
        <w:t>Energy Policy</w:t>
      </w:r>
      <w:r w:rsidRPr="00E53408">
        <w:rPr>
          <w:rFonts w:cstheme="minorHAnsi"/>
          <w:noProof/>
          <w:sz w:val="24"/>
          <w:szCs w:val="24"/>
        </w:rPr>
        <w:t xml:space="preserve"> </w:t>
      </w:r>
      <w:r w:rsidRPr="00E53408">
        <w:rPr>
          <w:rFonts w:cstheme="minorHAnsi"/>
          <w:b/>
          <w:bCs/>
          <w:noProof/>
          <w:sz w:val="24"/>
          <w:szCs w:val="24"/>
        </w:rPr>
        <w:t>121</w:t>
      </w:r>
      <w:r w:rsidRPr="00E53408">
        <w:rPr>
          <w:rFonts w:cstheme="minorHAnsi"/>
          <w:noProof/>
          <w:sz w:val="24"/>
          <w:szCs w:val="24"/>
        </w:rPr>
        <w:t>, 275–285 (2018).</w:t>
      </w:r>
    </w:p>
    <w:p w14:paraId="79718184"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20.</w:t>
      </w:r>
      <w:r w:rsidRPr="00E53408">
        <w:rPr>
          <w:rFonts w:cstheme="minorHAnsi"/>
          <w:noProof/>
          <w:sz w:val="24"/>
          <w:szCs w:val="24"/>
        </w:rPr>
        <w:tab/>
        <w:t xml:space="preserve">Dagnachew, A. G. </w:t>
      </w:r>
      <w:r w:rsidRPr="00E53408">
        <w:rPr>
          <w:rFonts w:cstheme="minorHAnsi"/>
          <w:i/>
          <w:iCs/>
          <w:noProof/>
          <w:sz w:val="24"/>
          <w:szCs w:val="24"/>
        </w:rPr>
        <w:t>et al.</w:t>
      </w:r>
      <w:r w:rsidRPr="00E53408">
        <w:rPr>
          <w:rFonts w:cstheme="minorHAnsi"/>
          <w:noProof/>
          <w:sz w:val="24"/>
          <w:szCs w:val="24"/>
        </w:rPr>
        <w:t xml:space="preserve"> Integrating energy access, efficiency and renewable energy policies in Sub-Saharan Africa: a model-based analysis. </w:t>
      </w:r>
      <w:r w:rsidRPr="00E53408">
        <w:rPr>
          <w:rFonts w:cstheme="minorHAnsi"/>
          <w:i/>
          <w:iCs/>
          <w:noProof/>
          <w:sz w:val="24"/>
          <w:szCs w:val="24"/>
        </w:rPr>
        <w:t>Environ. Res. Lett.</w:t>
      </w:r>
      <w:r w:rsidRPr="00E53408">
        <w:rPr>
          <w:rFonts w:cstheme="minorHAnsi"/>
          <w:noProof/>
          <w:sz w:val="24"/>
          <w:szCs w:val="24"/>
        </w:rPr>
        <w:t xml:space="preserve"> </w:t>
      </w:r>
      <w:r w:rsidRPr="00E53408">
        <w:rPr>
          <w:rFonts w:cstheme="minorHAnsi"/>
          <w:b/>
          <w:bCs/>
          <w:noProof/>
          <w:sz w:val="24"/>
          <w:szCs w:val="24"/>
        </w:rPr>
        <w:t>15</w:t>
      </w:r>
      <w:r w:rsidRPr="00E53408">
        <w:rPr>
          <w:rFonts w:cstheme="minorHAnsi"/>
          <w:noProof/>
          <w:sz w:val="24"/>
          <w:szCs w:val="24"/>
        </w:rPr>
        <w:t>, 125010 (2020).</w:t>
      </w:r>
    </w:p>
    <w:p w14:paraId="1282A396"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21.</w:t>
      </w:r>
      <w:r w:rsidRPr="00E53408">
        <w:rPr>
          <w:rFonts w:cstheme="minorHAnsi"/>
          <w:noProof/>
          <w:sz w:val="24"/>
          <w:szCs w:val="24"/>
        </w:rPr>
        <w:tab/>
        <w:t xml:space="preserve">Poblete-Cazenave, M. &amp; Pachauri, S. A structural model of cooking fuel choices in developing countries. </w:t>
      </w:r>
      <w:r w:rsidRPr="00E53408">
        <w:rPr>
          <w:rFonts w:cstheme="minorHAnsi"/>
          <w:i/>
          <w:iCs/>
          <w:noProof/>
          <w:sz w:val="24"/>
          <w:szCs w:val="24"/>
        </w:rPr>
        <w:t>Energy Econ.</w:t>
      </w:r>
      <w:r w:rsidRPr="00E53408">
        <w:rPr>
          <w:rFonts w:cstheme="minorHAnsi"/>
          <w:noProof/>
          <w:sz w:val="24"/>
          <w:szCs w:val="24"/>
        </w:rPr>
        <w:t xml:space="preserve"> </w:t>
      </w:r>
      <w:r w:rsidRPr="00E53408">
        <w:rPr>
          <w:rFonts w:cstheme="minorHAnsi"/>
          <w:b/>
          <w:bCs/>
          <w:noProof/>
          <w:sz w:val="24"/>
          <w:szCs w:val="24"/>
        </w:rPr>
        <w:t>75</w:t>
      </w:r>
      <w:r w:rsidRPr="00E53408">
        <w:rPr>
          <w:rFonts w:cstheme="minorHAnsi"/>
          <w:noProof/>
          <w:sz w:val="24"/>
          <w:szCs w:val="24"/>
        </w:rPr>
        <w:t>, 449–463 (2018).</w:t>
      </w:r>
    </w:p>
    <w:p w14:paraId="38CA6412"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22.</w:t>
      </w:r>
      <w:r w:rsidRPr="00E53408">
        <w:rPr>
          <w:rFonts w:cstheme="minorHAnsi"/>
          <w:noProof/>
          <w:sz w:val="24"/>
          <w:szCs w:val="24"/>
        </w:rPr>
        <w:tab/>
        <w:t xml:space="preserve">Poblete-Cazenave, M. &amp; Pachauri, S. A model of energy poverty and access: Estimating household electricity demand and appliance ownership. </w:t>
      </w:r>
      <w:r w:rsidRPr="00E53408">
        <w:rPr>
          <w:rFonts w:cstheme="minorHAnsi"/>
          <w:i/>
          <w:iCs/>
          <w:noProof/>
          <w:sz w:val="24"/>
          <w:szCs w:val="24"/>
        </w:rPr>
        <w:t>Energy Econ.</w:t>
      </w:r>
      <w:r w:rsidRPr="00E53408">
        <w:rPr>
          <w:rFonts w:cstheme="minorHAnsi"/>
          <w:noProof/>
          <w:sz w:val="24"/>
          <w:szCs w:val="24"/>
        </w:rPr>
        <w:t xml:space="preserve"> </w:t>
      </w:r>
      <w:r w:rsidRPr="00E53408">
        <w:rPr>
          <w:rFonts w:cstheme="minorHAnsi"/>
          <w:b/>
          <w:bCs/>
          <w:noProof/>
          <w:sz w:val="24"/>
          <w:szCs w:val="24"/>
        </w:rPr>
        <w:t>98</w:t>
      </w:r>
      <w:r w:rsidRPr="00E53408">
        <w:rPr>
          <w:rFonts w:cstheme="minorHAnsi"/>
          <w:noProof/>
          <w:sz w:val="24"/>
          <w:szCs w:val="24"/>
        </w:rPr>
        <w:t>, 105266 (2021).</w:t>
      </w:r>
    </w:p>
    <w:p w14:paraId="476DD151"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23.</w:t>
      </w:r>
      <w:r w:rsidRPr="00E53408">
        <w:rPr>
          <w:rFonts w:cstheme="minorHAnsi"/>
          <w:noProof/>
          <w:sz w:val="24"/>
          <w:szCs w:val="24"/>
        </w:rPr>
        <w:tab/>
        <w:t xml:space="preserve">World Health Organization. </w:t>
      </w:r>
      <w:r w:rsidRPr="00E53408">
        <w:rPr>
          <w:rFonts w:cstheme="minorHAnsi"/>
          <w:i/>
          <w:iCs/>
          <w:noProof/>
          <w:sz w:val="24"/>
          <w:szCs w:val="24"/>
        </w:rPr>
        <w:t>WHO guidelines for indoor air quality: household fuel combustion</w:t>
      </w:r>
      <w:r w:rsidRPr="00E53408">
        <w:rPr>
          <w:rFonts w:cstheme="minorHAnsi"/>
          <w:noProof/>
          <w:sz w:val="24"/>
          <w:szCs w:val="24"/>
        </w:rPr>
        <w:t>. https://www.who.int/airpollution/guidelines/household-fuel-combustion/IAQ_HHFC_guidelines.pdf (2014).</w:t>
      </w:r>
    </w:p>
    <w:p w14:paraId="5B03F4E7"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24.</w:t>
      </w:r>
      <w:r w:rsidRPr="00E53408">
        <w:rPr>
          <w:rFonts w:cstheme="minorHAnsi"/>
          <w:noProof/>
          <w:sz w:val="24"/>
          <w:szCs w:val="24"/>
        </w:rPr>
        <w:tab/>
        <w:t xml:space="preserve">O’Neill, B. C. </w:t>
      </w:r>
      <w:r w:rsidRPr="00E53408">
        <w:rPr>
          <w:rFonts w:cstheme="minorHAnsi"/>
          <w:i/>
          <w:iCs/>
          <w:noProof/>
          <w:sz w:val="24"/>
          <w:szCs w:val="24"/>
        </w:rPr>
        <w:t>et al.</w:t>
      </w:r>
      <w:r w:rsidRPr="00E53408">
        <w:rPr>
          <w:rFonts w:cstheme="minorHAnsi"/>
          <w:noProof/>
          <w:sz w:val="24"/>
          <w:szCs w:val="24"/>
        </w:rPr>
        <w:t xml:space="preserve"> A new scenario framework for climate change research: The concept of shared socioeconomic pathways. </w:t>
      </w:r>
      <w:r w:rsidRPr="00E53408">
        <w:rPr>
          <w:rFonts w:cstheme="minorHAnsi"/>
          <w:i/>
          <w:iCs/>
          <w:noProof/>
          <w:sz w:val="24"/>
          <w:szCs w:val="24"/>
        </w:rPr>
        <w:t>Clim. Change</w:t>
      </w:r>
      <w:r w:rsidRPr="00E53408">
        <w:rPr>
          <w:rFonts w:cstheme="minorHAnsi"/>
          <w:noProof/>
          <w:sz w:val="24"/>
          <w:szCs w:val="24"/>
        </w:rPr>
        <w:t xml:space="preserve"> </w:t>
      </w:r>
      <w:r w:rsidRPr="00E53408">
        <w:rPr>
          <w:rFonts w:cstheme="minorHAnsi"/>
          <w:b/>
          <w:bCs/>
          <w:noProof/>
          <w:sz w:val="24"/>
          <w:szCs w:val="24"/>
        </w:rPr>
        <w:t>122</w:t>
      </w:r>
      <w:r w:rsidRPr="00E53408">
        <w:rPr>
          <w:rFonts w:cstheme="minorHAnsi"/>
          <w:noProof/>
          <w:sz w:val="24"/>
          <w:szCs w:val="24"/>
        </w:rPr>
        <w:t>, 387–400 (2014).</w:t>
      </w:r>
    </w:p>
    <w:p w14:paraId="41D73203"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25.</w:t>
      </w:r>
      <w:r w:rsidRPr="00E53408">
        <w:rPr>
          <w:rFonts w:cstheme="minorHAnsi"/>
          <w:noProof/>
          <w:sz w:val="24"/>
          <w:szCs w:val="24"/>
        </w:rPr>
        <w:tab/>
        <w:t xml:space="preserve">McCollum, D. L. </w:t>
      </w:r>
      <w:r w:rsidRPr="00E53408">
        <w:rPr>
          <w:rFonts w:cstheme="minorHAnsi"/>
          <w:i/>
          <w:iCs/>
          <w:noProof/>
          <w:sz w:val="24"/>
          <w:szCs w:val="24"/>
        </w:rPr>
        <w:t>et al.</w:t>
      </w:r>
      <w:r w:rsidRPr="00E53408">
        <w:rPr>
          <w:rFonts w:cstheme="minorHAnsi"/>
          <w:noProof/>
          <w:sz w:val="24"/>
          <w:szCs w:val="24"/>
        </w:rPr>
        <w:t xml:space="preserve"> Energy investment needs for fulfilling the Paris Agreement and achieving the Sustainable Development Goals. </w:t>
      </w:r>
      <w:r w:rsidRPr="00E53408">
        <w:rPr>
          <w:rFonts w:cstheme="minorHAnsi"/>
          <w:i/>
          <w:iCs/>
          <w:noProof/>
          <w:sz w:val="24"/>
          <w:szCs w:val="24"/>
        </w:rPr>
        <w:t>Nat. Energy</w:t>
      </w:r>
      <w:r w:rsidRPr="00E53408">
        <w:rPr>
          <w:rFonts w:cstheme="minorHAnsi"/>
          <w:noProof/>
          <w:sz w:val="24"/>
          <w:szCs w:val="24"/>
        </w:rPr>
        <w:t xml:space="preserve"> </w:t>
      </w:r>
      <w:r w:rsidRPr="00E53408">
        <w:rPr>
          <w:rFonts w:cstheme="minorHAnsi"/>
          <w:b/>
          <w:bCs/>
          <w:noProof/>
          <w:sz w:val="24"/>
          <w:szCs w:val="24"/>
        </w:rPr>
        <w:t>3</w:t>
      </w:r>
      <w:r w:rsidRPr="00E53408">
        <w:rPr>
          <w:rFonts w:cstheme="minorHAnsi"/>
          <w:noProof/>
          <w:sz w:val="24"/>
          <w:szCs w:val="24"/>
        </w:rPr>
        <w:t>, 589–599 (2018).</w:t>
      </w:r>
    </w:p>
    <w:p w14:paraId="77A66CBC"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26.</w:t>
      </w:r>
      <w:r w:rsidRPr="00E53408">
        <w:rPr>
          <w:rFonts w:cstheme="minorHAnsi"/>
          <w:noProof/>
          <w:sz w:val="24"/>
          <w:szCs w:val="24"/>
        </w:rPr>
        <w:tab/>
        <w:t xml:space="preserve">Foell, W., Pachauri, S., Spreng, D. &amp; Zerriffi, H. Household cooking fuels and technologies in developing economies. </w:t>
      </w:r>
      <w:r w:rsidRPr="00E53408">
        <w:rPr>
          <w:rFonts w:cstheme="minorHAnsi"/>
          <w:i/>
          <w:iCs/>
          <w:noProof/>
          <w:sz w:val="24"/>
          <w:szCs w:val="24"/>
        </w:rPr>
        <w:t>Energy Policy</w:t>
      </w:r>
      <w:r w:rsidRPr="00E53408">
        <w:rPr>
          <w:rFonts w:cstheme="minorHAnsi"/>
          <w:noProof/>
          <w:sz w:val="24"/>
          <w:szCs w:val="24"/>
        </w:rPr>
        <w:t xml:space="preserve"> </w:t>
      </w:r>
      <w:r w:rsidRPr="00E53408">
        <w:rPr>
          <w:rFonts w:cstheme="minorHAnsi"/>
          <w:b/>
          <w:bCs/>
          <w:noProof/>
          <w:sz w:val="24"/>
          <w:szCs w:val="24"/>
        </w:rPr>
        <w:t>39</w:t>
      </w:r>
      <w:r w:rsidRPr="00E53408">
        <w:rPr>
          <w:rFonts w:cstheme="minorHAnsi"/>
          <w:noProof/>
          <w:sz w:val="24"/>
          <w:szCs w:val="24"/>
        </w:rPr>
        <w:t>, 7487–7496 (2011).</w:t>
      </w:r>
    </w:p>
    <w:p w14:paraId="46A66BB9"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27.</w:t>
      </w:r>
      <w:r w:rsidRPr="00E53408">
        <w:rPr>
          <w:rFonts w:cstheme="minorHAnsi"/>
          <w:noProof/>
          <w:sz w:val="24"/>
          <w:szCs w:val="24"/>
        </w:rPr>
        <w:tab/>
        <w:t xml:space="preserve">Coelho, S. T., Sanches-Pereira, A., Tudeschini, L. G. &amp; Goldemberg, J. The energy transition history of fuelwood replacement for liquefied petroleum gas in Brazilian households from 1920 to 2016. </w:t>
      </w:r>
      <w:r w:rsidRPr="00E53408">
        <w:rPr>
          <w:rFonts w:cstheme="minorHAnsi"/>
          <w:i/>
          <w:iCs/>
          <w:noProof/>
          <w:sz w:val="24"/>
          <w:szCs w:val="24"/>
        </w:rPr>
        <w:t>Energy Policy</w:t>
      </w:r>
      <w:r w:rsidRPr="00E53408">
        <w:rPr>
          <w:rFonts w:cstheme="minorHAnsi"/>
          <w:noProof/>
          <w:sz w:val="24"/>
          <w:szCs w:val="24"/>
        </w:rPr>
        <w:t xml:space="preserve"> </w:t>
      </w:r>
      <w:r w:rsidRPr="00E53408">
        <w:rPr>
          <w:rFonts w:cstheme="minorHAnsi"/>
          <w:b/>
          <w:bCs/>
          <w:noProof/>
          <w:sz w:val="24"/>
          <w:szCs w:val="24"/>
        </w:rPr>
        <w:t>123</w:t>
      </w:r>
      <w:r w:rsidRPr="00E53408">
        <w:rPr>
          <w:rFonts w:cstheme="minorHAnsi"/>
          <w:noProof/>
          <w:sz w:val="24"/>
          <w:szCs w:val="24"/>
        </w:rPr>
        <w:t>, 41–52 (2018).</w:t>
      </w:r>
    </w:p>
    <w:p w14:paraId="797F62C2"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28.</w:t>
      </w:r>
      <w:r w:rsidRPr="00E53408">
        <w:rPr>
          <w:rFonts w:cstheme="minorHAnsi"/>
          <w:noProof/>
          <w:sz w:val="24"/>
          <w:szCs w:val="24"/>
        </w:rPr>
        <w:tab/>
        <w:t xml:space="preserve">Sumner, A., Hoy, C. &amp; Ortiz-Juarez, E. </w:t>
      </w:r>
      <w:r w:rsidRPr="00E53408">
        <w:rPr>
          <w:rFonts w:cstheme="minorHAnsi"/>
          <w:i/>
          <w:iCs/>
          <w:noProof/>
          <w:sz w:val="24"/>
          <w:szCs w:val="24"/>
        </w:rPr>
        <w:t>Estimates of the impact of COVID-19 on global poverty</w:t>
      </w:r>
      <w:r w:rsidRPr="00E53408">
        <w:rPr>
          <w:rFonts w:cstheme="minorHAnsi"/>
          <w:noProof/>
          <w:sz w:val="24"/>
          <w:szCs w:val="24"/>
        </w:rPr>
        <w:t xml:space="preserve">. </w:t>
      </w:r>
      <w:r w:rsidRPr="00E53408">
        <w:rPr>
          <w:rFonts w:cstheme="minorHAnsi"/>
          <w:i/>
          <w:iCs/>
          <w:noProof/>
          <w:sz w:val="24"/>
          <w:szCs w:val="24"/>
        </w:rPr>
        <w:t>UNU WIDER Working Paper 2020/43</w:t>
      </w:r>
      <w:r w:rsidRPr="00E53408">
        <w:rPr>
          <w:rFonts w:cstheme="minorHAnsi"/>
          <w:noProof/>
          <w:sz w:val="24"/>
          <w:szCs w:val="24"/>
        </w:rPr>
        <w:t xml:space="preserve"> https://doi.org/10.35188/UNU-WIDER/2020/800-9 (2020).</w:t>
      </w:r>
    </w:p>
    <w:p w14:paraId="26FCA26A"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29.</w:t>
      </w:r>
      <w:r w:rsidRPr="00E53408">
        <w:rPr>
          <w:rFonts w:cstheme="minorHAnsi"/>
          <w:noProof/>
          <w:sz w:val="24"/>
          <w:szCs w:val="24"/>
        </w:rPr>
        <w:tab/>
        <w:t xml:space="preserve">Kar, A., Pachauri, S., Bailis, R. &amp; Zerriffi, H. Using sales data to assess cooking gas adoption and the impact of India’s Ujjwala programme in rural Karnataka. </w:t>
      </w:r>
      <w:r w:rsidRPr="00E53408">
        <w:rPr>
          <w:rFonts w:cstheme="minorHAnsi"/>
          <w:i/>
          <w:iCs/>
          <w:noProof/>
          <w:sz w:val="24"/>
          <w:szCs w:val="24"/>
        </w:rPr>
        <w:t>Nat. Energy</w:t>
      </w:r>
      <w:r w:rsidRPr="00E53408">
        <w:rPr>
          <w:rFonts w:cstheme="minorHAnsi"/>
          <w:noProof/>
          <w:sz w:val="24"/>
          <w:szCs w:val="24"/>
        </w:rPr>
        <w:t xml:space="preserve"> </w:t>
      </w:r>
      <w:r w:rsidRPr="00E53408">
        <w:rPr>
          <w:rFonts w:cstheme="minorHAnsi"/>
          <w:b/>
          <w:bCs/>
          <w:noProof/>
          <w:sz w:val="24"/>
          <w:szCs w:val="24"/>
        </w:rPr>
        <w:t>4</w:t>
      </w:r>
      <w:r w:rsidRPr="00E53408">
        <w:rPr>
          <w:rFonts w:cstheme="minorHAnsi"/>
          <w:noProof/>
          <w:sz w:val="24"/>
          <w:szCs w:val="24"/>
        </w:rPr>
        <w:t>, 806–814 (2019).</w:t>
      </w:r>
    </w:p>
    <w:p w14:paraId="44EF92C0"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30.</w:t>
      </w:r>
      <w:r w:rsidRPr="00E53408">
        <w:rPr>
          <w:rFonts w:cstheme="minorHAnsi"/>
          <w:noProof/>
          <w:sz w:val="24"/>
          <w:szCs w:val="24"/>
        </w:rPr>
        <w:tab/>
        <w:t xml:space="preserve">Mani, S., Jain, A., Tripathi, S. &amp; Gould, C. F. Sustained LPG use requires progress on broader development outcomes. </w:t>
      </w:r>
      <w:r w:rsidRPr="00E53408">
        <w:rPr>
          <w:rFonts w:cstheme="minorHAnsi"/>
          <w:i/>
          <w:iCs/>
          <w:noProof/>
          <w:sz w:val="24"/>
          <w:szCs w:val="24"/>
        </w:rPr>
        <w:t>Nat. Energy</w:t>
      </w:r>
      <w:r w:rsidRPr="00E53408">
        <w:rPr>
          <w:rFonts w:cstheme="minorHAnsi"/>
          <w:noProof/>
          <w:sz w:val="24"/>
          <w:szCs w:val="24"/>
        </w:rPr>
        <w:t xml:space="preserve"> </w:t>
      </w:r>
      <w:r w:rsidRPr="00E53408">
        <w:rPr>
          <w:rFonts w:cstheme="minorHAnsi"/>
          <w:b/>
          <w:bCs/>
          <w:noProof/>
          <w:sz w:val="24"/>
          <w:szCs w:val="24"/>
        </w:rPr>
        <w:t>5</w:t>
      </w:r>
      <w:r w:rsidRPr="00E53408">
        <w:rPr>
          <w:rFonts w:cstheme="minorHAnsi"/>
          <w:noProof/>
          <w:sz w:val="24"/>
          <w:szCs w:val="24"/>
        </w:rPr>
        <w:t>, 430–431 (2020).</w:t>
      </w:r>
    </w:p>
    <w:p w14:paraId="35DDAC36"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31.</w:t>
      </w:r>
      <w:r w:rsidRPr="00E53408">
        <w:rPr>
          <w:rFonts w:cstheme="minorHAnsi"/>
          <w:noProof/>
          <w:sz w:val="24"/>
          <w:szCs w:val="24"/>
        </w:rPr>
        <w:tab/>
        <w:t xml:space="preserve">de Ven, D.-J. Van </w:t>
      </w:r>
      <w:r w:rsidRPr="00E53408">
        <w:rPr>
          <w:rFonts w:cstheme="minorHAnsi"/>
          <w:i/>
          <w:iCs/>
          <w:noProof/>
          <w:sz w:val="24"/>
          <w:szCs w:val="24"/>
        </w:rPr>
        <w:t>et al.</w:t>
      </w:r>
      <w:r w:rsidRPr="00E53408">
        <w:rPr>
          <w:rFonts w:cstheme="minorHAnsi"/>
          <w:noProof/>
          <w:sz w:val="24"/>
          <w:szCs w:val="24"/>
        </w:rPr>
        <w:t xml:space="preserve"> Integrated policy assessment and optimisation over multiple sustainable development goals in Eastern Africa. </w:t>
      </w:r>
      <w:r w:rsidRPr="00E53408">
        <w:rPr>
          <w:rFonts w:cstheme="minorHAnsi"/>
          <w:i/>
          <w:iCs/>
          <w:noProof/>
          <w:sz w:val="24"/>
          <w:szCs w:val="24"/>
        </w:rPr>
        <w:t>Environ. Res. Lett.</w:t>
      </w:r>
      <w:r w:rsidRPr="00E53408">
        <w:rPr>
          <w:rFonts w:cstheme="minorHAnsi"/>
          <w:noProof/>
          <w:sz w:val="24"/>
          <w:szCs w:val="24"/>
        </w:rPr>
        <w:t xml:space="preserve"> </w:t>
      </w:r>
      <w:r w:rsidRPr="00E53408">
        <w:rPr>
          <w:rFonts w:cstheme="minorHAnsi"/>
          <w:b/>
          <w:bCs/>
          <w:noProof/>
          <w:sz w:val="24"/>
          <w:szCs w:val="24"/>
        </w:rPr>
        <w:t>14</w:t>
      </w:r>
      <w:r w:rsidRPr="00E53408">
        <w:rPr>
          <w:rFonts w:cstheme="minorHAnsi"/>
          <w:noProof/>
          <w:sz w:val="24"/>
          <w:szCs w:val="24"/>
        </w:rPr>
        <w:t>, 94001 (2019).</w:t>
      </w:r>
    </w:p>
    <w:p w14:paraId="14247301"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32.</w:t>
      </w:r>
      <w:r w:rsidRPr="00E53408">
        <w:rPr>
          <w:rFonts w:cstheme="minorHAnsi"/>
          <w:noProof/>
          <w:sz w:val="24"/>
          <w:szCs w:val="24"/>
        </w:rPr>
        <w:tab/>
        <w:t xml:space="preserve">Hosier, R., Kappen, J., Hyseni, B., Tao, N. &amp; Usui, K. </w:t>
      </w:r>
      <w:r w:rsidRPr="00E53408">
        <w:rPr>
          <w:rFonts w:cstheme="minorHAnsi"/>
          <w:i/>
          <w:iCs/>
          <w:noProof/>
          <w:sz w:val="24"/>
          <w:szCs w:val="24"/>
        </w:rPr>
        <w:t>Scalable Business Models for Alternative Biomass Cooking Fuels and Their Potential in Sub-Saharan Africa</w:t>
      </w:r>
      <w:r w:rsidRPr="00E53408">
        <w:rPr>
          <w:rFonts w:cstheme="minorHAnsi"/>
          <w:noProof/>
          <w:sz w:val="24"/>
          <w:szCs w:val="24"/>
        </w:rPr>
        <w:t>. https://openknowledge.worldbank.org/handle/10986/28595 (2017).</w:t>
      </w:r>
    </w:p>
    <w:p w14:paraId="555CA99B"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33.</w:t>
      </w:r>
      <w:r w:rsidRPr="00E53408">
        <w:rPr>
          <w:rFonts w:cstheme="minorHAnsi"/>
          <w:noProof/>
          <w:sz w:val="24"/>
          <w:szCs w:val="24"/>
        </w:rPr>
        <w:tab/>
        <w:t xml:space="preserve">Sustainable Energy for All. </w:t>
      </w:r>
      <w:r w:rsidRPr="00E53408">
        <w:rPr>
          <w:rFonts w:cstheme="minorHAnsi"/>
          <w:i/>
          <w:iCs/>
          <w:noProof/>
          <w:sz w:val="24"/>
          <w:szCs w:val="24"/>
        </w:rPr>
        <w:t>Energizing Finance: Understanding the Landscape</w:t>
      </w:r>
      <w:r w:rsidRPr="00E53408">
        <w:rPr>
          <w:rFonts w:cstheme="minorHAnsi"/>
          <w:noProof/>
          <w:sz w:val="24"/>
          <w:szCs w:val="24"/>
        </w:rPr>
        <w:t>. https://www.seforall.org/system/files/2020-11/EF-2020-UL-SEforALL_0.pdf (2020).</w:t>
      </w:r>
    </w:p>
    <w:p w14:paraId="5EE37AA5"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34.</w:t>
      </w:r>
      <w:r w:rsidRPr="00E53408">
        <w:rPr>
          <w:rFonts w:cstheme="minorHAnsi"/>
          <w:noProof/>
          <w:sz w:val="24"/>
          <w:szCs w:val="24"/>
        </w:rPr>
        <w:tab/>
        <w:t xml:space="preserve">Andrijevic, M., Schleussner, C.-F., Gidden, M. J., McCollum, D. L. &amp; Rogelj, J. COVID-19 recovery funds dwarf clean energy investment needs. </w:t>
      </w:r>
      <w:r w:rsidRPr="00E53408">
        <w:rPr>
          <w:rFonts w:cstheme="minorHAnsi"/>
          <w:i/>
          <w:iCs/>
          <w:noProof/>
          <w:sz w:val="24"/>
          <w:szCs w:val="24"/>
        </w:rPr>
        <w:t>Science (80-. ).</w:t>
      </w:r>
      <w:r w:rsidRPr="00E53408">
        <w:rPr>
          <w:rFonts w:cstheme="minorHAnsi"/>
          <w:noProof/>
          <w:sz w:val="24"/>
          <w:szCs w:val="24"/>
        </w:rPr>
        <w:t xml:space="preserve"> </w:t>
      </w:r>
      <w:r w:rsidRPr="00E53408">
        <w:rPr>
          <w:rFonts w:cstheme="minorHAnsi"/>
          <w:b/>
          <w:bCs/>
          <w:noProof/>
          <w:sz w:val="24"/>
          <w:szCs w:val="24"/>
        </w:rPr>
        <w:t>370</w:t>
      </w:r>
      <w:r w:rsidRPr="00E53408">
        <w:rPr>
          <w:rFonts w:cstheme="minorHAnsi"/>
          <w:noProof/>
          <w:sz w:val="24"/>
          <w:szCs w:val="24"/>
        </w:rPr>
        <w:t>, 298–300 (2020).</w:t>
      </w:r>
    </w:p>
    <w:p w14:paraId="57E4F5E4"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35.</w:t>
      </w:r>
      <w:r w:rsidRPr="00E53408">
        <w:rPr>
          <w:rFonts w:cstheme="minorHAnsi"/>
          <w:noProof/>
          <w:sz w:val="24"/>
          <w:szCs w:val="24"/>
        </w:rPr>
        <w:tab/>
        <w:t xml:space="preserve">Sovacool, B. K., Furszyfer Del Rio, D. &amp; Griffiths, S. Contextualizing the Covid-19 pandemic for a carbon-constrained world: Insights for sustainability transitions, energy justice, and research methodology. </w:t>
      </w:r>
      <w:r w:rsidRPr="00E53408">
        <w:rPr>
          <w:rFonts w:cstheme="minorHAnsi"/>
          <w:i/>
          <w:iCs/>
          <w:noProof/>
          <w:sz w:val="24"/>
          <w:szCs w:val="24"/>
        </w:rPr>
        <w:t>Energy Res. Soc. Sci.</w:t>
      </w:r>
      <w:r w:rsidRPr="00E53408">
        <w:rPr>
          <w:rFonts w:cstheme="minorHAnsi"/>
          <w:noProof/>
          <w:sz w:val="24"/>
          <w:szCs w:val="24"/>
        </w:rPr>
        <w:t xml:space="preserve"> </w:t>
      </w:r>
      <w:r w:rsidRPr="00E53408">
        <w:rPr>
          <w:rFonts w:cstheme="minorHAnsi"/>
          <w:b/>
          <w:bCs/>
          <w:noProof/>
          <w:sz w:val="24"/>
          <w:szCs w:val="24"/>
        </w:rPr>
        <w:t>68</w:t>
      </w:r>
      <w:r w:rsidRPr="00E53408">
        <w:rPr>
          <w:rFonts w:cstheme="minorHAnsi"/>
          <w:noProof/>
          <w:sz w:val="24"/>
          <w:szCs w:val="24"/>
        </w:rPr>
        <w:t>, 101701 (2020).</w:t>
      </w:r>
    </w:p>
    <w:p w14:paraId="05B9FF87"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lastRenderedPageBreak/>
        <w:t>36.</w:t>
      </w:r>
      <w:r w:rsidRPr="00E53408">
        <w:rPr>
          <w:rFonts w:cstheme="minorHAnsi"/>
          <w:noProof/>
          <w:sz w:val="24"/>
          <w:szCs w:val="24"/>
        </w:rPr>
        <w:tab/>
        <w:t xml:space="preserve">Goldemberg, J., Martinez-Gomez, J., Sagar, A. &amp; Smith, K. R. Household air pollution, health, and climate change: cleaning the air. </w:t>
      </w:r>
      <w:r w:rsidRPr="00E53408">
        <w:rPr>
          <w:rFonts w:cstheme="minorHAnsi"/>
          <w:i/>
          <w:iCs/>
          <w:noProof/>
          <w:sz w:val="24"/>
          <w:szCs w:val="24"/>
        </w:rPr>
        <w:t>Environ. Res. Lett.</w:t>
      </w:r>
      <w:r w:rsidRPr="00E53408">
        <w:rPr>
          <w:rFonts w:cstheme="minorHAnsi"/>
          <w:noProof/>
          <w:sz w:val="24"/>
          <w:szCs w:val="24"/>
        </w:rPr>
        <w:t xml:space="preserve"> </w:t>
      </w:r>
      <w:r w:rsidRPr="00E53408">
        <w:rPr>
          <w:rFonts w:cstheme="minorHAnsi"/>
          <w:b/>
          <w:bCs/>
          <w:noProof/>
          <w:sz w:val="24"/>
          <w:szCs w:val="24"/>
        </w:rPr>
        <w:t>13</w:t>
      </w:r>
      <w:r w:rsidRPr="00E53408">
        <w:rPr>
          <w:rFonts w:cstheme="minorHAnsi"/>
          <w:noProof/>
          <w:sz w:val="24"/>
          <w:szCs w:val="24"/>
        </w:rPr>
        <w:t>, 30201 (2018).</w:t>
      </w:r>
    </w:p>
    <w:p w14:paraId="4B8C8D66"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37.</w:t>
      </w:r>
      <w:r w:rsidRPr="00E53408">
        <w:rPr>
          <w:rFonts w:cstheme="minorHAnsi"/>
          <w:noProof/>
          <w:sz w:val="24"/>
          <w:szCs w:val="24"/>
        </w:rPr>
        <w:tab/>
        <w:t xml:space="preserve">Tripathi, A. &amp; Sagar, A. </w:t>
      </w:r>
      <w:r w:rsidRPr="00E53408">
        <w:rPr>
          <w:rFonts w:cstheme="minorHAnsi"/>
          <w:i/>
          <w:iCs/>
          <w:noProof/>
          <w:sz w:val="24"/>
          <w:szCs w:val="24"/>
        </w:rPr>
        <w:t>Ujjwala, V2.0: What should be done next?</w:t>
      </w:r>
      <w:r w:rsidRPr="00E53408">
        <w:rPr>
          <w:rFonts w:cstheme="minorHAnsi"/>
          <w:noProof/>
          <w:sz w:val="24"/>
          <w:szCs w:val="24"/>
        </w:rPr>
        <w:t xml:space="preserve"> https://ccapc.org.in/s/Ujjwala-V20-Jun-19b.pdf (2019).</w:t>
      </w:r>
    </w:p>
    <w:p w14:paraId="6A195419"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38.</w:t>
      </w:r>
      <w:r w:rsidRPr="00E53408">
        <w:rPr>
          <w:rFonts w:cstheme="minorHAnsi"/>
          <w:noProof/>
          <w:sz w:val="24"/>
          <w:szCs w:val="24"/>
        </w:rPr>
        <w:tab/>
        <w:t xml:space="preserve">Cameron, C. </w:t>
      </w:r>
      <w:r w:rsidRPr="00E53408">
        <w:rPr>
          <w:rFonts w:cstheme="minorHAnsi"/>
          <w:i/>
          <w:iCs/>
          <w:noProof/>
          <w:sz w:val="24"/>
          <w:szCs w:val="24"/>
        </w:rPr>
        <w:t>et al.</w:t>
      </w:r>
      <w:r w:rsidRPr="00E53408">
        <w:rPr>
          <w:rFonts w:cstheme="minorHAnsi"/>
          <w:noProof/>
          <w:sz w:val="24"/>
          <w:szCs w:val="24"/>
        </w:rPr>
        <w:t xml:space="preserve"> Policy trade-offs between climate mitigation and clean cook-stove access in South Asia. </w:t>
      </w:r>
      <w:r w:rsidRPr="00E53408">
        <w:rPr>
          <w:rFonts w:cstheme="minorHAnsi"/>
          <w:i/>
          <w:iCs/>
          <w:noProof/>
          <w:sz w:val="24"/>
          <w:szCs w:val="24"/>
        </w:rPr>
        <w:t>Nat. Energy</w:t>
      </w:r>
      <w:r w:rsidRPr="00E53408">
        <w:rPr>
          <w:rFonts w:cstheme="minorHAnsi"/>
          <w:noProof/>
          <w:sz w:val="24"/>
          <w:szCs w:val="24"/>
        </w:rPr>
        <w:t xml:space="preserve"> </w:t>
      </w:r>
      <w:r w:rsidRPr="00E53408">
        <w:rPr>
          <w:rFonts w:cstheme="minorHAnsi"/>
          <w:b/>
          <w:bCs/>
          <w:noProof/>
          <w:sz w:val="24"/>
          <w:szCs w:val="24"/>
        </w:rPr>
        <w:t>1</w:t>
      </w:r>
      <w:r w:rsidRPr="00E53408">
        <w:rPr>
          <w:rFonts w:cstheme="minorHAnsi"/>
          <w:noProof/>
          <w:sz w:val="24"/>
          <w:szCs w:val="24"/>
        </w:rPr>
        <w:t>, 15010 (2016).</w:t>
      </w:r>
    </w:p>
    <w:p w14:paraId="68BC3F50"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39.</w:t>
      </w:r>
      <w:r w:rsidRPr="00E53408">
        <w:rPr>
          <w:rFonts w:cstheme="minorHAnsi"/>
          <w:noProof/>
          <w:sz w:val="24"/>
          <w:szCs w:val="24"/>
        </w:rPr>
        <w:tab/>
        <w:t xml:space="preserve">Batchelor, S. </w:t>
      </w:r>
      <w:r w:rsidRPr="00E53408">
        <w:rPr>
          <w:rFonts w:cstheme="minorHAnsi"/>
          <w:i/>
          <w:iCs/>
          <w:noProof/>
          <w:sz w:val="24"/>
          <w:szCs w:val="24"/>
        </w:rPr>
        <w:t>et al.</w:t>
      </w:r>
      <w:r w:rsidRPr="00E53408">
        <w:rPr>
          <w:rFonts w:cstheme="minorHAnsi"/>
          <w:noProof/>
          <w:sz w:val="24"/>
          <w:szCs w:val="24"/>
        </w:rPr>
        <w:t xml:space="preserve"> Solar e-Cooking: A Proposition for Solar Home System Integrated Clean Cooking. </w:t>
      </w:r>
      <w:r w:rsidRPr="00E53408">
        <w:rPr>
          <w:rFonts w:cstheme="minorHAnsi"/>
          <w:i/>
          <w:iCs/>
          <w:noProof/>
          <w:sz w:val="24"/>
          <w:szCs w:val="24"/>
        </w:rPr>
        <w:t>Energies</w:t>
      </w:r>
      <w:r w:rsidRPr="00E53408">
        <w:rPr>
          <w:rFonts w:cstheme="minorHAnsi"/>
          <w:noProof/>
          <w:sz w:val="24"/>
          <w:szCs w:val="24"/>
        </w:rPr>
        <w:t xml:space="preserve"> </w:t>
      </w:r>
      <w:r w:rsidRPr="00E53408">
        <w:rPr>
          <w:rFonts w:cstheme="minorHAnsi"/>
          <w:b/>
          <w:bCs/>
          <w:noProof/>
          <w:sz w:val="24"/>
          <w:szCs w:val="24"/>
        </w:rPr>
        <w:t>11</w:t>
      </w:r>
      <w:r w:rsidRPr="00E53408">
        <w:rPr>
          <w:rFonts w:cstheme="minorHAnsi"/>
          <w:noProof/>
          <w:sz w:val="24"/>
          <w:szCs w:val="24"/>
        </w:rPr>
        <w:t>, 2933 (2018).</w:t>
      </w:r>
    </w:p>
    <w:p w14:paraId="18D5C00C"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40.</w:t>
      </w:r>
      <w:r w:rsidRPr="00E53408">
        <w:rPr>
          <w:rFonts w:cstheme="minorHAnsi"/>
          <w:noProof/>
          <w:sz w:val="24"/>
          <w:szCs w:val="24"/>
        </w:rPr>
        <w:tab/>
        <w:t xml:space="preserve">Shupler, M. </w:t>
      </w:r>
      <w:r w:rsidRPr="00E53408">
        <w:rPr>
          <w:rFonts w:cstheme="minorHAnsi"/>
          <w:i/>
          <w:iCs/>
          <w:noProof/>
          <w:sz w:val="24"/>
          <w:szCs w:val="24"/>
        </w:rPr>
        <w:t>et al.</w:t>
      </w:r>
      <w:r w:rsidRPr="00E53408">
        <w:rPr>
          <w:rFonts w:cstheme="minorHAnsi"/>
          <w:noProof/>
          <w:sz w:val="24"/>
          <w:szCs w:val="24"/>
        </w:rPr>
        <w:t xml:space="preserve"> Pay-as-you-go liquefied petroleum gas supports sustainable clean cooking in Kenyan informal urban settlement during COVID-19 lockdown. </w:t>
      </w:r>
      <w:r w:rsidRPr="00E53408">
        <w:rPr>
          <w:rFonts w:cstheme="minorHAnsi"/>
          <w:i/>
          <w:iCs/>
          <w:noProof/>
          <w:sz w:val="24"/>
          <w:szCs w:val="24"/>
        </w:rPr>
        <w:t>Appl. Energy</w:t>
      </w:r>
      <w:r w:rsidRPr="00E53408">
        <w:rPr>
          <w:rFonts w:cstheme="minorHAnsi"/>
          <w:noProof/>
          <w:sz w:val="24"/>
          <w:szCs w:val="24"/>
        </w:rPr>
        <w:t xml:space="preserve"> </w:t>
      </w:r>
      <w:r w:rsidRPr="00E53408">
        <w:rPr>
          <w:rFonts w:cstheme="minorHAnsi"/>
          <w:b/>
          <w:bCs/>
          <w:noProof/>
          <w:sz w:val="24"/>
          <w:szCs w:val="24"/>
        </w:rPr>
        <w:t>292</w:t>
      </w:r>
      <w:r w:rsidRPr="00E53408">
        <w:rPr>
          <w:rFonts w:cstheme="minorHAnsi"/>
          <w:noProof/>
          <w:sz w:val="24"/>
          <w:szCs w:val="24"/>
        </w:rPr>
        <w:t>, 116769 (2021).</w:t>
      </w:r>
    </w:p>
    <w:p w14:paraId="5B3559FC"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41.</w:t>
      </w:r>
      <w:r w:rsidRPr="00E53408">
        <w:rPr>
          <w:rFonts w:cstheme="minorHAnsi"/>
          <w:noProof/>
          <w:sz w:val="24"/>
          <w:szCs w:val="24"/>
        </w:rPr>
        <w:tab/>
        <w:t xml:space="preserve">Barnes, B. </w:t>
      </w:r>
      <w:r w:rsidRPr="00E53408">
        <w:rPr>
          <w:rFonts w:cstheme="minorHAnsi"/>
          <w:i/>
          <w:iCs/>
          <w:noProof/>
          <w:sz w:val="24"/>
          <w:szCs w:val="24"/>
        </w:rPr>
        <w:t>et al.</w:t>
      </w:r>
      <w:r w:rsidRPr="00E53408">
        <w:rPr>
          <w:rFonts w:cstheme="minorHAnsi"/>
          <w:noProof/>
          <w:sz w:val="24"/>
          <w:szCs w:val="24"/>
        </w:rPr>
        <w:t xml:space="preserve"> Behavior Change Communication: A Key Ingredient for Advancing Clean Cooking. </w:t>
      </w:r>
      <w:r w:rsidRPr="00E53408">
        <w:rPr>
          <w:rFonts w:cstheme="minorHAnsi"/>
          <w:i/>
          <w:iCs/>
          <w:noProof/>
          <w:sz w:val="24"/>
          <w:szCs w:val="24"/>
        </w:rPr>
        <w:t>J. Health Commun.</w:t>
      </w:r>
      <w:r w:rsidRPr="00E53408">
        <w:rPr>
          <w:rFonts w:cstheme="minorHAnsi"/>
          <w:noProof/>
          <w:sz w:val="24"/>
          <w:szCs w:val="24"/>
        </w:rPr>
        <w:t xml:space="preserve"> </w:t>
      </w:r>
      <w:r w:rsidRPr="00E53408">
        <w:rPr>
          <w:rFonts w:cstheme="minorHAnsi"/>
          <w:b/>
          <w:bCs/>
          <w:noProof/>
          <w:sz w:val="24"/>
          <w:szCs w:val="24"/>
        </w:rPr>
        <w:t>20</w:t>
      </w:r>
      <w:r w:rsidRPr="00E53408">
        <w:rPr>
          <w:rFonts w:cstheme="minorHAnsi"/>
          <w:noProof/>
          <w:sz w:val="24"/>
          <w:szCs w:val="24"/>
        </w:rPr>
        <w:t>, 3–5 (2015).</w:t>
      </w:r>
    </w:p>
    <w:p w14:paraId="28C9F948"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42.</w:t>
      </w:r>
      <w:r w:rsidRPr="00E53408">
        <w:rPr>
          <w:rFonts w:cstheme="minorHAnsi"/>
          <w:noProof/>
          <w:sz w:val="24"/>
          <w:szCs w:val="24"/>
        </w:rPr>
        <w:tab/>
        <w:t xml:space="preserve">Krey, V. </w:t>
      </w:r>
      <w:r w:rsidRPr="00E53408">
        <w:rPr>
          <w:rFonts w:cstheme="minorHAnsi"/>
          <w:i/>
          <w:iCs/>
          <w:noProof/>
          <w:sz w:val="24"/>
          <w:szCs w:val="24"/>
        </w:rPr>
        <w:t>et al.</w:t>
      </w:r>
      <w:r w:rsidRPr="00E53408">
        <w:rPr>
          <w:rFonts w:cstheme="minorHAnsi"/>
          <w:noProof/>
          <w:sz w:val="24"/>
          <w:szCs w:val="24"/>
        </w:rPr>
        <w:t xml:space="preserve"> </w:t>
      </w:r>
      <w:r w:rsidRPr="00E53408">
        <w:rPr>
          <w:rFonts w:cstheme="minorHAnsi"/>
          <w:i/>
          <w:iCs/>
          <w:noProof/>
          <w:sz w:val="24"/>
          <w:szCs w:val="24"/>
        </w:rPr>
        <w:t>{MESSAGEix-GLOBIOM} Documentation - 2020 release</w:t>
      </w:r>
      <w:r w:rsidRPr="00E53408">
        <w:rPr>
          <w:rFonts w:cstheme="minorHAnsi"/>
          <w:noProof/>
          <w:sz w:val="24"/>
          <w:szCs w:val="24"/>
        </w:rPr>
        <w:t>. (2020) doi:10.22022/IACC/03-2021.17115.</w:t>
      </w:r>
    </w:p>
    <w:p w14:paraId="676D05BD"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43.</w:t>
      </w:r>
      <w:r w:rsidRPr="00E53408">
        <w:rPr>
          <w:rFonts w:cstheme="minorHAnsi"/>
          <w:noProof/>
          <w:sz w:val="24"/>
          <w:szCs w:val="24"/>
        </w:rPr>
        <w:tab/>
        <w:t xml:space="preserve">McFadden, D. A Method of Simulated Moments for Estimation of Discrete Response Models Without Numerical Integration. </w:t>
      </w:r>
      <w:r w:rsidRPr="00E53408">
        <w:rPr>
          <w:rFonts w:cstheme="minorHAnsi"/>
          <w:i/>
          <w:iCs/>
          <w:noProof/>
          <w:sz w:val="24"/>
          <w:szCs w:val="24"/>
        </w:rPr>
        <w:t>Econometrica</w:t>
      </w:r>
      <w:r w:rsidRPr="00E53408">
        <w:rPr>
          <w:rFonts w:cstheme="minorHAnsi"/>
          <w:noProof/>
          <w:sz w:val="24"/>
          <w:szCs w:val="24"/>
        </w:rPr>
        <w:t xml:space="preserve"> </w:t>
      </w:r>
      <w:r w:rsidRPr="00E53408">
        <w:rPr>
          <w:rFonts w:cstheme="minorHAnsi"/>
          <w:b/>
          <w:bCs/>
          <w:noProof/>
          <w:sz w:val="24"/>
          <w:szCs w:val="24"/>
        </w:rPr>
        <w:t>57</w:t>
      </w:r>
      <w:r w:rsidRPr="00E53408">
        <w:rPr>
          <w:rFonts w:cstheme="minorHAnsi"/>
          <w:noProof/>
          <w:sz w:val="24"/>
          <w:szCs w:val="24"/>
        </w:rPr>
        <w:t>, 995–1026 (1989).</w:t>
      </w:r>
    </w:p>
    <w:p w14:paraId="5C82018B"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44.</w:t>
      </w:r>
      <w:r w:rsidRPr="00E53408">
        <w:rPr>
          <w:rFonts w:cstheme="minorHAnsi"/>
          <w:noProof/>
          <w:sz w:val="24"/>
          <w:szCs w:val="24"/>
        </w:rPr>
        <w:tab/>
        <w:t xml:space="preserve">Gourieroux, C., Monfort, A. &amp; Renault, E. Indirect inference. </w:t>
      </w:r>
      <w:r w:rsidRPr="00E53408">
        <w:rPr>
          <w:rFonts w:cstheme="minorHAnsi"/>
          <w:i/>
          <w:iCs/>
          <w:noProof/>
          <w:sz w:val="24"/>
          <w:szCs w:val="24"/>
        </w:rPr>
        <w:t>J. Appl. Econom.</w:t>
      </w:r>
      <w:r w:rsidRPr="00E53408">
        <w:rPr>
          <w:rFonts w:cstheme="minorHAnsi"/>
          <w:noProof/>
          <w:sz w:val="24"/>
          <w:szCs w:val="24"/>
        </w:rPr>
        <w:t xml:space="preserve"> </w:t>
      </w:r>
      <w:r w:rsidRPr="00E53408">
        <w:rPr>
          <w:rFonts w:cstheme="minorHAnsi"/>
          <w:b/>
          <w:bCs/>
          <w:noProof/>
          <w:sz w:val="24"/>
          <w:szCs w:val="24"/>
        </w:rPr>
        <w:t>8</w:t>
      </w:r>
      <w:r w:rsidRPr="00E53408">
        <w:rPr>
          <w:rFonts w:cstheme="minorHAnsi"/>
          <w:noProof/>
          <w:sz w:val="24"/>
          <w:szCs w:val="24"/>
        </w:rPr>
        <w:t>, S85–S118 (1993).</w:t>
      </w:r>
    </w:p>
    <w:p w14:paraId="02822231"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45.</w:t>
      </w:r>
      <w:r w:rsidRPr="00E53408">
        <w:rPr>
          <w:rFonts w:cstheme="minorHAnsi"/>
          <w:noProof/>
          <w:sz w:val="24"/>
          <w:szCs w:val="24"/>
        </w:rPr>
        <w:tab/>
        <w:t xml:space="preserve">KC, S. &amp; Lutz, W. The human core of the shared socioeconomic pathways: Population scenarios by age, sex and level of education for all countries to 2100. </w:t>
      </w:r>
      <w:r w:rsidRPr="00E53408">
        <w:rPr>
          <w:rFonts w:cstheme="minorHAnsi"/>
          <w:i/>
          <w:iCs/>
          <w:noProof/>
          <w:sz w:val="24"/>
          <w:szCs w:val="24"/>
        </w:rPr>
        <w:t>Glob. Environ. Chang.</w:t>
      </w:r>
      <w:r w:rsidRPr="00E53408">
        <w:rPr>
          <w:rFonts w:cstheme="minorHAnsi"/>
          <w:noProof/>
          <w:sz w:val="24"/>
          <w:szCs w:val="24"/>
        </w:rPr>
        <w:t xml:space="preserve"> </w:t>
      </w:r>
      <w:r w:rsidRPr="00E53408">
        <w:rPr>
          <w:rFonts w:cstheme="minorHAnsi"/>
          <w:b/>
          <w:bCs/>
          <w:noProof/>
          <w:sz w:val="24"/>
          <w:szCs w:val="24"/>
        </w:rPr>
        <w:t>42</w:t>
      </w:r>
      <w:r w:rsidRPr="00E53408">
        <w:rPr>
          <w:rFonts w:cstheme="minorHAnsi"/>
          <w:noProof/>
          <w:sz w:val="24"/>
          <w:szCs w:val="24"/>
        </w:rPr>
        <w:t>, 181–192 (2017).</w:t>
      </w:r>
    </w:p>
    <w:p w14:paraId="55666C78"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46.</w:t>
      </w:r>
      <w:r w:rsidRPr="00E53408">
        <w:rPr>
          <w:rFonts w:cstheme="minorHAnsi"/>
          <w:noProof/>
          <w:sz w:val="24"/>
          <w:szCs w:val="24"/>
        </w:rPr>
        <w:tab/>
        <w:t xml:space="preserve">Jiang, L. &amp; O’Neill, B. C. Global urbanization projections for the Shared Socioeconomic Pathways. </w:t>
      </w:r>
      <w:r w:rsidRPr="00E53408">
        <w:rPr>
          <w:rFonts w:cstheme="minorHAnsi"/>
          <w:i/>
          <w:iCs/>
          <w:noProof/>
          <w:sz w:val="24"/>
          <w:szCs w:val="24"/>
        </w:rPr>
        <w:t>Glob. Environ. Chang.</w:t>
      </w:r>
      <w:r w:rsidRPr="00E53408">
        <w:rPr>
          <w:rFonts w:cstheme="minorHAnsi"/>
          <w:noProof/>
          <w:sz w:val="24"/>
          <w:szCs w:val="24"/>
        </w:rPr>
        <w:t xml:space="preserve"> </w:t>
      </w:r>
      <w:r w:rsidRPr="00E53408">
        <w:rPr>
          <w:rFonts w:cstheme="minorHAnsi"/>
          <w:b/>
          <w:bCs/>
          <w:noProof/>
          <w:sz w:val="24"/>
          <w:szCs w:val="24"/>
        </w:rPr>
        <w:t>42</w:t>
      </w:r>
      <w:r w:rsidRPr="00E53408">
        <w:rPr>
          <w:rFonts w:cstheme="minorHAnsi"/>
          <w:noProof/>
          <w:sz w:val="24"/>
          <w:szCs w:val="24"/>
        </w:rPr>
        <w:t>, 193–199 (2017).</w:t>
      </w:r>
    </w:p>
    <w:p w14:paraId="555C1A0D"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47.</w:t>
      </w:r>
      <w:r w:rsidRPr="00E53408">
        <w:rPr>
          <w:rFonts w:cstheme="minorHAnsi"/>
          <w:noProof/>
          <w:sz w:val="24"/>
          <w:szCs w:val="24"/>
        </w:rPr>
        <w:tab/>
        <w:t xml:space="preserve">Friedman, J. H. Stochastic gradient boosting. </w:t>
      </w:r>
      <w:r w:rsidRPr="00E53408">
        <w:rPr>
          <w:rFonts w:cstheme="minorHAnsi"/>
          <w:i/>
          <w:iCs/>
          <w:noProof/>
          <w:sz w:val="24"/>
          <w:szCs w:val="24"/>
        </w:rPr>
        <w:t>Comput. Stat. Data Anal.</w:t>
      </w:r>
      <w:r w:rsidRPr="00E53408">
        <w:rPr>
          <w:rFonts w:cstheme="minorHAnsi"/>
          <w:noProof/>
          <w:sz w:val="24"/>
          <w:szCs w:val="24"/>
        </w:rPr>
        <w:t xml:space="preserve"> </w:t>
      </w:r>
      <w:r w:rsidRPr="00E53408">
        <w:rPr>
          <w:rFonts w:cstheme="minorHAnsi"/>
          <w:b/>
          <w:bCs/>
          <w:noProof/>
          <w:sz w:val="24"/>
          <w:szCs w:val="24"/>
        </w:rPr>
        <w:t>38</w:t>
      </w:r>
      <w:r w:rsidRPr="00E53408">
        <w:rPr>
          <w:rFonts w:cstheme="minorHAnsi"/>
          <w:noProof/>
          <w:sz w:val="24"/>
          <w:szCs w:val="24"/>
        </w:rPr>
        <w:t>, 367–378 (2002).</w:t>
      </w:r>
    </w:p>
    <w:p w14:paraId="49604920"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48.</w:t>
      </w:r>
      <w:r w:rsidRPr="00E53408">
        <w:rPr>
          <w:rFonts w:cstheme="minorHAnsi"/>
          <w:noProof/>
          <w:sz w:val="24"/>
          <w:szCs w:val="24"/>
        </w:rPr>
        <w:tab/>
        <w:t xml:space="preserve">Rao, N. D., Sauer, P., Gidden, M. &amp; Riahi, K. Income inequality projections for the Shared Socioeconomic Pathways (SSPs). </w:t>
      </w:r>
      <w:r w:rsidRPr="00E53408">
        <w:rPr>
          <w:rFonts w:cstheme="minorHAnsi"/>
          <w:i/>
          <w:iCs/>
          <w:noProof/>
          <w:sz w:val="24"/>
          <w:szCs w:val="24"/>
        </w:rPr>
        <w:t>Futures</w:t>
      </w:r>
      <w:r w:rsidRPr="00E53408">
        <w:rPr>
          <w:rFonts w:cstheme="minorHAnsi"/>
          <w:noProof/>
          <w:sz w:val="24"/>
          <w:szCs w:val="24"/>
        </w:rPr>
        <w:t xml:space="preserve"> </w:t>
      </w:r>
      <w:r w:rsidRPr="00E53408">
        <w:rPr>
          <w:rFonts w:cstheme="minorHAnsi"/>
          <w:b/>
          <w:bCs/>
          <w:noProof/>
          <w:sz w:val="24"/>
          <w:szCs w:val="24"/>
        </w:rPr>
        <w:t>105</w:t>
      </w:r>
      <w:r w:rsidRPr="00E53408">
        <w:rPr>
          <w:rFonts w:cstheme="minorHAnsi"/>
          <w:noProof/>
          <w:sz w:val="24"/>
          <w:szCs w:val="24"/>
        </w:rPr>
        <w:t>, 27–39 (2019).</w:t>
      </w:r>
    </w:p>
    <w:p w14:paraId="0DE239C1" w14:textId="77777777" w:rsidR="00F43037" w:rsidRPr="00E53408" w:rsidRDefault="00F43037" w:rsidP="00F43037">
      <w:pPr>
        <w:widowControl w:val="0"/>
        <w:autoSpaceDE w:val="0"/>
        <w:autoSpaceDN w:val="0"/>
        <w:adjustRightInd w:val="0"/>
        <w:ind w:left="640" w:hanging="640"/>
        <w:rPr>
          <w:rFonts w:cstheme="minorHAnsi"/>
          <w:noProof/>
          <w:sz w:val="24"/>
          <w:szCs w:val="24"/>
        </w:rPr>
      </w:pPr>
      <w:r w:rsidRPr="00E53408">
        <w:rPr>
          <w:rFonts w:cstheme="minorHAnsi"/>
          <w:noProof/>
          <w:sz w:val="24"/>
          <w:szCs w:val="24"/>
        </w:rPr>
        <w:t>49.</w:t>
      </w:r>
      <w:r w:rsidRPr="00E53408">
        <w:rPr>
          <w:rFonts w:cstheme="minorHAnsi"/>
          <w:noProof/>
          <w:sz w:val="24"/>
          <w:szCs w:val="24"/>
        </w:rPr>
        <w:tab/>
        <w:t xml:space="preserve">World Bank. Global Outlook: Pandemic, Recession: The Global Economy in Crisis. in </w:t>
      </w:r>
      <w:r w:rsidRPr="00E53408">
        <w:rPr>
          <w:rFonts w:cstheme="minorHAnsi"/>
          <w:i/>
          <w:iCs/>
          <w:noProof/>
          <w:sz w:val="24"/>
          <w:szCs w:val="24"/>
        </w:rPr>
        <w:t>Global Economic Prospects</w:t>
      </w:r>
      <w:r w:rsidRPr="00E53408">
        <w:rPr>
          <w:rFonts w:cstheme="minorHAnsi"/>
          <w:noProof/>
          <w:sz w:val="24"/>
          <w:szCs w:val="24"/>
        </w:rPr>
        <w:t xml:space="preserve"> 1–66 (World Bank, 2020). doi:10.1596/978-1-4648-1553-9_ch1.</w:t>
      </w:r>
    </w:p>
    <w:p w14:paraId="12D2532A" w14:textId="2454C0C0" w:rsidR="004B07FC" w:rsidRPr="00E53408" w:rsidRDefault="00E375DA" w:rsidP="00B8535B">
      <w:pPr>
        <w:autoSpaceDE w:val="0"/>
        <w:autoSpaceDN w:val="0"/>
        <w:adjustRightInd w:val="0"/>
        <w:jc w:val="both"/>
        <w:rPr>
          <w:rFonts w:cstheme="minorHAnsi"/>
          <w:sz w:val="24"/>
          <w:szCs w:val="24"/>
        </w:rPr>
      </w:pPr>
      <w:r w:rsidRPr="00E53408">
        <w:rPr>
          <w:rFonts w:cstheme="minorHAnsi"/>
          <w:sz w:val="24"/>
          <w:szCs w:val="24"/>
        </w:rPr>
        <w:fldChar w:fldCharType="end"/>
      </w:r>
    </w:p>
    <w:p w14:paraId="139FAC90" w14:textId="2F292422" w:rsidR="009026AD" w:rsidRPr="000B75AE" w:rsidRDefault="009026AD">
      <w:pPr>
        <w:autoSpaceDE w:val="0"/>
        <w:autoSpaceDN w:val="0"/>
        <w:adjustRightInd w:val="0"/>
        <w:jc w:val="both"/>
        <w:rPr>
          <w:rFonts w:cstheme="minorHAnsi"/>
          <w:sz w:val="24"/>
          <w:szCs w:val="24"/>
        </w:rPr>
      </w:pPr>
    </w:p>
    <w:sectPr w:rsidR="009026AD" w:rsidRPr="000B75AE" w:rsidSect="008C064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0157" w14:textId="77777777" w:rsidR="004F4276" w:rsidRDefault="004F4276" w:rsidP="0009488A">
      <w:r>
        <w:separator/>
      </w:r>
    </w:p>
  </w:endnote>
  <w:endnote w:type="continuationSeparator" w:id="0">
    <w:p w14:paraId="00748883" w14:textId="77777777" w:rsidR="004F4276" w:rsidRDefault="004F4276" w:rsidP="0009488A">
      <w:r>
        <w:continuationSeparator/>
      </w:r>
    </w:p>
  </w:endnote>
  <w:endnote w:type="continuationNotice" w:id="1">
    <w:p w14:paraId="1F4FFB78" w14:textId="77777777" w:rsidR="004F4276" w:rsidRDefault="004F4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CD44" w14:textId="77777777" w:rsidR="004F4276" w:rsidRDefault="004F4276" w:rsidP="0009488A">
      <w:r>
        <w:separator/>
      </w:r>
    </w:p>
  </w:footnote>
  <w:footnote w:type="continuationSeparator" w:id="0">
    <w:p w14:paraId="691E35FB" w14:textId="77777777" w:rsidR="004F4276" w:rsidRDefault="004F4276" w:rsidP="0009488A">
      <w:r>
        <w:continuationSeparator/>
      </w:r>
    </w:p>
  </w:footnote>
  <w:footnote w:type="continuationNotice" w:id="1">
    <w:p w14:paraId="5D6C52C0" w14:textId="77777777" w:rsidR="004F4276" w:rsidRDefault="004F4276"/>
  </w:footnote>
  <w:footnote w:id="2">
    <w:p w14:paraId="6ADD90B3" w14:textId="152561BB" w:rsidR="0009488A" w:rsidRPr="004D1AB4" w:rsidRDefault="00835FE3">
      <w:pPr>
        <w:pStyle w:val="FootnoteText"/>
        <w:rPr>
          <w:rFonts w:cstheme="minorHAnsi"/>
          <w:sz w:val="18"/>
          <w:szCs w:val="18"/>
        </w:rPr>
      </w:pPr>
      <w:r w:rsidRPr="004D1AB4">
        <w:rPr>
          <w:sz w:val="18"/>
          <w:szCs w:val="18"/>
        </w:rPr>
        <w:t>*</w:t>
      </w:r>
      <w:r w:rsidR="006B3761" w:rsidRPr="004D1AB4">
        <w:rPr>
          <w:rFonts w:cstheme="minorHAnsi"/>
          <w:sz w:val="18"/>
          <w:szCs w:val="18"/>
        </w:rPr>
        <w:t xml:space="preserve">Corresponding author. Email: </w:t>
      </w:r>
      <w:hyperlink r:id="rId1" w:history="1">
        <w:r w:rsidRPr="004D1AB4">
          <w:rPr>
            <w:rStyle w:val="Hyperlink"/>
            <w:rFonts w:cstheme="minorHAnsi"/>
            <w:sz w:val="18"/>
            <w:szCs w:val="18"/>
          </w:rPr>
          <w:t>pachauri@iiasa.ac.at</w:t>
        </w:r>
      </w:hyperlink>
    </w:p>
    <w:p w14:paraId="53838056" w14:textId="35A29A95" w:rsidR="00835FE3" w:rsidRPr="004D1AB4" w:rsidRDefault="00835FE3" w:rsidP="00B100EE">
      <w:pPr>
        <w:autoSpaceDE w:val="0"/>
        <w:autoSpaceDN w:val="0"/>
        <w:adjustRightInd w:val="0"/>
        <w:rPr>
          <w:rFonts w:cstheme="minorHAnsi"/>
          <w:sz w:val="18"/>
          <w:szCs w:val="18"/>
        </w:rPr>
      </w:pPr>
      <w:r w:rsidRPr="004D1AB4">
        <w:rPr>
          <w:rStyle w:val="FootnoteReference"/>
          <w:rFonts w:cstheme="minorHAnsi"/>
          <w:sz w:val="18"/>
          <w:szCs w:val="18"/>
        </w:rPr>
        <w:footnoteRef/>
      </w:r>
      <w:r w:rsidRPr="004D1AB4">
        <w:rPr>
          <w:rFonts w:cstheme="minorHAnsi"/>
          <w:sz w:val="18"/>
          <w:szCs w:val="18"/>
        </w:rPr>
        <w:t>Energy, Climate, and Environment Program, International Institute of Applied Systems Analysis (IIASA),</w:t>
      </w:r>
      <w:r w:rsidR="00B100EE" w:rsidRPr="004D1AB4">
        <w:rPr>
          <w:rFonts w:cstheme="minorHAnsi"/>
          <w:sz w:val="18"/>
          <w:szCs w:val="18"/>
        </w:rPr>
        <w:t xml:space="preserve"> </w:t>
      </w:r>
      <w:r w:rsidRPr="004D1AB4">
        <w:rPr>
          <w:rFonts w:cstheme="minorHAnsi"/>
          <w:sz w:val="18"/>
          <w:szCs w:val="18"/>
        </w:rPr>
        <w:t>Laxenburg, Austria</w:t>
      </w:r>
    </w:p>
  </w:footnote>
  <w:footnote w:id="3">
    <w:p w14:paraId="123BE750" w14:textId="24BB6527" w:rsidR="00B100EE" w:rsidRPr="004D1AB4" w:rsidRDefault="00B100EE" w:rsidP="008D1407">
      <w:pPr>
        <w:pStyle w:val="FootnoteText"/>
        <w:rPr>
          <w:sz w:val="18"/>
          <w:szCs w:val="18"/>
        </w:rPr>
      </w:pPr>
      <w:r w:rsidRPr="004D1AB4">
        <w:rPr>
          <w:rStyle w:val="FootnoteReference"/>
          <w:sz w:val="18"/>
          <w:szCs w:val="18"/>
        </w:rPr>
        <w:footnoteRef/>
      </w:r>
      <w:r w:rsidR="008D1407" w:rsidRPr="004D1AB4">
        <w:rPr>
          <w:sz w:val="18"/>
          <w:szCs w:val="18"/>
        </w:rPr>
        <w:t>Population and Just Societies Program, International Institute of Applied Systems Analysis (IIASA), Laxenburg, Austria</w:t>
      </w:r>
    </w:p>
  </w:footnote>
  <w:footnote w:id="4">
    <w:p w14:paraId="50A7588A" w14:textId="56E93B2B" w:rsidR="004D1AB4" w:rsidRPr="004D1AB4" w:rsidRDefault="004D1AB4">
      <w:pPr>
        <w:pStyle w:val="FootnoteText"/>
        <w:rPr>
          <w:sz w:val="18"/>
          <w:szCs w:val="18"/>
        </w:rPr>
      </w:pPr>
      <w:r w:rsidRPr="004D1AB4">
        <w:rPr>
          <w:rStyle w:val="FootnoteReference"/>
          <w:sz w:val="18"/>
          <w:szCs w:val="18"/>
        </w:rPr>
        <w:footnoteRef/>
      </w:r>
      <w:r w:rsidRPr="004D1AB4">
        <w:rPr>
          <w:sz w:val="18"/>
          <w:szCs w:val="18"/>
        </w:rPr>
        <w:t>Climate Analytics, Berlin, Germany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7A"/>
    <w:rsid w:val="00000A4B"/>
    <w:rsid w:val="00002D15"/>
    <w:rsid w:val="00003264"/>
    <w:rsid w:val="00010403"/>
    <w:rsid w:val="0001346A"/>
    <w:rsid w:val="000136ED"/>
    <w:rsid w:val="00015176"/>
    <w:rsid w:val="000155D6"/>
    <w:rsid w:val="00017183"/>
    <w:rsid w:val="00021226"/>
    <w:rsid w:val="00021B9B"/>
    <w:rsid w:val="00024428"/>
    <w:rsid w:val="000277C5"/>
    <w:rsid w:val="00027B3C"/>
    <w:rsid w:val="00030E05"/>
    <w:rsid w:val="0003151A"/>
    <w:rsid w:val="00032A66"/>
    <w:rsid w:val="00035F33"/>
    <w:rsid w:val="00037C12"/>
    <w:rsid w:val="00037D27"/>
    <w:rsid w:val="00044B7E"/>
    <w:rsid w:val="000458DA"/>
    <w:rsid w:val="00045C12"/>
    <w:rsid w:val="00053297"/>
    <w:rsid w:val="00054A81"/>
    <w:rsid w:val="000606B4"/>
    <w:rsid w:val="00060E40"/>
    <w:rsid w:val="00061263"/>
    <w:rsid w:val="0006314B"/>
    <w:rsid w:val="000669B5"/>
    <w:rsid w:val="00070DA4"/>
    <w:rsid w:val="00074E1C"/>
    <w:rsid w:val="00083573"/>
    <w:rsid w:val="000843B6"/>
    <w:rsid w:val="000912B9"/>
    <w:rsid w:val="000914B8"/>
    <w:rsid w:val="0009488A"/>
    <w:rsid w:val="0009791D"/>
    <w:rsid w:val="000A23D2"/>
    <w:rsid w:val="000A33C7"/>
    <w:rsid w:val="000A6A13"/>
    <w:rsid w:val="000A7239"/>
    <w:rsid w:val="000A7516"/>
    <w:rsid w:val="000B4609"/>
    <w:rsid w:val="000B75AE"/>
    <w:rsid w:val="000B7A46"/>
    <w:rsid w:val="000C28C5"/>
    <w:rsid w:val="000C2A0A"/>
    <w:rsid w:val="000C45A7"/>
    <w:rsid w:val="000C6043"/>
    <w:rsid w:val="000C6596"/>
    <w:rsid w:val="000D09CE"/>
    <w:rsid w:val="000D1C92"/>
    <w:rsid w:val="000D36F3"/>
    <w:rsid w:val="000E322F"/>
    <w:rsid w:val="000E4624"/>
    <w:rsid w:val="000E6D4D"/>
    <w:rsid w:val="000F00A6"/>
    <w:rsid w:val="000F0854"/>
    <w:rsid w:val="000F303D"/>
    <w:rsid w:val="000F3215"/>
    <w:rsid w:val="000F3713"/>
    <w:rsid w:val="000F400D"/>
    <w:rsid w:val="00102C9A"/>
    <w:rsid w:val="0010530C"/>
    <w:rsid w:val="00111386"/>
    <w:rsid w:val="001116B5"/>
    <w:rsid w:val="00112577"/>
    <w:rsid w:val="00112636"/>
    <w:rsid w:val="00113EC3"/>
    <w:rsid w:val="00113F52"/>
    <w:rsid w:val="001174A7"/>
    <w:rsid w:val="0012480D"/>
    <w:rsid w:val="001349FC"/>
    <w:rsid w:val="00140089"/>
    <w:rsid w:val="0014296C"/>
    <w:rsid w:val="001520D2"/>
    <w:rsid w:val="00154AEC"/>
    <w:rsid w:val="00155D35"/>
    <w:rsid w:val="0016298D"/>
    <w:rsid w:val="00163811"/>
    <w:rsid w:val="001719A3"/>
    <w:rsid w:val="00175ABA"/>
    <w:rsid w:val="00180508"/>
    <w:rsid w:val="00180B88"/>
    <w:rsid w:val="001847E5"/>
    <w:rsid w:val="0018670B"/>
    <w:rsid w:val="0019474E"/>
    <w:rsid w:val="00196BF7"/>
    <w:rsid w:val="00196CB2"/>
    <w:rsid w:val="00196EFF"/>
    <w:rsid w:val="00197501"/>
    <w:rsid w:val="001B0838"/>
    <w:rsid w:val="001B1C9D"/>
    <w:rsid w:val="001B2C9B"/>
    <w:rsid w:val="001B42AB"/>
    <w:rsid w:val="001B790F"/>
    <w:rsid w:val="001C19C5"/>
    <w:rsid w:val="001C635E"/>
    <w:rsid w:val="001D0F7D"/>
    <w:rsid w:val="001D3E19"/>
    <w:rsid w:val="001D4B29"/>
    <w:rsid w:val="001D56DD"/>
    <w:rsid w:val="001D6C22"/>
    <w:rsid w:val="001D7853"/>
    <w:rsid w:val="001D78A7"/>
    <w:rsid w:val="001D7E70"/>
    <w:rsid w:val="001E03F2"/>
    <w:rsid w:val="001E5E89"/>
    <w:rsid w:val="001E79A9"/>
    <w:rsid w:val="001F0A2B"/>
    <w:rsid w:val="001F2227"/>
    <w:rsid w:val="001F2A0C"/>
    <w:rsid w:val="001F61AB"/>
    <w:rsid w:val="00203164"/>
    <w:rsid w:val="002054A1"/>
    <w:rsid w:val="0020738F"/>
    <w:rsid w:val="00207C0F"/>
    <w:rsid w:val="0021129B"/>
    <w:rsid w:val="00211C84"/>
    <w:rsid w:val="00212459"/>
    <w:rsid w:val="00217BCF"/>
    <w:rsid w:val="0022146D"/>
    <w:rsid w:val="00225E81"/>
    <w:rsid w:val="00227E1B"/>
    <w:rsid w:val="00230CA5"/>
    <w:rsid w:val="00230E60"/>
    <w:rsid w:val="00233887"/>
    <w:rsid w:val="0024060B"/>
    <w:rsid w:val="00241B3C"/>
    <w:rsid w:val="002457DC"/>
    <w:rsid w:val="00245834"/>
    <w:rsid w:val="002500ED"/>
    <w:rsid w:val="002501CE"/>
    <w:rsid w:val="00250DEB"/>
    <w:rsid w:val="00250F59"/>
    <w:rsid w:val="00251B8E"/>
    <w:rsid w:val="0025439A"/>
    <w:rsid w:val="00260484"/>
    <w:rsid w:val="002606FF"/>
    <w:rsid w:val="00263CA7"/>
    <w:rsid w:val="002654B2"/>
    <w:rsid w:val="002655D5"/>
    <w:rsid w:val="00267FF2"/>
    <w:rsid w:val="002715DD"/>
    <w:rsid w:val="002739FA"/>
    <w:rsid w:val="0027421E"/>
    <w:rsid w:val="002743FF"/>
    <w:rsid w:val="0027772D"/>
    <w:rsid w:val="002821E9"/>
    <w:rsid w:val="002854DE"/>
    <w:rsid w:val="0029238F"/>
    <w:rsid w:val="00292702"/>
    <w:rsid w:val="002943E7"/>
    <w:rsid w:val="00295864"/>
    <w:rsid w:val="002A4642"/>
    <w:rsid w:val="002A5759"/>
    <w:rsid w:val="002A6C10"/>
    <w:rsid w:val="002B0290"/>
    <w:rsid w:val="002B0905"/>
    <w:rsid w:val="002B10D9"/>
    <w:rsid w:val="002B13C5"/>
    <w:rsid w:val="002B21D1"/>
    <w:rsid w:val="002B2C6D"/>
    <w:rsid w:val="002B30B0"/>
    <w:rsid w:val="002B3EE9"/>
    <w:rsid w:val="002C0761"/>
    <w:rsid w:val="002C13FE"/>
    <w:rsid w:val="002C3DC5"/>
    <w:rsid w:val="002C6C81"/>
    <w:rsid w:val="002C76EC"/>
    <w:rsid w:val="002D115F"/>
    <w:rsid w:val="002D1A7C"/>
    <w:rsid w:val="002D500A"/>
    <w:rsid w:val="002D79AD"/>
    <w:rsid w:val="002E0490"/>
    <w:rsid w:val="002E0D9A"/>
    <w:rsid w:val="002E149B"/>
    <w:rsid w:val="002E6AED"/>
    <w:rsid w:val="002F03DF"/>
    <w:rsid w:val="002F5648"/>
    <w:rsid w:val="002F7E3B"/>
    <w:rsid w:val="003038A2"/>
    <w:rsid w:val="00303B6E"/>
    <w:rsid w:val="00306BA3"/>
    <w:rsid w:val="00313747"/>
    <w:rsid w:val="0031656D"/>
    <w:rsid w:val="00316644"/>
    <w:rsid w:val="00316694"/>
    <w:rsid w:val="00322363"/>
    <w:rsid w:val="003224FD"/>
    <w:rsid w:val="00322CD5"/>
    <w:rsid w:val="00331154"/>
    <w:rsid w:val="00331991"/>
    <w:rsid w:val="00331C16"/>
    <w:rsid w:val="00334382"/>
    <w:rsid w:val="00334F35"/>
    <w:rsid w:val="00335E54"/>
    <w:rsid w:val="00337031"/>
    <w:rsid w:val="00340438"/>
    <w:rsid w:val="00342997"/>
    <w:rsid w:val="00354AB3"/>
    <w:rsid w:val="003612D0"/>
    <w:rsid w:val="00361649"/>
    <w:rsid w:val="00376261"/>
    <w:rsid w:val="00377A61"/>
    <w:rsid w:val="00380E3A"/>
    <w:rsid w:val="0038285D"/>
    <w:rsid w:val="003874FC"/>
    <w:rsid w:val="003918C7"/>
    <w:rsid w:val="003A0B6D"/>
    <w:rsid w:val="003A2707"/>
    <w:rsid w:val="003A7C2D"/>
    <w:rsid w:val="003B05C0"/>
    <w:rsid w:val="003B075F"/>
    <w:rsid w:val="003B0B23"/>
    <w:rsid w:val="003B27CC"/>
    <w:rsid w:val="003B64BB"/>
    <w:rsid w:val="003B6C8D"/>
    <w:rsid w:val="003B7614"/>
    <w:rsid w:val="003C2B94"/>
    <w:rsid w:val="003C516B"/>
    <w:rsid w:val="003C768F"/>
    <w:rsid w:val="003D599A"/>
    <w:rsid w:val="003D5CE2"/>
    <w:rsid w:val="003D6D36"/>
    <w:rsid w:val="003D7EF3"/>
    <w:rsid w:val="003E01FA"/>
    <w:rsid w:val="003E25F7"/>
    <w:rsid w:val="003E2683"/>
    <w:rsid w:val="003E5621"/>
    <w:rsid w:val="003E7D74"/>
    <w:rsid w:val="003F0955"/>
    <w:rsid w:val="003F25B4"/>
    <w:rsid w:val="003F3ADA"/>
    <w:rsid w:val="0040104E"/>
    <w:rsid w:val="0040273A"/>
    <w:rsid w:val="00404FC6"/>
    <w:rsid w:val="0040529D"/>
    <w:rsid w:val="0040534F"/>
    <w:rsid w:val="00405EC7"/>
    <w:rsid w:val="00411A64"/>
    <w:rsid w:val="00412E7B"/>
    <w:rsid w:val="0041403E"/>
    <w:rsid w:val="004140DF"/>
    <w:rsid w:val="00415B6D"/>
    <w:rsid w:val="00416050"/>
    <w:rsid w:val="004204E6"/>
    <w:rsid w:val="00420B52"/>
    <w:rsid w:val="00423D10"/>
    <w:rsid w:val="00431688"/>
    <w:rsid w:val="004332CF"/>
    <w:rsid w:val="004340B1"/>
    <w:rsid w:val="00442A5E"/>
    <w:rsid w:val="00446C9E"/>
    <w:rsid w:val="00451705"/>
    <w:rsid w:val="00451CCD"/>
    <w:rsid w:val="0045404B"/>
    <w:rsid w:val="004556C5"/>
    <w:rsid w:val="00464199"/>
    <w:rsid w:val="004647CC"/>
    <w:rsid w:val="004667B7"/>
    <w:rsid w:val="0047025A"/>
    <w:rsid w:val="00470355"/>
    <w:rsid w:val="0047302B"/>
    <w:rsid w:val="004742D3"/>
    <w:rsid w:val="00475451"/>
    <w:rsid w:val="00477FD5"/>
    <w:rsid w:val="00480EF2"/>
    <w:rsid w:val="00481310"/>
    <w:rsid w:val="00481FD3"/>
    <w:rsid w:val="00482EB6"/>
    <w:rsid w:val="00485553"/>
    <w:rsid w:val="00487FBB"/>
    <w:rsid w:val="00491110"/>
    <w:rsid w:val="00492E7E"/>
    <w:rsid w:val="00493A18"/>
    <w:rsid w:val="004949A5"/>
    <w:rsid w:val="004951EB"/>
    <w:rsid w:val="00497383"/>
    <w:rsid w:val="004A0C7C"/>
    <w:rsid w:val="004A1246"/>
    <w:rsid w:val="004A5063"/>
    <w:rsid w:val="004A63AC"/>
    <w:rsid w:val="004A6CB6"/>
    <w:rsid w:val="004B07FC"/>
    <w:rsid w:val="004B6BD4"/>
    <w:rsid w:val="004C1AA9"/>
    <w:rsid w:val="004C56F2"/>
    <w:rsid w:val="004C5C09"/>
    <w:rsid w:val="004C7D40"/>
    <w:rsid w:val="004D12BA"/>
    <w:rsid w:val="004D1462"/>
    <w:rsid w:val="004D1991"/>
    <w:rsid w:val="004D1AB4"/>
    <w:rsid w:val="004D4BCF"/>
    <w:rsid w:val="004D7986"/>
    <w:rsid w:val="004E2276"/>
    <w:rsid w:val="004E2660"/>
    <w:rsid w:val="004E7B24"/>
    <w:rsid w:val="004F163C"/>
    <w:rsid w:val="004F3C22"/>
    <w:rsid w:val="004F4276"/>
    <w:rsid w:val="004F486C"/>
    <w:rsid w:val="004F4E9F"/>
    <w:rsid w:val="0050055F"/>
    <w:rsid w:val="0050143A"/>
    <w:rsid w:val="00501BED"/>
    <w:rsid w:val="00506397"/>
    <w:rsid w:val="005064C3"/>
    <w:rsid w:val="00506663"/>
    <w:rsid w:val="0050739B"/>
    <w:rsid w:val="00510281"/>
    <w:rsid w:val="005120C8"/>
    <w:rsid w:val="00516090"/>
    <w:rsid w:val="00516C0C"/>
    <w:rsid w:val="0052364D"/>
    <w:rsid w:val="00525219"/>
    <w:rsid w:val="00526383"/>
    <w:rsid w:val="00527CD9"/>
    <w:rsid w:val="005343D5"/>
    <w:rsid w:val="00535D0B"/>
    <w:rsid w:val="00540E57"/>
    <w:rsid w:val="00554F05"/>
    <w:rsid w:val="005571AF"/>
    <w:rsid w:val="005578A6"/>
    <w:rsid w:val="00557933"/>
    <w:rsid w:val="00561E8A"/>
    <w:rsid w:val="00563E00"/>
    <w:rsid w:val="00566176"/>
    <w:rsid w:val="00566450"/>
    <w:rsid w:val="00567B60"/>
    <w:rsid w:val="00570359"/>
    <w:rsid w:val="0057406D"/>
    <w:rsid w:val="00574513"/>
    <w:rsid w:val="00581623"/>
    <w:rsid w:val="0058396B"/>
    <w:rsid w:val="00583EA4"/>
    <w:rsid w:val="00584026"/>
    <w:rsid w:val="00585BFD"/>
    <w:rsid w:val="00592689"/>
    <w:rsid w:val="00595979"/>
    <w:rsid w:val="00596CCF"/>
    <w:rsid w:val="00597154"/>
    <w:rsid w:val="005A11A0"/>
    <w:rsid w:val="005A4A60"/>
    <w:rsid w:val="005A623D"/>
    <w:rsid w:val="005B1F18"/>
    <w:rsid w:val="005B1F80"/>
    <w:rsid w:val="005B7D07"/>
    <w:rsid w:val="005C1B8A"/>
    <w:rsid w:val="005C328A"/>
    <w:rsid w:val="005C3C28"/>
    <w:rsid w:val="005C5038"/>
    <w:rsid w:val="005C5E29"/>
    <w:rsid w:val="005C7938"/>
    <w:rsid w:val="005D18E8"/>
    <w:rsid w:val="005D2125"/>
    <w:rsid w:val="005D272C"/>
    <w:rsid w:val="005D4CB9"/>
    <w:rsid w:val="005D5288"/>
    <w:rsid w:val="005D6C8B"/>
    <w:rsid w:val="005E0991"/>
    <w:rsid w:val="005E3D76"/>
    <w:rsid w:val="005F2819"/>
    <w:rsid w:val="005F40D9"/>
    <w:rsid w:val="005F594A"/>
    <w:rsid w:val="005F61C7"/>
    <w:rsid w:val="0060121A"/>
    <w:rsid w:val="00601AAC"/>
    <w:rsid w:val="00602C8B"/>
    <w:rsid w:val="00602CF5"/>
    <w:rsid w:val="006100F0"/>
    <w:rsid w:val="00610280"/>
    <w:rsid w:val="0061503F"/>
    <w:rsid w:val="00615F2D"/>
    <w:rsid w:val="00617BA9"/>
    <w:rsid w:val="00621502"/>
    <w:rsid w:val="006236DB"/>
    <w:rsid w:val="00626435"/>
    <w:rsid w:val="00627BE0"/>
    <w:rsid w:val="00627E4C"/>
    <w:rsid w:val="00630B97"/>
    <w:rsid w:val="00631048"/>
    <w:rsid w:val="006315AE"/>
    <w:rsid w:val="0063292C"/>
    <w:rsid w:val="00633565"/>
    <w:rsid w:val="006379DB"/>
    <w:rsid w:val="00642028"/>
    <w:rsid w:val="00642F61"/>
    <w:rsid w:val="00644233"/>
    <w:rsid w:val="0064680C"/>
    <w:rsid w:val="0065237F"/>
    <w:rsid w:val="00657980"/>
    <w:rsid w:val="006579F5"/>
    <w:rsid w:val="00664E25"/>
    <w:rsid w:val="0067107C"/>
    <w:rsid w:val="00672A7C"/>
    <w:rsid w:val="006739DC"/>
    <w:rsid w:val="00680DAB"/>
    <w:rsid w:val="006823A6"/>
    <w:rsid w:val="006825CE"/>
    <w:rsid w:val="00684469"/>
    <w:rsid w:val="00684C66"/>
    <w:rsid w:val="00684CE2"/>
    <w:rsid w:val="006904C3"/>
    <w:rsid w:val="00695CF8"/>
    <w:rsid w:val="006960EA"/>
    <w:rsid w:val="006A4791"/>
    <w:rsid w:val="006B22C1"/>
    <w:rsid w:val="006B2CDF"/>
    <w:rsid w:val="006B3761"/>
    <w:rsid w:val="006B445C"/>
    <w:rsid w:val="006B52D1"/>
    <w:rsid w:val="006C0CE2"/>
    <w:rsid w:val="006C15A4"/>
    <w:rsid w:val="006C363C"/>
    <w:rsid w:val="006C3DB5"/>
    <w:rsid w:val="006C5978"/>
    <w:rsid w:val="006C5E78"/>
    <w:rsid w:val="006C61F2"/>
    <w:rsid w:val="006C7017"/>
    <w:rsid w:val="006D1C45"/>
    <w:rsid w:val="006E12C3"/>
    <w:rsid w:val="006E413B"/>
    <w:rsid w:val="006E6237"/>
    <w:rsid w:val="006F0CD5"/>
    <w:rsid w:val="006F3037"/>
    <w:rsid w:val="006F5CE0"/>
    <w:rsid w:val="006F6BAD"/>
    <w:rsid w:val="007064F6"/>
    <w:rsid w:val="00706F8B"/>
    <w:rsid w:val="007118DC"/>
    <w:rsid w:val="00713041"/>
    <w:rsid w:val="00723288"/>
    <w:rsid w:val="0072331E"/>
    <w:rsid w:val="00725640"/>
    <w:rsid w:val="00725688"/>
    <w:rsid w:val="0073161E"/>
    <w:rsid w:val="00732C1A"/>
    <w:rsid w:val="00733BEF"/>
    <w:rsid w:val="0073518E"/>
    <w:rsid w:val="0073595E"/>
    <w:rsid w:val="00736201"/>
    <w:rsid w:val="007365E6"/>
    <w:rsid w:val="007418DB"/>
    <w:rsid w:val="00742FCE"/>
    <w:rsid w:val="00743873"/>
    <w:rsid w:val="007449FF"/>
    <w:rsid w:val="00745640"/>
    <w:rsid w:val="007461AB"/>
    <w:rsid w:val="00746EDC"/>
    <w:rsid w:val="00746FD4"/>
    <w:rsid w:val="00752F1B"/>
    <w:rsid w:val="00754F83"/>
    <w:rsid w:val="00755107"/>
    <w:rsid w:val="00755EFB"/>
    <w:rsid w:val="0076277A"/>
    <w:rsid w:val="0076466A"/>
    <w:rsid w:val="007663E3"/>
    <w:rsid w:val="007666A3"/>
    <w:rsid w:val="007710A6"/>
    <w:rsid w:val="00773F6B"/>
    <w:rsid w:val="00780E97"/>
    <w:rsid w:val="00783033"/>
    <w:rsid w:val="00783493"/>
    <w:rsid w:val="00784425"/>
    <w:rsid w:val="007857DF"/>
    <w:rsid w:val="00791D17"/>
    <w:rsid w:val="0079545E"/>
    <w:rsid w:val="00796F67"/>
    <w:rsid w:val="0079710F"/>
    <w:rsid w:val="007A0D9E"/>
    <w:rsid w:val="007A11C8"/>
    <w:rsid w:val="007A13EB"/>
    <w:rsid w:val="007A2C1E"/>
    <w:rsid w:val="007A3B23"/>
    <w:rsid w:val="007A4AB9"/>
    <w:rsid w:val="007A6694"/>
    <w:rsid w:val="007A6B19"/>
    <w:rsid w:val="007B1D91"/>
    <w:rsid w:val="007B2417"/>
    <w:rsid w:val="007B27C9"/>
    <w:rsid w:val="007B4478"/>
    <w:rsid w:val="007B7AA1"/>
    <w:rsid w:val="007C22D3"/>
    <w:rsid w:val="007C2D37"/>
    <w:rsid w:val="007C4765"/>
    <w:rsid w:val="007C695A"/>
    <w:rsid w:val="007C6F3A"/>
    <w:rsid w:val="007D4E59"/>
    <w:rsid w:val="007D600B"/>
    <w:rsid w:val="007E02BF"/>
    <w:rsid w:val="007E28D6"/>
    <w:rsid w:val="007E2A8B"/>
    <w:rsid w:val="007E6144"/>
    <w:rsid w:val="00803447"/>
    <w:rsid w:val="008039A6"/>
    <w:rsid w:val="00803BBF"/>
    <w:rsid w:val="00806FD9"/>
    <w:rsid w:val="0081024D"/>
    <w:rsid w:val="00811393"/>
    <w:rsid w:val="00815E70"/>
    <w:rsid w:val="0081716F"/>
    <w:rsid w:val="00820CEA"/>
    <w:rsid w:val="00822F9A"/>
    <w:rsid w:val="00823C32"/>
    <w:rsid w:val="00824221"/>
    <w:rsid w:val="00825804"/>
    <w:rsid w:val="00833624"/>
    <w:rsid w:val="00834305"/>
    <w:rsid w:val="00835AA7"/>
    <w:rsid w:val="00835FE3"/>
    <w:rsid w:val="00841277"/>
    <w:rsid w:val="008412C4"/>
    <w:rsid w:val="00843FBE"/>
    <w:rsid w:val="008453D5"/>
    <w:rsid w:val="008461D8"/>
    <w:rsid w:val="008464FB"/>
    <w:rsid w:val="008467CB"/>
    <w:rsid w:val="0084757B"/>
    <w:rsid w:val="008478DE"/>
    <w:rsid w:val="0085166C"/>
    <w:rsid w:val="00854849"/>
    <w:rsid w:val="00855679"/>
    <w:rsid w:val="00856108"/>
    <w:rsid w:val="0085751B"/>
    <w:rsid w:val="00857DD0"/>
    <w:rsid w:val="00862FBC"/>
    <w:rsid w:val="008638B6"/>
    <w:rsid w:val="0086429D"/>
    <w:rsid w:val="00866F42"/>
    <w:rsid w:val="008716C1"/>
    <w:rsid w:val="00871CAA"/>
    <w:rsid w:val="008803C1"/>
    <w:rsid w:val="00883922"/>
    <w:rsid w:val="008911D0"/>
    <w:rsid w:val="00897115"/>
    <w:rsid w:val="008974F6"/>
    <w:rsid w:val="008A1DD5"/>
    <w:rsid w:val="008A29C1"/>
    <w:rsid w:val="008A30D1"/>
    <w:rsid w:val="008A31EE"/>
    <w:rsid w:val="008A4C07"/>
    <w:rsid w:val="008A5618"/>
    <w:rsid w:val="008A705F"/>
    <w:rsid w:val="008A741C"/>
    <w:rsid w:val="008A7C78"/>
    <w:rsid w:val="008B22D7"/>
    <w:rsid w:val="008B522A"/>
    <w:rsid w:val="008B6AF6"/>
    <w:rsid w:val="008B7BAA"/>
    <w:rsid w:val="008C0645"/>
    <w:rsid w:val="008C0E98"/>
    <w:rsid w:val="008C238C"/>
    <w:rsid w:val="008C28FA"/>
    <w:rsid w:val="008C37E5"/>
    <w:rsid w:val="008C530E"/>
    <w:rsid w:val="008C5A6C"/>
    <w:rsid w:val="008C5BC7"/>
    <w:rsid w:val="008D065A"/>
    <w:rsid w:val="008D1407"/>
    <w:rsid w:val="008D23A2"/>
    <w:rsid w:val="008D551D"/>
    <w:rsid w:val="008D5A3C"/>
    <w:rsid w:val="008D6F51"/>
    <w:rsid w:val="008E1531"/>
    <w:rsid w:val="008E2FE9"/>
    <w:rsid w:val="008E517E"/>
    <w:rsid w:val="008E72BE"/>
    <w:rsid w:val="008E771C"/>
    <w:rsid w:val="008F0BB8"/>
    <w:rsid w:val="008F274B"/>
    <w:rsid w:val="008F3845"/>
    <w:rsid w:val="008F4076"/>
    <w:rsid w:val="008F4280"/>
    <w:rsid w:val="009013BE"/>
    <w:rsid w:val="009026AD"/>
    <w:rsid w:val="009040EB"/>
    <w:rsid w:val="009048D9"/>
    <w:rsid w:val="00904B70"/>
    <w:rsid w:val="0090762D"/>
    <w:rsid w:val="00910C56"/>
    <w:rsid w:val="00911CA9"/>
    <w:rsid w:val="00913512"/>
    <w:rsid w:val="00914815"/>
    <w:rsid w:val="009173A3"/>
    <w:rsid w:val="00917431"/>
    <w:rsid w:val="00920204"/>
    <w:rsid w:val="00920E2A"/>
    <w:rsid w:val="009222CB"/>
    <w:rsid w:val="00925350"/>
    <w:rsid w:val="009261A6"/>
    <w:rsid w:val="00926F9B"/>
    <w:rsid w:val="009274E6"/>
    <w:rsid w:val="00927E36"/>
    <w:rsid w:val="00934406"/>
    <w:rsid w:val="009400E9"/>
    <w:rsid w:val="009407F0"/>
    <w:rsid w:val="00943546"/>
    <w:rsid w:val="00946198"/>
    <w:rsid w:val="009477D5"/>
    <w:rsid w:val="00947B6F"/>
    <w:rsid w:val="0095052F"/>
    <w:rsid w:val="00950B1E"/>
    <w:rsid w:val="00951DCA"/>
    <w:rsid w:val="00953722"/>
    <w:rsid w:val="009549BB"/>
    <w:rsid w:val="00956060"/>
    <w:rsid w:val="0095676A"/>
    <w:rsid w:val="00960E52"/>
    <w:rsid w:val="00961DED"/>
    <w:rsid w:val="00963000"/>
    <w:rsid w:val="00963374"/>
    <w:rsid w:val="00963C64"/>
    <w:rsid w:val="00965825"/>
    <w:rsid w:val="00971624"/>
    <w:rsid w:val="00974E9A"/>
    <w:rsid w:val="009752B6"/>
    <w:rsid w:val="00975A8B"/>
    <w:rsid w:val="0099033C"/>
    <w:rsid w:val="009907C7"/>
    <w:rsid w:val="009945DA"/>
    <w:rsid w:val="009953C9"/>
    <w:rsid w:val="009A0815"/>
    <w:rsid w:val="009A2E1D"/>
    <w:rsid w:val="009A5405"/>
    <w:rsid w:val="009A56D7"/>
    <w:rsid w:val="009A5DE0"/>
    <w:rsid w:val="009A6F9D"/>
    <w:rsid w:val="009A7672"/>
    <w:rsid w:val="009B17B9"/>
    <w:rsid w:val="009B38F4"/>
    <w:rsid w:val="009B5263"/>
    <w:rsid w:val="009C5733"/>
    <w:rsid w:val="009C5D3D"/>
    <w:rsid w:val="009C705F"/>
    <w:rsid w:val="009D06E4"/>
    <w:rsid w:val="009D0FFE"/>
    <w:rsid w:val="009D1ADD"/>
    <w:rsid w:val="009D288C"/>
    <w:rsid w:val="009D2BAF"/>
    <w:rsid w:val="009D355E"/>
    <w:rsid w:val="009D6BC2"/>
    <w:rsid w:val="009E2244"/>
    <w:rsid w:val="009E33DE"/>
    <w:rsid w:val="009E46C3"/>
    <w:rsid w:val="009E7526"/>
    <w:rsid w:val="009F2912"/>
    <w:rsid w:val="00A01A7F"/>
    <w:rsid w:val="00A03825"/>
    <w:rsid w:val="00A03A64"/>
    <w:rsid w:val="00A056A3"/>
    <w:rsid w:val="00A0783B"/>
    <w:rsid w:val="00A10265"/>
    <w:rsid w:val="00A14A16"/>
    <w:rsid w:val="00A16ABB"/>
    <w:rsid w:val="00A23F06"/>
    <w:rsid w:val="00A24AE9"/>
    <w:rsid w:val="00A2651E"/>
    <w:rsid w:val="00A268D8"/>
    <w:rsid w:val="00A308F7"/>
    <w:rsid w:val="00A317BA"/>
    <w:rsid w:val="00A31E4D"/>
    <w:rsid w:val="00A32DD3"/>
    <w:rsid w:val="00A33971"/>
    <w:rsid w:val="00A33FDF"/>
    <w:rsid w:val="00A356D6"/>
    <w:rsid w:val="00A36C89"/>
    <w:rsid w:val="00A41F96"/>
    <w:rsid w:val="00A462C6"/>
    <w:rsid w:val="00A4646E"/>
    <w:rsid w:val="00A50A45"/>
    <w:rsid w:val="00A5226B"/>
    <w:rsid w:val="00A5324C"/>
    <w:rsid w:val="00A54AA3"/>
    <w:rsid w:val="00A54AD9"/>
    <w:rsid w:val="00A56084"/>
    <w:rsid w:val="00A5666D"/>
    <w:rsid w:val="00A57151"/>
    <w:rsid w:val="00A6159D"/>
    <w:rsid w:val="00A66C72"/>
    <w:rsid w:val="00A67FB5"/>
    <w:rsid w:val="00A72188"/>
    <w:rsid w:val="00A72EE9"/>
    <w:rsid w:val="00A77F07"/>
    <w:rsid w:val="00A8093A"/>
    <w:rsid w:val="00A81036"/>
    <w:rsid w:val="00A816A9"/>
    <w:rsid w:val="00A81BD7"/>
    <w:rsid w:val="00A82370"/>
    <w:rsid w:val="00A863AA"/>
    <w:rsid w:val="00A919A0"/>
    <w:rsid w:val="00A91CCE"/>
    <w:rsid w:val="00A924BD"/>
    <w:rsid w:val="00AA2D55"/>
    <w:rsid w:val="00AA3AF0"/>
    <w:rsid w:val="00AA49BA"/>
    <w:rsid w:val="00AA53FD"/>
    <w:rsid w:val="00AB00E9"/>
    <w:rsid w:val="00AB7BBC"/>
    <w:rsid w:val="00AC067E"/>
    <w:rsid w:val="00AC1296"/>
    <w:rsid w:val="00AC4B5D"/>
    <w:rsid w:val="00AD0D8A"/>
    <w:rsid w:val="00AD2428"/>
    <w:rsid w:val="00AD6F4B"/>
    <w:rsid w:val="00AD706C"/>
    <w:rsid w:val="00AD7CA6"/>
    <w:rsid w:val="00AE010E"/>
    <w:rsid w:val="00AE02D8"/>
    <w:rsid w:val="00AE1ACC"/>
    <w:rsid w:val="00AE284E"/>
    <w:rsid w:val="00AE29BD"/>
    <w:rsid w:val="00AE6B32"/>
    <w:rsid w:val="00AF0C72"/>
    <w:rsid w:val="00AF3239"/>
    <w:rsid w:val="00AF4599"/>
    <w:rsid w:val="00B011E4"/>
    <w:rsid w:val="00B01ECA"/>
    <w:rsid w:val="00B075E6"/>
    <w:rsid w:val="00B100EE"/>
    <w:rsid w:val="00B10B4D"/>
    <w:rsid w:val="00B1325C"/>
    <w:rsid w:val="00B14767"/>
    <w:rsid w:val="00B15B8F"/>
    <w:rsid w:val="00B162F0"/>
    <w:rsid w:val="00B17DE6"/>
    <w:rsid w:val="00B20017"/>
    <w:rsid w:val="00B233D4"/>
    <w:rsid w:val="00B24A5B"/>
    <w:rsid w:val="00B25BB5"/>
    <w:rsid w:val="00B272CE"/>
    <w:rsid w:val="00B30A36"/>
    <w:rsid w:val="00B31A06"/>
    <w:rsid w:val="00B372BB"/>
    <w:rsid w:val="00B40136"/>
    <w:rsid w:val="00B41869"/>
    <w:rsid w:val="00B44AE6"/>
    <w:rsid w:val="00B47A01"/>
    <w:rsid w:val="00B53E8D"/>
    <w:rsid w:val="00B6074E"/>
    <w:rsid w:val="00B616BC"/>
    <w:rsid w:val="00B61E98"/>
    <w:rsid w:val="00B61EAD"/>
    <w:rsid w:val="00B63CB1"/>
    <w:rsid w:val="00B63E0B"/>
    <w:rsid w:val="00B6463E"/>
    <w:rsid w:val="00B64DE2"/>
    <w:rsid w:val="00B64FDE"/>
    <w:rsid w:val="00B702D0"/>
    <w:rsid w:val="00B73244"/>
    <w:rsid w:val="00B73418"/>
    <w:rsid w:val="00B73BAA"/>
    <w:rsid w:val="00B75EC0"/>
    <w:rsid w:val="00B76E28"/>
    <w:rsid w:val="00B77920"/>
    <w:rsid w:val="00B8039E"/>
    <w:rsid w:val="00B815F8"/>
    <w:rsid w:val="00B846B8"/>
    <w:rsid w:val="00B8535B"/>
    <w:rsid w:val="00B8577A"/>
    <w:rsid w:val="00B85916"/>
    <w:rsid w:val="00B85AC4"/>
    <w:rsid w:val="00B95E05"/>
    <w:rsid w:val="00B963FD"/>
    <w:rsid w:val="00B969D2"/>
    <w:rsid w:val="00B96F96"/>
    <w:rsid w:val="00B97197"/>
    <w:rsid w:val="00B97B29"/>
    <w:rsid w:val="00BA26DE"/>
    <w:rsid w:val="00BA3421"/>
    <w:rsid w:val="00BA71E9"/>
    <w:rsid w:val="00BB311A"/>
    <w:rsid w:val="00BB4FBE"/>
    <w:rsid w:val="00BB5A38"/>
    <w:rsid w:val="00BB613A"/>
    <w:rsid w:val="00BB6B3C"/>
    <w:rsid w:val="00BC064D"/>
    <w:rsid w:val="00BC2F24"/>
    <w:rsid w:val="00BC3B57"/>
    <w:rsid w:val="00BC42CF"/>
    <w:rsid w:val="00BC6450"/>
    <w:rsid w:val="00BC7C67"/>
    <w:rsid w:val="00BD2EE7"/>
    <w:rsid w:val="00BE26D5"/>
    <w:rsid w:val="00BE408E"/>
    <w:rsid w:val="00BF102E"/>
    <w:rsid w:val="00BF6FE7"/>
    <w:rsid w:val="00C0561B"/>
    <w:rsid w:val="00C05C5F"/>
    <w:rsid w:val="00C06F1A"/>
    <w:rsid w:val="00C14A23"/>
    <w:rsid w:val="00C155AA"/>
    <w:rsid w:val="00C22CEC"/>
    <w:rsid w:val="00C22F85"/>
    <w:rsid w:val="00C231EB"/>
    <w:rsid w:val="00C24DF4"/>
    <w:rsid w:val="00C255F6"/>
    <w:rsid w:val="00C26349"/>
    <w:rsid w:val="00C266F8"/>
    <w:rsid w:val="00C26DC7"/>
    <w:rsid w:val="00C303FB"/>
    <w:rsid w:val="00C30450"/>
    <w:rsid w:val="00C34D1A"/>
    <w:rsid w:val="00C350BA"/>
    <w:rsid w:val="00C35F38"/>
    <w:rsid w:val="00C404AB"/>
    <w:rsid w:val="00C4281D"/>
    <w:rsid w:val="00C542CC"/>
    <w:rsid w:val="00C54E24"/>
    <w:rsid w:val="00C57DF8"/>
    <w:rsid w:val="00C66915"/>
    <w:rsid w:val="00C706CC"/>
    <w:rsid w:val="00C765B3"/>
    <w:rsid w:val="00C7687E"/>
    <w:rsid w:val="00C77C15"/>
    <w:rsid w:val="00C802C1"/>
    <w:rsid w:val="00C83263"/>
    <w:rsid w:val="00C83D83"/>
    <w:rsid w:val="00C86779"/>
    <w:rsid w:val="00C86867"/>
    <w:rsid w:val="00C87E39"/>
    <w:rsid w:val="00C91221"/>
    <w:rsid w:val="00C93EA9"/>
    <w:rsid w:val="00C94170"/>
    <w:rsid w:val="00CA0340"/>
    <w:rsid w:val="00CA411E"/>
    <w:rsid w:val="00CA7306"/>
    <w:rsid w:val="00CB0688"/>
    <w:rsid w:val="00CB0BD4"/>
    <w:rsid w:val="00CB3D66"/>
    <w:rsid w:val="00CB47D3"/>
    <w:rsid w:val="00CB63B6"/>
    <w:rsid w:val="00CC18CB"/>
    <w:rsid w:val="00CD1C30"/>
    <w:rsid w:val="00CD31D4"/>
    <w:rsid w:val="00CD3D9A"/>
    <w:rsid w:val="00CD7EB3"/>
    <w:rsid w:val="00CE47D8"/>
    <w:rsid w:val="00CE5BB5"/>
    <w:rsid w:val="00CE6BCC"/>
    <w:rsid w:val="00CE760A"/>
    <w:rsid w:val="00CF1C8D"/>
    <w:rsid w:val="00D01E91"/>
    <w:rsid w:val="00D10113"/>
    <w:rsid w:val="00D1019F"/>
    <w:rsid w:val="00D15E3A"/>
    <w:rsid w:val="00D17D7D"/>
    <w:rsid w:val="00D201AF"/>
    <w:rsid w:val="00D2204F"/>
    <w:rsid w:val="00D2543F"/>
    <w:rsid w:val="00D261C4"/>
    <w:rsid w:val="00D26FAD"/>
    <w:rsid w:val="00D27F04"/>
    <w:rsid w:val="00D3249E"/>
    <w:rsid w:val="00D34108"/>
    <w:rsid w:val="00D34848"/>
    <w:rsid w:val="00D35110"/>
    <w:rsid w:val="00D36B2F"/>
    <w:rsid w:val="00D379F4"/>
    <w:rsid w:val="00D37E8C"/>
    <w:rsid w:val="00D40466"/>
    <w:rsid w:val="00D423D7"/>
    <w:rsid w:val="00D44640"/>
    <w:rsid w:val="00D4557E"/>
    <w:rsid w:val="00D5128E"/>
    <w:rsid w:val="00D5241A"/>
    <w:rsid w:val="00D569D9"/>
    <w:rsid w:val="00D56D63"/>
    <w:rsid w:val="00D60E26"/>
    <w:rsid w:val="00D61219"/>
    <w:rsid w:val="00D64324"/>
    <w:rsid w:val="00D64790"/>
    <w:rsid w:val="00D64BF9"/>
    <w:rsid w:val="00D735C6"/>
    <w:rsid w:val="00D75060"/>
    <w:rsid w:val="00D750E8"/>
    <w:rsid w:val="00D76A1F"/>
    <w:rsid w:val="00D801D9"/>
    <w:rsid w:val="00D80A04"/>
    <w:rsid w:val="00D83751"/>
    <w:rsid w:val="00D85DCF"/>
    <w:rsid w:val="00D9174D"/>
    <w:rsid w:val="00D969B1"/>
    <w:rsid w:val="00DA1190"/>
    <w:rsid w:val="00DA5FFE"/>
    <w:rsid w:val="00DB1393"/>
    <w:rsid w:val="00DB195D"/>
    <w:rsid w:val="00DB4DF7"/>
    <w:rsid w:val="00DB59CC"/>
    <w:rsid w:val="00DB666C"/>
    <w:rsid w:val="00DC18B4"/>
    <w:rsid w:val="00DD0A29"/>
    <w:rsid w:val="00DD70C7"/>
    <w:rsid w:val="00DE5691"/>
    <w:rsid w:val="00DE7579"/>
    <w:rsid w:val="00DF1B2B"/>
    <w:rsid w:val="00DF268C"/>
    <w:rsid w:val="00DF26D7"/>
    <w:rsid w:val="00DF29E6"/>
    <w:rsid w:val="00DF4757"/>
    <w:rsid w:val="00DF4F64"/>
    <w:rsid w:val="00DF5B3B"/>
    <w:rsid w:val="00DF6AFA"/>
    <w:rsid w:val="00E02712"/>
    <w:rsid w:val="00E029C5"/>
    <w:rsid w:val="00E03DB3"/>
    <w:rsid w:val="00E04B08"/>
    <w:rsid w:val="00E100CC"/>
    <w:rsid w:val="00E100D5"/>
    <w:rsid w:val="00E11A2D"/>
    <w:rsid w:val="00E149B2"/>
    <w:rsid w:val="00E14D05"/>
    <w:rsid w:val="00E16A35"/>
    <w:rsid w:val="00E16AB7"/>
    <w:rsid w:val="00E16C86"/>
    <w:rsid w:val="00E21429"/>
    <w:rsid w:val="00E232A8"/>
    <w:rsid w:val="00E23DDD"/>
    <w:rsid w:val="00E249F3"/>
    <w:rsid w:val="00E25AF7"/>
    <w:rsid w:val="00E264F2"/>
    <w:rsid w:val="00E2740C"/>
    <w:rsid w:val="00E3000B"/>
    <w:rsid w:val="00E30051"/>
    <w:rsid w:val="00E32943"/>
    <w:rsid w:val="00E329EC"/>
    <w:rsid w:val="00E375DA"/>
    <w:rsid w:val="00E428ED"/>
    <w:rsid w:val="00E433AE"/>
    <w:rsid w:val="00E4516C"/>
    <w:rsid w:val="00E45235"/>
    <w:rsid w:val="00E5042B"/>
    <w:rsid w:val="00E53408"/>
    <w:rsid w:val="00E60F53"/>
    <w:rsid w:val="00E638A1"/>
    <w:rsid w:val="00E647D5"/>
    <w:rsid w:val="00E70F56"/>
    <w:rsid w:val="00E75494"/>
    <w:rsid w:val="00E754C1"/>
    <w:rsid w:val="00E77D42"/>
    <w:rsid w:val="00E77E76"/>
    <w:rsid w:val="00E83500"/>
    <w:rsid w:val="00E85E2B"/>
    <w:rsid w:val="00E9122B"/>
    <w:rsid w:val="00E92787"/>
    <w:rsid w:val="00E96BB5"/>
    <w:rsid w:val="00EA0308"/>
    <w:rsid w:val="00EA08F9"/>
    <w:rsid w:val="00EA3FFA"/>
    <w:rsid w:val="00EA4FF1"/>
    <w:rsid w:val="00EB0B3C"/>
    <w:rsid w:val="00EB3FA6"/>
    <w:rsid w:val="00EB54FA"/>
    <w:rsid w:val="00EB6B5C"/>
    <w:rsid w:val="00EB770F"/>
    <w:rsid w:val="00EC3D6F"/>
    <w:rsid w:val="00ED3E9C"/>
    <w:rsid w:val="00ED4458"/>
    <w:rsid w:val="00ED53E7"/>
    <w:rsid w:val="00ED6363"/>
    <w:rsid w:val="00ED6E4F"/>
    <w:rsid w:val="00EE02F2"/>
    <w:rsid w:val="00EE0C12"/>
    <w:rsid w:val="00EE5327"/>
    <w:rsid w:val="00EF3F91"/>
    <w:rsid w:val="00EF433F"/>
    <w:rsid w:val="00EF4F5F"/>
    <w:rsid w:val="00EF516B"/>
    <w:rsid w:val="00F0147D"/>
    <w:rsid w:val="00F01C71"/>
    <w:rsid w:val="00F029B3"/>
    <w:rsid w:val="00F05820"/>
    <w:rsid w:val="00F1080D"/>
    <w:rsid w:val="00F10A1B"/>
    <w:rsid w:val="00F10EA0"/>
    <w:rsid w:val="00F119A4"/>
    <w:rsid w:val="00F11F68"/>
    <w:rsid w:val="00F162C0"/>
    <w:rsid w:val="00F202B8"/>
    <w:rsid w:val="00F225A4"/>
    <w:rsid w:val="00F24344"/>
    <w:rsid w:val="00F24389"/>
    <w:rsid w:val="00F31522"/>
    <w:rsid w:val="00F3457B"/>
    <w:rsid w:val="00F3486D"/>
    <w:rsid w:val="00F37C92"/>
    <w:rsid w:val="00F37D7E"/>
    <w:rsid w:val="00F413EB"/>
    <w:rsid w:val="00F41444"/>
    <w:rsid w:val="00F43037"/>
    <w:rsid w:val="00F46D6A"/>
    <w:rsid w:val="00F51D7B"/>
    <w:rsid w:val="00F561B8"/>
    <w:rsid w:val="00F56279"/>
    <w:rsid w:val="00F6193D"/>
    <w:rsid w:val="00F64C47"/>
    <w:rsid w:val="00F64C54"/>
    <w:rsid w:val="00F719F9"/>
    <w:rsid w:val="00F866CE"/>
    <w:rsid w:val="00F872DB"/>
    <w:rsid w:val="00F9300E"/>
    <w:rsid w:val="00F960ED"/>
    <w:rsid w:val="00FA41DC"/>
    <w:rsid w:val="00FA47AD"/>
    <w:rsid w:val="00FA58FC"/>
    <w:rsid w:val="00FB0844"/>
    <w:rsid w:val="00FB0EC6"/>
    <w:rsid w:val="00FB4216"/>
    <w:rsid w:val="00FB6B7A"/>
    <w:rsid w:val="00FB737E"/>
    <w:rsid w:val="00FB76E3"/>
    <w:rsid w:val="00FC18E6"/>
    <w:rsid w:val="00FC4108"/>
    <w:rsid w:val="00FC694E"/>
    <w:rsid w:val="00FD0DDF"/>
    <w:rsid w:val="00FD288F"/>
    <w:rsid w:val="00FD2F7E"/>
    <w:rsid w:val="00FD3A8D"/>
    <w:rsid w:val="00FD6944"/>
    <w:rsid w:val="00FE01E7"/>
    <w:rsid w:val="00FE3943"/>
    <w:rsid w:val="00FF11D1"/>
    <w:rsid w:val="00FF16FA"/>
    <w:rsid w:val="00FF21FD"/>
    <w:rsid w:val="00FF277A"/>
    <w:rsid w:val="00FF2F5E"/>
    <w:rsid w:val="00FF6820"/>
    <w:rsid w:val="00FF7153"/>
    <w:rsid w:val="00FF71C5"/>
    <w:rsid w:val="02404F8B"/>
    <w:rsid w:val="02799FE6"/>
    <w:rsid w:val="03C864DC"/>
    <w:rsid w:val="0483CD14"/>
    <w:rsid w:val="05373E0F"/>
    <w:rsid w:val="073F94FE"/>
    <w:rsid w:val="076B0518"/>
    <w:rsid w:val="0A442670"/>
    <w:rsid w:val="0A4B045A"/>
    <w:rsid w:val="0AE3331A"/>
    <w:rsid w:val="0B2159A6"/>
    <w:rsid w:val="0CAB5C72"/>
    <w:rsid w:val="0E3CA13A"/>
    <w:rsid w:val="0E8C6383"/>
    <w:rsid w:val="0F82B08A"/>
    <w:rsid w:val="10E6A7E3"/>
    <w:rsid w:val="119A9128"/>
    <w:rsid w:val="1347BB64"/>
    <w:rsid w:val="1374C43D"/>
    <w:rsid w:val="13ACE2BF"/>
    <w:rsid w:val="152F3E58"/>
    <w:rsid w:val="1583273B"/>
    <w:rsid w:val="15C99CAF"/>
    <w:rsid w:val="16F3A981"/>
    <w:rsid w:val="185645E9"/>
    <w:rsid w:val="19FBF6B2"/>
    <w:rsid w:val="1AD90095"/>
    <w:rsid w:val="1AD9C5D1"/>
    <w:rsid w:val="1C2FFA04"/>
    <w:rsid w:val="1D068D83"/>
    <w:rsid w:val="1D20644C"/>
    <w:rsid w:val="1D509F93"/>
    <w:rsid w:val="20F282CD"/>
    <w:rsid w:val="2183F780"/>
    <w:rsid w:val="2547E66F"/>
    <w:rsid w:val="2719A2BE"/>
    <w:rsid w:val="285658C2"/>
    <w:rsid w:val="29F46BE9"/>
    <w:rsid w:val="2B0694CE"/>
    <w:rsid w:val="2B4B64F8"/>
    <w:rsid w:val="2C7F8712"/>
    <w:rsid w:val="2E5C41C6"/>
    <w:rsid w:val="2F22F856"/>
    <w:rsid w:val="306A0AB6"/>
    <w:rsid w:val="3176FA1F"/>
    <w:rsid w:val="31FE4260"/>
    <w:rsid w:val="3290E3FF"/>
    <w:rsid w:val="333B3BEF"/>
    <w:rsid w:val="33829C39"/>
    <w:rsid w:val="34348BFD"/>
    <w:rsid w:val="360712A3"/>
    <w:rsid w:val="37461470"/>
    <w:rsid w:val="391C1F8A"/>
    <w:rsid w:val="39BF59DC"/>
    <w:rsid w:val="3B42DE00"/>
    <w:rsid w:val="3B823BD1"/>
    <w:rsid w:val="3BC78FF0"/>
    <w:rsid w:val="3CBBB35E"/>
    <w:rsid w:val="3E29F306"/>
    <w:rsid w:val="3E7B5E99"/>
    <w:rsid w:val="4038609E"/>
    <w:rsid w:val="40ECDEC0"/>
    <w:rsid w:val="41A0DFCC"/>
    <w:rsid w:val="44345AC1"/>
    <w:rsid w:val="44F15BF0"/>
    <w:rsid w:val="452CAC25"/>
    <w:rsid w:val="45FD20D9"/>
    <w:rsid w:val="460AC66B"/>
    <w:rsid w:val="46791FF3"/>
    <w:rsid w:val="46ADCB72"/>
    <w:rsid w:val="471E4124"/>
    <w:rsid w:val="477EB159"/>
    <w:rsid w:val="4955383A"/>
    <w:rsid w:val="4A13A0DC"/>
    <w:rsid w:val="4AEEDF4A"/>
    <w:rsid w:val="4BC14C24"/>
    <w:rsid w:val="4C9A9F77"/>
    <w:rsid w:val="4CC7CB48"/>
    <w:rsid w:val="51E0DA28"/>
    <w:rsid w:val="530486DA"/>
    <w:rsid w:val="554ABD75"/>
    <w:rsid w:val="55D9A286"/>
    <w:rsid w:val="58EFF7EA"/>
    <w:rsid w:val="5B8717FE"/>
    <w:rsid w:val="5BC0621F"/>
    <w:rsid w:val="5E70DD2E"/>
    <w:rsid w:val="5ECE7C13"/>
    <w:rsid w:val="5ED8775E"/>
    <w:rsid w:val="5FE25C2D"/>
    <w:rsid w:val="600ECCA7"/>
    <w:rsid w:val="614F57CA"/>
    <w:rsid w:val="62875651"/>
    <w:rsid w:val="65D653C8"/>
    <w:rsid w:val="6608F422"/>
    <w:rsid w:val="66716427"/>
    <w:rsid w:val="6796F5F5"/>
    <w:rsid w:val="679993A9"/>
    <w:rsid w:val="68DD47F5"/>
    <w:rsid w:val="692F5498"/>
    <w:rsid w:val="693E2345"/>
    <w:rsid w:val="697DF815"/>
    <w:rsid w:val="6982D1D6"/>
    <w:rsid w:val="6A3CD610"/>
    <w:rsid w:val="6B560D0C"/>
    <w:rsid w:val="6C35F7F4"/>
    <w:rsid w:val="6CE4D293"/>
    <w:rsid w:val="6E563197"/>
    <w:rsid w:val="702CB459"/>
    <w:rsid w:val="712C737E"/>
    <w:rsid w:val="7204B845"/>
    <w:rsid w:val="7237A000"/>
    <w:rsid w:val="729BCEF2"/>
    <w:rsid w:val="72A89412"/>
    <w:rsid w:val="73B28660"/>
    <w:rsid w:val="76582A83"/>
    <w:rsid w:val="7989072C"/>
    <w:rsid w:val="7995BE39"/>
    <w:rsid w:val="79A48D68"/>
    <w:rsid w:val="79AACEFD"/>
    <w:rsid w:val="7B5B0CA1"/>
    <w:rsid w:val="7B7915AD"/>
    <w:rsid w:val="7B8B9680"/>
    <w:rsid w:val="7C63F0C7"/>
    <w:rsid w:val="7C7A95BF"/>
    <w:rsid w:val="7D138F5F"/>
    <w:rsid w:val="7D70D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0EE669"/>
  <w15:chartTrackingRefBased/>
  <w15:docId w15:val="{5B3B2C8D-BBF3-4E07-9405-7C7DEB72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488A"/>
    <w:rPr>
      <w:sz w:val="20"/>
      <w:szCs w:val="20"/>
    </w:rPr>
  </w:style>
  <w:style w:type="character" w:customStyle="1" w:styleId="FootnoteTextChar">
    <w:name w:val="Footnote Text Char"/>
    <w:basedOn w:val="DefaultParagraphFont"/>
    <w:link w:val="FootnoteText"/>
    <w:uiPriority w:val="99"/>
    <w:semiHidden/>
    <w:rsid w:val="0009488A"/>
    <w:rPr>
      <w:sz w:val="20"/>
      <w:szCs w:val="20"/>
    </w:rPr>
  </w:style>
  <w:style w:type="character" w:styleId="FootnoteReference">
    <w:name w:val="footnote reference"/>
    <w:basedOn w:val="DefaultParagraphFont"/>
    <w:uiPriority w:val="99"/>
    <w:semiHidden/>
    <w:unhideWhenUsed/>
    <w:rsid w:val="0009488A"/>
    <w:rPr>
      <w:vertAlign w:val="superscript"/>
    </w:rPr>
  </w:style>
  <w:style w:type="character" w:styleId="Hyperlink">
    <w:name w:val="Hyperlink"/>
    <w:basedOn w:val="DefaultParagraphFont"/>
    <w:uiPriority w:val="99"/>
    <w:unhideWhenUsed/>
    <w:rsid w:val="00835FE3"/>
    <w:rPr>
      <w:color w:val="0563C1" w:themeColor="hyperlink"/>
      <w:u w:val="single"/>
    </w:rPr>
  </w:style>
  <w:style w:type="character" w:styleId="UnresolvedMention">
    <w:name w:val="Unresolved Mention"/>
    <w:basedOn w:val="DefaultParagraphFont"/>
    <w:uiPriority w:val="99"/>
    <w:semiHidden/>
    <w:unhideWhenUsed/>
    <w:rsid w:val="00835FE3"/>
    <w:rPr>
      <w:color w:val="605E5C"/>
      <w:shd w:val="clear" w:color="auto" w:fill="E1DFDD"/>
    </w:rPr>
  </w:style>
  <w:style w:type="character" w:styleId="CommentReference">
    <w:name w:val="annotation reference"/>
    <w:basedOn w:val="DefaultParagraphFont"/>
    <w:uiPriority w:val="99"/>
    <w:semiHidden/>
    <w:unhideWhenUsed/>
    <w:rsid w:val="00752F1B"/>
    <w:rPr>
      <w:sz w:val="16"/>
      <w:szCs w:val="16"/>
    </w:rPr>
  </w:style>
  <w:style w:type="paragraph" w:styleId="CommentText">
    <w:name w:val="annotation text"/>
    <w:basedOn w:val="Normal"/>
    <w:link w:val="CommentTextChar"/>
    <w:uiPriority w:val="99"/>
    <w:unhideWhenUsed/>
    <w:rsid w:val="00752F1B"/>
    <w:rPr>
      <w:sz w:val="20"/>
      <w:szCs w:val="20"/>
    </w:rPr>
  </w:style>
  <w:style w:type="character" w:customStyle="1" w:styleId="CommentTextChar">
    <w:name w:val="Comment Text Char"/>
    <w:basedOn w:val="DefaultParagraphFont"/>
    <w:link w:val="CommentText"/>
    <w:uiPriority w:val="99"/>
    <w:rsid w:val="00752F1B"/>
    <w:rPr>
      <w:sz w:val="20"/>
      <w:szCs w:val="20"/>
    </w:rPr>
  </w:style>
  <w:style w:type="paragraph" w:styleId="CommentSubject">
    <w:name w:val="annotation subject"/>
    <w:basedOn w:val="CommentText"/>
    <w:next w:val="CommentText"/>
    <w:link w:val="CommentSubjectChar"/>
    <w:uiPriority w:val="99"/>
    <w:semiHidden/>
    <w:unhideWhenUsed/>
    <w:rsid w:val="00752F1B"/>
    <w:rPr>
      <w:b/>
      <w:bCs/>
    </w:rPr>
  </w:style>
  <w:style w:type="character" w:customStyle="1" w:styleId="CommentSubjectChar">
    <w:name w:val="Comment Subject Char"/>
    <w:basedOn w:val="CommentTextChar"/>
    <w:link w:val="CommentSubject"/>
    <w:uiPriority w:val="99"/>
    <w:semiHidden/>
    <w:rsid w:val="00752F1B"/>
    <w:rPr>
      <w:b/>
      <w:bCs/>
      <w:sz w:val="20"/>
      <w:szCs w:val="20"/>
    </w:rPr>
  </w:style>
  <w:style w:type="paragraph" w:styleId="Revision">
    <w:name w:val="Revision"/>
    <w:hidden/>
    <w:uiPriority w:val="99"/>
    <w:semiHidden/>
    <w:rsid w:val="00752F1B"/>
  </w:style>
  <w:style w:type="paragraph" w:styleId="Header">
    <w:name w:val="header"/>
    <w:basedOn w:val="Normal"/>
    <w:link w:val="HeaderChar"/>
    <w:uiPriority w:val="99"/>
    <w:semiHidden/>
    <w:unhideWhenUsed/>
    <w:rsid w:val="00A32DD3"/>
    <w:pPr>
      <w:tabs>
        <w:tab w:val="center" w:pos="4513"/>
        <w:tab w:val="right" w:pos="9026"/>
      </w:tabs>
    </w:pPr>
  </w:style>
  <w:style w:type="character" w:customStyle="1" w:styleId="HeaderChar">
    <w:name w:val="Header Char"/>
    <w:basedOn w:val="DefaultParagraphFont"/>
    <w:link w:val="Header"/>
    <w:uiPriority w:val="99"/>
    <w:semiHidden/>
    <w:rsid w:val="00A32DD3"/>
  </w:style>
  <w:style w:type="paragraph" w:styleId="Footer">
    <w:name w:val="footer"/>
    <w:basedOn w:val="Normal"/>
    <w:link w:val="FooterChar"/>
    <w:uiPriority w:val="99"/>
    <w:semiHidden/>
    <w:unhideWhenUsed/>
    <w:rsid w:val="00A32DD3"/>
    <w:pPr>
      <w:tabs>
        <w:tab w:val="center" w:pos="4513"/>
        <w:tab w:val="right" w:pos="9026"/>
      </w:tabs>
    </w:pPr>
  </w:style>
  <w:style w:type="character" w:customStyle="1" w:styleId="FooterChar">
    <w:name w:val="Footer Char"/>
    <w:basedOn w:val="DefaultParagraphFont"/>
    <w:link w:val="Footer"/>
    <w:uiPriority w:val="99"/>
    <w:semiHidden/>
    <w:rsid w:val="00A32DD3"/>
  </w:style>
  <w:style w:type="character" w:styleId="PlaceholderText">
    <w:name w:val="Placeholder Text"/>
    <w:basedOn w:val="DefaultParagraphFont"/>
    <w:uiPriority w:val="99"/>
    <w:semiHidden/>
    <w:rsid w:val="00963C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mailto:pachauri@iiasa.a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4C6B4-9E49-41CB-A996-CCD7DCC1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23118</Words>
  <Characters>131779</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PACHAURI Shonali</dc:creator>
  <cp:keywords/>
  <dc:description/>
  <cp:lastModifiedBy>PACHAURI Shonali</cp:lastModifiedBy>
  <cp:revision>14</cp:revision>
  <dcterms:created xsi:type="dcterms:W3CDTF">2021-11-09T14:38:00Z</dcterms:created>
  <dcterms:modified xsi:type="dcterms:W3CDTF">2021-11-09T14:58:00Z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7fffaa10-3d9a-3895-8206-131db362e285</vt:lpwstr>
  </property>
  <property fmtid="{D5CDD505-2E9C-101B-9397-08002B2CF9AE}" pid="24" name="Mendeley Citation Style_1">
    <vt:lpwstr>http://www.zotero.org/styles/nature</vt:lpwstr>
  </property>
</Properties>
</file>