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E6F8" w14:textId="32D82FDF" w:rsidR="006D45F7" w:rsidRPr="00512405" w:rsidRDefault="00512405">
      <w:pPr>
        <w:spacing w:before="240" w:after="2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Appendix S1</w:t>
      </w:r>
      <w:r w:rsidR="00611918">
        <w:rPr>
          <w:b/>
          <w:sz w:val="24"/>
          <w:szCs w:val="24"/>
          <w:lang w:val="en-US"/>
        </w:rPr>
        <w:t>:</w:t>
      </w:r>
      <w:r w:rsidR="00611918" w:rsidRPr="00611918">
        <w:t xml:space="preserve"> </w:t>
      </w:r>
      <w:r w:rsidR="00611918" w:rsidRPr="00611918">
        <w:rPr>
          <w:b/>
          <w:sz w:val="24"/>
          <w:szCs w:val="24"/>
          <w:lang w:val="en-US"/>
        </w:rPr>
        <w:t>Supporting Information</w:t>
      </w:r>
      <w:r w:rsidR="00611918">
        <w:rPr>
          <w:b/>
          <w:sz w:val="24"/>
          <w:szCs w:val="24"/>
          <w:lang w:val="en-US"/>
        </w:rPr>
        <w:t xml:space="preserve"> </w:t>
      </w:r>
    </w:p>
    <w:p w14:paraId="19532509" w14:textId="77777777" w:rsidR="00C94B3A" w:rsidRPr="00512405" w:rsidRDefault="00C94B3A">
      <w:pPr>
        <w:spacing w:before="240" w:after="240"/>
        <w:rPr>
          <w:b/>
          <w:sz w:val="20"/>
          <w:szCs w:val="20"/>
          <w:lang w:val="en-US"/>
        </w:rPr>
      </w:pPr>
    </w:p>
    <w:p w14:paraId="130F6E98" w14:textId="6EA369A5" w:rsidR="006D45F7" w:rsidRPr="00512405" w:rsidRDefault="004777DD">
      <w:pPr>
        <w:spacing w:before="240" w:after="240"/>
        <w:rPr>
          <w:b/>
          <w:sz w:val="20"/>
          <w:szCs w:val="20"/>
          <w:lang w:val="en-US"/>
        </w:rPr>
      </w:pPr>
      <w:r w:rsidRPr="00512405">
        <w:rPr>
          <w:b/>
          <w:sz w:val="20"/>
          <w:szCs w:val="20"/>
          <w:lang w:val="en-US"/>
        </w:rPr>
        <w:t>Equation 1. Contribution of demographic components to population growth</w:t>
      </w:r>
    </w:p>
    <w:p w14:paraId="521279C3" w14:textId="77777777" w:rsidR="006D45F7" w:rsidRPr="00512405" w:rsidRDefault="00000000">
      <w:pPr>
        <w:spacing w:before="240" w:after="240"/>
        <w:jc w:val="center"/>
        <w:rPr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NG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MI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bSup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MA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bSup>
        </m:oMath>
      </m:oMathPara>
    </w:p>
    <w:p w14:paraId="29D5FEB0" w14:textId="77777777" w:rsidR="006D45F7" w:rsidRPr="00512405" w:rsidRDefault="004777DD">
      <w:pPr>
        <w:spacing w:before="240" w:after="240"/>
        <w:rPr>
          <w:lang w:val="en-US"/>
        </w:rPr>
      </w:pPr>
      <w:r w:rsidRPr="00512405">
        <w:rPr>
          <w:sz w:val="20"/>
          <w:szCs w:val="20"/>
          <w:lang w:val="en-US"/>
        </w:rPr>
        <w:t xml:space="preserve">where </w:t>
      </w:r>
      <w:r w:rsidRPr="00512405">
        <w:rPr>
          <w:i/>
          <w:sz w:val="20"/>
          <w:szCs w:val="20"/>
          <w:lang w:val="en-US"/>
        </w:rPr>
        <w:t xml:space="preserve">r </w:t>
      </w:r>
      <w:r w:rsidRPr="00512405">
        <w:rPr>
          <w:sz w:val="20"/>
          <w:szCs w:val="20"/>
          <w:lang w:val="en-US"/>
        </w:rPr>
        <w:t xml:space="preserve">is the population growth rate, </w:t>
      </w:r>
      <w:r w:rsidRPr="00512405">
        <w:rPr>
          <w:i/>
          <w:sz w:val="20"/>
          <w:szCs w:val="20"/>
          <w:lang w:val="en-US"/>
        </w:rPr>
        <w:t>NG</w:t>
      </w:r>
      <w:r w:rsidRPr="00512405">
        <w:rPr>
          <w:sz w:val="20"/>
          <w:szCs w:val="20"/>
          <w:lang w:val="en-US"/>
        </w:rPr>
        <w:t xml:space="preserve"> is the natural change, </w:t>
      </w:r>
      <w:r w:rsidRPr="00512405">
        <w:rPr>
          <w:i/>
          <w:sz w:val="20"/>
          <w:szCs w:val="20"/>
          <w:lang w:val="en-US"/>
        </w:rPr>
        <w:t xml:space="preserve">MI </w:t>
      </w:r>
      <w:r w:rsidRPr="00512405">
        <w:rPr>
          <w:sz w:val="20"/>
          <w:szCs w:val="20"/>
          <w:lang w:val="en-US"/>
        </w:rPr>
        <w:t xml:space="preserve">is the net internal migration rate, and </w:t>
      </w:r>
      <w:r w:rsidRPr="00512405">
        <w:rPr>
          <w:i/>
          <w:sz w:val="20"/>
          <w:szCs w:val="20"/>
          <w:lang w:val="en-US"/>
        </w:rPr>
        <w:t>MA</w:t>
      </w:r>
      <w:r w:rsidRPr="00512405">
        <w:rPr>
          <w:sz w:val="20"/>
          <w:szCs w:val="20"/>
          <w:lang w:val="en-US"/>
        </w:rPr>
        <w:t xml:space="preserve"> is the net international migration rate in the year </w:t>
      </w:r>
      <w:r w:rsidRPr="00512405">
        <w:rPr>
          <w:i/>
          <w:iCs/>
          <w:sz w:val="20"/>
          <w:szCs w:val="20"/>
          <w:lang w:val="en-US"/>
        </w:rPr>
        <w:t>t</w:t>
      </w:r>
      <w:r w:rsidRPr="00512405">
        <w:rPr>
          <w:i/>
          <w:sz w:val="20"/>
          <w:szCs w:val="20"/>
          <w:lang w:val="en-US"/>
        </w:rPr>
        <w:t xml:space="preserve"> </w:t>
      </w:r>
      <w:r w:rsidRPr="00512405">
        <w:rPr>
          <w:sz w:val="20"/>
          <w:szCs w:val="20"/>
          <w:lang w:val="en-US"/>
        </w:rPr>
        <w:t xml:space="preserve">and the trajectory </w:t>
      </w:r>
      <w:proofErr w:type="spellStart"/>
      <w:r w:rsidRPr="00512405">
        <w:rPr>
          <w:i/>
          <w:sz w:val="20"/>
          <w:szCs w:val="20"/>
          <w:lang w:val="en-US"/>
        </w:rPr>
        <w:t>i</w:t>
      </w:r>
      <w:proofErr w:type="spellEnd"/>
      <w:r w:rsidRPr="00512405">
        <w:rPr>
          <w:i/>
          <w:sz w:val="20"/>
          <w:szCs w:val="20"/>
          <w:lang w:val="en-US"/>
        </w:rPr>
        <w:t>.</w:t>
      </w:r>
    </w:p>
    <w:p w14:paraId="11987F68" w14:textId="77777777" w:rsidR="006D45F7" w:rsidRPr="00512405" w:rsidRDefault="006D45F7">
      <w:pPr>
        <w:spacing w:before="240" w:after="240"/>
        <w:rPr>
          <w:lang w:val="en-US"/>
        </w:rPr>
      </w:pPr>
    </w:p>
    <w:p w14:paraId="225C679D" w14:textId="0E18D76E" w:rsidR="006D45F7" w:rsidRPr="00512405" w:rsidRDefault="004777DD">
      <w:pPr>
        <w:spacing w:before="240" w:after="240"/>
        <w:rPr>
          <w:b/>
          <w:sz w:val="20"/>
          <w:szCs w:val="20"/>
          <w:lang w:val="en-US"/>
        </w:rPr>
      </w:pPr>
      <w:r w:rsidRPr="00512405">
        <w:rPr>
          <w:b/>
          <w:sz w:val="20"/>
          <w:szCs w:val="20"/>
          <w:lang w:val="en-US"/>
        </w:rPr>
        <w:t>Equation 2. Multinomial logistic model</w:t>
      </w:r>
    </w:p>
    <w:p w14:paraId="4DFFB9AB" w14:textId="77777777" w:rsidR="006D45F7" w:rsidRPr="00512405" w:rsidRDefault="00000000">
      <w:pPr>
        <w:spacing w:before="240" w:after="240"/>
        <w:jc w:val="center"/>
        <w:rPr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 xml:space="preserve"> β+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14:paraId="6682A179" w14:textId="77777777" w:rsidR="006D45F7" w:rsidRPr="00512405" w:rsidRDefault="004777DD">
      <w:pPr>
        <w:spacing w:before="240" w:after="240"/>
        <w:rPr>
          <w:lang w:val="en-US"/>
        </w:rPr>
      </w:pPr>
      <w:r w:rsidRPr="00512405">
        <w:rPr>
          <w:sz w:val="20"/>
          <w:szCs w:val="20"/>
          <w:lang w:val="en-US"/>
        </w:rPr>
        <w:t xml:space="preserve">where </w:t>
      </w:r>
      <w:proofErr w:type="spellStart"/>
      <w:r w:rsidRPr="00512405">
        <w:rPr>
          <w:i/>
          <w:iCs/>
          <w:sz w:val="20"/>
          <w:szCs w:val="20"/>
          <w:lang w:val="en-US"/>
        </w:rPr>
        <w:t>i</w:t>
      </w:r>
      <w:proofErr w:type="spellEnd"/>
      <w:r w:rsidRPr="00512405">
        <w:rPr>
          <w:sz w:val="20"/>
          <w:szCs w:val="20"/>
          <w:lang w:val="en-US"/>
        </w:rPr>
        <w:t xml:space="preserve"> indicates the municipalities and </w:t>
      </w:r>
      <w:r w:rsidRPr="00512405">
        <w:rPr>
          <w:i/>
          <w:iCs/>
          <w:sz w:val="20"/>
          <w:szCs w:val="20"/>
          <w:lang w:val="en-US"/>
        </w:rPr>
        <w:t>ε</w:t>
      </w:r>
      <w:r w:rsidRPr="00512405">
        <w:rPr>
          <w:sz w:val="20"/>
          <w:szCs w:val="20"/>
          <w:lang w:val="en-US"/>
        </w:rPr>
        <w:t xml:space="preserve"> is a random error. For a single independent variable, we can simplify the notation to:</w:t>
      </w:r>
    </w:p>
    <w:p w14:paraId="3C797C51" w14:textId="77777777" w:rsidR="006D45F7" w:rsidRPr="00512405" w:rsidRDefault="00000000">
      <w:pPr>
        <w:spacing w:before="240" w:after="240"/>
        <w:jc w:val="center"/>
        <w:rPr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lang w:val="en-US"/>
                </w:rPr>
                <m:t>*</m:t>
              </m:r>
            </m:sup>
          </m:sSubSup>
          <m:r>
            <w:rPr>
              <w:rFonts w:ascii="Cambria Math" w:hAnsi="Cambria Math"/>
              <w:lang w:val="en-US"/>
            </w:rPr>
            <m:t>=α β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14:paraId="1BA315B5" w14:textId="77777777" w:rsidR="006D45F7" w:rsidRPr="00512405" w:rsidRDefault="004777DD">
      <w:pPr>
        <w:spacing w:before="240" w:after="240"/>
        <w:jc w:val="both"/>
        <w:rPr>
          <w:sz w:val="20"/>
          <w:szCs w:val="20"/>
          <w:lang w:val="en-US"/>
        </w:rPr>
      </w:pPr>
      <w:r w:rsidRPr="00512405">
        <w:rPr>
          <w:sz w:val="20"/>
          <w:szCs w:val="20"/>
          <w:lang w:val="en-US"/>
        </w:rPr>
        <w:t>These equations are identical to those for the linear regression model with the important difference that the dependent variable is unobserved.</w:t>
      </w:r>
    </w:p>
    <w:p w14:paraId="5A8471E8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sz w:val="20"/>
          <w:szCs w:val="20"/>
          <w:lang w:val="en-US"/>
        </w:rPr>
        <w:t xml:space="preserve">The link between the observed binary </w:t>
      </w:r>
      <w:r w:rsidRPr="00512405">
        <w:rPr>
          <w:i/>
          <w:iCs/>
          <w:sz w:val="20"/>
          <w:szCs w:val="20"/>
          <w:lang w:val="en-US"/>
        </w:rPr>
        <w:t>y</w:t>
      </w:r>
      <w:r w:rsidRPr="00512405">
        <w:rPr>
          <w:sz w:val="20"/>
          <w:szCs w:val="20"/>
          <w:lang w:val="en-US"/>
        </w:rPr>
        <w:t xml:space="preserve"> and the latent </w:t>
      </w:r>
      <w:r w:rsidRPr="00512405">
        <w:rPr>
          <w:i/>
          <w:iCs/>
          <w:sz w:val="20"/>
          <w:szCs w:val="20"/>
          <w:lang w:val="en-US"/>
        </w:rPr>
        <w:t>y*</w:t>
      </w:r>
      <w:r w:rsidRPr="00512405">
        <w:rPr>
          <w:sz w:val="20"/>
          <w:szCs w:val="20"/>
          <w:lang w:val="en-US"/>
        </w:rPr>
        <w:t xml:space="preserve"> is made with a simple measurement equation:</w:t>
      </w:r>
    </w:p>
    <w:p w14:paraId="2612B11E" w14:textId="77777777" w:rsidR="006D45F7" w:rsidRPr="00512405" w:rsidRDefault="00000000">
      <w:pPr>
        <w:spacing w:before="240" w:after="240"/>
        <w:jc w:val="center"/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1 if </m:t>
                  </m:r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&gt;0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 xml:space="preserve">0 if </m:t>
                  </m:r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≤1</m:t>
                  </m:r>
                </m:e>
              </m:eqArr>
            </m:e>
          </m:d>
        </m:oMath>
      </m:oMathPara>
    </w:p>
    <w:p w14:paraId="36218B97" w14:textId="77777777" w:rsidR="006D45F7" w:rsidRPr="00512405" w:rsidRDefault="004777DD">
      <w:pPr>
        <w:spacing w:before="240" w:after="240"/>
        <w:rPr>
          <w:lang w:val="en-US"/>
        </w:rPr>
      </w:pPr>
      <w:r w:rsidRPr="00512405">
        <w:rPr>
          <w:sz w:val="20"/>
          <w:szCs w:val="20"/>
          <w:lang w:val="en-US"/>
        </w:rPr>
        <w:t xml:space="preserve">Cases with positive values of </w:t>
      </w:r>
      <w:r w:rsidRPr="00512405">
        <w:rPr>
          <w:i/>
          <w:iCs/>
          <w:sz w:val="20"/>
          <w:szCs w:val="20"/>
          <w:lang w:val="en-US"/>
        </w:rPr>
        <w:t>y*</w:t>
      </w:r>
      <w:r w:rsidRPr="00512405">
        <w:rPr>
          <w:sz w:val="20"/>
          <w:szCs w:val="20"/>
          <w:lang w:val="en-US"/>
        </w:rPr>
        <w:t xml:space="preserve"> are observed as </w:t>
      </w:r>
      <w:r w:rsidRPr="00512405">
        <w:rPr>
          <w:i/>
          <w:iCs/>
          <w:sz w:val="20"/>
          <w:szCs w:val="20"/>
          <w:lang w:val="en-US"/>
        </w:rPr>
        <w:t>y</w:t>
      </w:r>
      <w:r w:rsidRPr="00512405">
        <w:rPr>
          <w:sz w:val="20"/>
          <w:szCs w:val="20"/>
          <w:lang w:val="en-US"/>
        </w:rPr>
        <w:t xml:space="preserve">=1, while cases with negative or zero values of </w:t>
      </w:r>
      <w:r w:rsidRPr="00512405">
        <w:rPr>
          <w:i/>
          <w:iCs/>
          <w:sz w:val="20"/>
          <w:szCs w:val="20"/>
          <w:lang w:val="en-US"/>
        </w:rPr>
        <w:t>y*</w:t>
      </w:r>
      <w:r w:rsidRPr="00512405">
        <w:rPr>
          <w:sz w:val="20"/>
          <w:szCs w:val="20"/>
          <w:lang w:val="en-US"/>
        </w:rPr>
        <w:t xml:space="preserve"> are observed as</w:t>
      </w:r>
      <w:r w:rsidRPr="00512405">
        <w:rPr>
          <w:i/>
          <w:iCs/>
          <w:sz w:val="20"/>
          <w:szCs w:val="20"/>
          <w:lang w:val="en-US"/>
        </w:rPr>
        <w:t xml:space="preserve"> y</w:t>
      </w:r>
      <w:r w:rsidRPr="00512405">
        <w:rPr>
          <w:sz w:val="20"/>
          <w:szCs w:val="20"/>
          <w:lang w:val="en-US"/>
        </w:rPr>
        <w:t>=0.</w:t>
      </w:r>
    </w:p>
    <w:p w14:paraId="30A0DB6E" w14:textId="77777777" w:rsidR="006D45F7" w:rsidRPr="00512405" w:rsidRDefault="006D45F7">
      <w:pPr>
        <w:spacing w:before="240" w:after="240"/>
        <w:jc w:val="both"/>
        <w:rPr>
          <w:sz w:val="20"/>
          <w:szCs w:val="20"/>
          <w:lang w:val="en-US"/>
        </w:rPr>
      </w:pPr>
    </w:p>
    <w:p w14:paraId="07A5E4A4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173913F1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4789E300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2D6F0831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0A446361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69983B52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0450C554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369DB6B8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1266C064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2B9306FE" w14:textId="3ED4B99A" w:rsidR="00761067" w:rsidRPr="00512405" w:rsidRDefault="00761067">
      <w:pPr>
        <w:spacing w:before="240" w:after="240"/>
        <w:rPr>
          <w:lang w:val="en-US"/>
        </w:rPr>
      </w:pPr>
      <w:r w:rsidRPr="00512405">
        <w:rPr>
          <w:b/>
          <w:sz w:val="20"/>
          <w:szCs w:val="20"/>
          <w:lang w:val="en-US"/>
        </w:rPr>
        <w:lastRenderedPageBreak/>
        <w:t xml:space="preserve">Table </w:t>
      </w:r>
      <w:r w:rsidR="00512405">
        <w:rPr>
          <w:b/>
          <w:sz w:val="20"/>
          <w:szCs w:val="20"/>
          <w:lang w:val="en-US"/>
        </w:rPr>
        <w:t>S</w:t>
      </w:r>
      <w:r w:rsidRPr="00512405">
        <w:rPr>
          <w:b/>
          <w:sz w:val="20"/>
          <w:szCs w:val="20"/>
          <w:lang w:val="en-US"/>
        </w:rPr>
        <w:t>1. Spatial correlation analysis between trajectories</w:t>
      </w:r>
    </w:p>
    <w:p w14:paraId="1DFA4B03" w14:textId="58C4CAF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  <w:r w:rsidRPr="00512405">
        <w:rPr>
          <w:noProof/>
          <w:lang w:val="en-US"/>
        </w:rPr>
        <w:drawing>
          <wp:inline distT="0" distB="0" distL="0" distR="0" wp14:anchorId="48571387" wp14:editId="06FF6ADF">
            <wp:extent cx="5733415" cy="4354195"/>
            <wp:effectExtent l="0" t="0" r="63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29EF" w14:textId="3C2E29C8" w:rsidR="00AE2816" w:rsidRPr="00512405" w:rsidRDefault="00AE2816" w:rsidP="00761067">
      <w:pPr>
        <w:spacing w:before="240" w:after="240"/>
        <w:jc w:val="both"/>
        <w:rPr>
          <w:sz w:val="16"/>
          <w:szCs w:val="16"/>
          <w:lang w:val="en-US"/>
        </w:rPr>
      </w:pPr>
      <w:r w:rsidRPr="00512405">
        <w:rPr>
          <w:sz w:val="16"/>
          <w:szCs w:val="16"/>
          <w:lang w:val="en-US"/>
        </w:rPr>
        <w:t xml:space="preserve">Note: The spatial </w:t>
      </w:r>
      <w:r w:rsidR="009D0CB2" w:rsidRPr="00512405">
        <w:rPr>
          <w:sz w:val="16"/>
          <w:szCs w:val="16"/>
          <w:lang w:val="en-US"/>
        </w:rPr>
        <w:t>auto</w:t>
      </w:r>
      <w:r w:rsidRPr="00512405">
        <w:rPr>
          <w:sz w:val="16"/>
          <w:szCs w:val="16"/>
          <w:lang w:val="en-US"/>
        </w:rPr>
        <w:t xml:space="preserve">correlation index was calculated as a rate between the number of </w:t>
      </w:r>
      <w:r w:rsidR="00512405" w:rsidRPr="00512405">
        <w:rPr>
          <w:sz w:val="16"/>
          <w:szCs w:val="16"/>
          <w:lang w:val="en-US"/>
        </w:rPr>
        <w:t>neighboring</w:t>
      </w:r>
      <w:r w:rsidRPr="00512405">
        <w:rPr>
          <w:sz w:val="16"/>
          <w:szCs w:val="16"/>
          <w:lang w:val="en-US"/>
        </w:rPr>
        <w:t xml:space="preserve"> municipalities divided by the expected number of </w:t>
      </w:r>
      <w:r w:rsidR="00512405" w:rsidRPr="00512405">
        <w:rPr>
          <w:sz w:val="16"/>
          <w:szCs w:val="16"/>
          <w:lang w:val="en-US"/>
        </w:rPr>
        <w:t>neighboring</w:t>
      </w:r>
      <w:r w:rsidRPr="00512405">
        <w:rPr>
          <w:sz w:val="16"/>
          <w:szCs w:val="16"/>
          <w:lang w:val="en-US"/>
        </w:rPr>
        <w:t xml:space="preserve"> municipalities (join count) from </w:t>
      </w:r>
      <w:r w:rsidR="009D0CB2" w:rsidRPr="00512405">
        <w:rPr>
          <w:sz w:val="16"/>
          <w:szCs w:val="16"/>
          <w:lang w:val="en-US"/>
        </w:rPr>
        <w:t>a random distribution</w:t>
      </w:r>
      <w:r w:rsidRPr="00512405">
        <w:rPr>
          <w:sz w:val="16"/>
          <w:szCs w:val="16"/>
          <w:lang w:val="en-US"/>
        </w:rPr>
        <w:t xml:space="preserve"> (expected); we used order two to determine the </w:t>
      </w:r>
      <w:r w:rsidR="00512405" w:rsidRPr="00512405">
        <w:rPr>
          <w:sz w:val="16"/>
          <w:szCs w:val="16"/>
          <w:lang w:val="en-US"/>
        </w:rPr>
        <w:t>neighboring</w:t>
      </w:r>
      <w:r w:rsidRPr="00512405">
        <w:rPr>
          <w:sz w:val="16"/>
          <w:szCs w:val="16"/>
          <w:lang w:val="en-US"/>
        </w:rPr>
        <w:t xml:space="preserve"> criterion.</w:t>
      </w:r>
    </w:p>
    <w:p w14:paraId="10AB4B43" w14:textId="7440C421" w:rsidR="00761067" w:rsidRPr="00512405" w:rsidRDefault="00761067" w:rsidP="00761067">
      <w:pPr>
        <w:spacing w:before="240" w:after="240"/>
        <w:jc w:val="both"/>
        <w:rPr>
          <w:lang w:val="en-US"/>
        </w:rPr>
      </w:pPr>
      <w:r w:rsidRPr="00512405">
        <w:rPr>
          <w:sz w:val="16"/>
          <w:szCs w:val="16"/>
          <w:lang w:val="en-US"/>
        </w:rPr>
        <w:t>Source: Compiled by the authors using data from the INE.</w:t>
      </w:r>
    </w:p>
    <w:p w14:paraId="2BB32EDD" w14:textId="77777777" w:rsidR="00761067" w:rsidRPr="00512405" w:rsidRDefault="00761067">
      <w:pPr>
        <w:spacing w:before="240" w:after="240"/>
        <w:rPr>
          <w:b/>
          <w:sz w:val="20"/>
          <w:szCs w:val="20"/>
          <w:lang w:val="en-US"/>
        </w:rPr>
      </w:pPr>
    </w:p>
    <w:p w14:paraId="260EC987" w14:textId="70B0BB44" w:rsidR="006D45F7" w:rsidRPr="00512405" w:rsidRDefault="004777DD">
      <w:pPr>
        <w:spacing w:before="240" w:after="240"/>
        <w:rPr>
          <w:lang w:val="en-US"/>
        </w:rPr>
      </w:pPr>
      <w:r w:rsidRPr="00512405">
        <w:rPr>
          <w:b/>
          <w:sz w:val="20"/>
          <w:szCs w:val="20"/>
          <w:lang w:val="en-US"/>
        </w:rPr>
        <w:t xml:space="preserve">Table </w:t>
      </w:r>
      <w:r w:rsidR="00512405">
        <w:rPr>
          <w:b/>
          <w:sz w:val="20"/>
          <w:szCs w:val="20"/>
          <w:lang w:val="en-US"/>
        </w:rPr>
        <w:t>S</w:t>
      </w:r>
      <w:r w:rsidR="00761067" w:rsidRPr="00512405">
        <w:rPr>
          <w:b/>
          <w:sz w:val="20"/>
          <w:szCs w:val="20"/>
          <w:lang w:val="en-US"/>
        </w:rPr>
        <w:t>2</w:t>
      </w:r>
      <w:r w:rsidRPr="00512405">
        <w:rPr>
          <w:b/>
          <w:sz w:val="20"/>
          <w:szCs w:val="20"/>
          <w:lang w:val="en-US"/>
        </w:rPr>
        <w:t>. Variables included in the multinomial model Line below the table</w:t>
      </w:r>
    </w:p>
    <w:p w14:paraId="20560D39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noProof/>
          <w:lang w:val="en-US"/>
        </w:rPr>
        <w:drawing>
          <wp:inline distT="0" distB="0" distL="0" distR="0" wp14:anchorId="63EB80F6" wp14:editId="5CBF4EA8">
            <wp:extent cx="5733416" cy="2092961"/>
            <wp:effectExtent l="0" t="0" r="634" b="2539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6" cy="2092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0F8265" w14:textId="71E86D65" w:rsidR="0076106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sz w:val="16"/>
          <w:szCs w:val="16"/>
          <w:lang w:val="en-US"/>
        </w:rPr>
        <w:t>Source: Compiled by the authors.</w:t>
      </w:r>
    </w:p>
    <w:p w14:paraId="7BF95ABE" w14:textId="470D11D2" w:rsidR="006D45F7" w:rsidRPr="00512405" w:rsidRDefault="004777DD">
      <w:pPr>
        <w:spacing w:before="240" w:after="240"/>
        <w:jc w:val="both"/>
        <w:rPr>
          <w:b/>
          <w:sz w:val="20"/>
          <w:szCs w:val="20"/>
          <w:lang w:val="en-US"/>
        </w:rPr>
      </w:pPr>
      <w:r w:rsidRPr="00512405">
        <w:rPr>
          <w:b/>
          <w:sz w:val="20"/>
          <w:szCs w:val="20"/>
          <w:lang w:val="en-US"/>
        </w:rPr>
        <w:lastRenderedPageBreak/>
        <w:t xml:space="preserve">Table </w:t>
      </w:r>
      <w:r w:rsidR="00512405">
        <w:rPr>
          <w:b/>
          <w:sz w:val="20"/>
          <w:szCs w:val="20"/>
          <w:lang w:val="en-US"/>
        </w:rPr>
        <w:t>S</w:t>
      </w:r>
      <w:r w:rsidR="00761067" w:rsidRPr="00512405">
        <w:rPr>
          <w:b/>
          <w:sz w:val="20"/>
          <w:szCs w:val="20"/>
          <w:lang w:val="en-US"/>
        </w:rPr>
        <w:t>3</w:t>
      </w:r>
      <w:r w:rsidRPr="00512405">
        <w:rPr>
          <w:b/>
          <w:sz w:val="20"/>
          <w:szCs w:val="20"/>
          <w:lang w:val="en-US"/>
        </w:rPr>
        <w:t>. Mean and standard deviation for explanatory variables</w:t>
      </w:r>
    </w:p>
    <w:p w14:paraId="281B30D9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noProof/>
          <w:lang w:val="en-US"/>
        </w:rPr>
        <w:drawing>
          <wp:inline distT="0" distB="0" distL="0" distR="0" wp14:anchorId="32397573" wp14:editId="615B7E43">
            <wp:extent cx="5733416" cy="3395981"/>
            <wp:effectExtent l="0" t="0" r="634" b="0"/>
            <wp:docPr id="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6" cy="33959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2DB832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sz w:val="16"/>
          <w:szCs w:val="16"/>
          <w:lang w:val="en-US"/>
        </w:rPr>
        <w:t>Source: Compiled by authors using data from the INE, IGN and SEPE.</w:t>
      </w:r>
    </w:p>
    <w:p w14:paraId="130014F5" w14:textId="77777777" w:rsidR="006D45F7" w:rsidRPr="00512405" w:rsidRDefault="006D45F7">
      <w:pPr>
        <w:spacing w:before="240" w:after="240"/>
        <w:jc w:val="both"/>
        <w:rPr>
          <w:b/>
          <w:sz w:val="20"/>
          <w:szCs w:val="20"/>
          <w:lang w:val="en-US"/>
        </w:rPr>
      </w:pPr>
    </w:p>
    <w:p w14:paraId="0530B6BA" w14:textId="5B717157" w:rsidR="006D45F7" w:rsidRPr="00512405" w:rsidRDefault="004777DD">
      <w:pPr>
        <w:spacing w:before="240" w:after="240"/>
        <w:jc w:val="both"/>
        <w:rPr>
          <w:b/>
          <w:sz w:val="20"/>
          <w:szCs w:val="20"/>
          <w:lang w:val="en-US"/>
        </w:rPr>
      </w:pPr>
      <w:r w:rsidRPr="00512405">
        <w:rPr>
          <w:b/>
          <w:sz w:val="20"/>
          <w:szCs w:val="20"/>
          <w:lang w:val="en-US"/>
        </w:rPr>
        <w:t xml:space="preserve">Figure </w:t>
      </w:r>
      <w:r w:rsidR="00512405">
        <w:rPr>
          <w:b/>
          <w:sz w:val="20"/>
          <w:szCs w:val="20"/>
          <w:lang w:val="en-US"/>
        </w:rPr>
        <w:t>S</w:t>
      </w:r>
      <w:r w:rsidRPr="00512405">
        <w:rPr>
          <w:b/>
          <w:sz w:val="20"/>
          <w:szCs w:val="20"/>
          <w:lang w:val="en-US"/>
        </w:rPr>
        <w:t>1. Correlation matrices between explanatory variables</w:t>
      </w:r>
    </w:p>
    <w:p w14:paraId="38DEA821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noProof/>
          <w:lang w:val="en-US"/>
        </w:rPr>
        <w:drawing>
          <wp:inline distT="0" distB="0" distL="0" distR="0" wp14:anchorId="0E07C71B" wp14:editId="5B6E0676">
            <wp:extent cx="3204213" cy="2560320"/>
            <wp:effectExtent l="0" t="0" r="0" b="0"/>
            <wp:docPr id="3" name="Picture 15" descr="Chart, waterfall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4213" cy="2560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E4DA6C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sz w:val="16"/>
          <w:szCs w:val="16"/>
          <w:lang w:val="en-US"/>
        </w:rPr>
        <w:t>Source: Compiled by authors using data from the INE, IGN and SEPE.</w:t>
      </w:r>
    </w:p>
    <w:p w14:paraId="769C324E" w14:textId="77777777" w:rsidR="006D45F7" w:rsidRPr="00512405" w:rsidRDefault="006D45F7">
      <w:pPr>
        <w:spacing w:before="240" w:after="240"/>
        <w:jc w:val="both"/>
        <w:rPr>
          <w:b/>
          <w:sz w:val="20"/>
          <w:szCs w:val="20"/>
          <w:lang w:val="en-US"/>
        </w:rPr>
      </w:pPr>
    </w:p>
    <w:p w14:paraId="6142C8B4" w14:textId="77777777" w:rsidR="006D45F7" w:rsidRPr="00512405" w:rsidRDefault="006D45F7">
      <w:pPr>
        <w:spacing w:before="240" w:after="240"/>
        <w:jc w:val="both"/>
        <w:rPr>
          <w:b/>
          <w:sz w:val="20"/>
          <w:szCs w:val="20"/>
          <w:lang w:val="en-US"/>
        </w:rPr>
      </w:pPr>
    </w:p>
    <w:p w14:paraId="5A1A90A8" w14:textId="77777777" w:rsidR="006D45F7" w:rsidRPr="00512405" w:rsidRDefault="006D45F7">
      <w:pPr>
        <w:spacing w:before="240" w:after="240"/>
        <w:jc w:val="both"/>
        <w:rPr>
          <w:b/>
          <w:sz w:val="20"/>
          <w:szCs w:val="20"/>
          <w:lang w:val="en-US"/>
        </w:rPr>
      </w:pPr>
    </w:p>
    <w:p w14:paraId="482C731E" w14:textId="2A15FE75" w:rsidR="006D45F7" w:rsidRPr="00512405" w:rsidRDefault="004777DD">
      <w:pPr>
        <w:spacing w:before="240" w:after="240"/>
        <w:jc w:val="both"/>
        <w:rPr>
          <w:b/>
          <w:sz w:val="20"/>
          <w:szCs w:val="20"/>
          <w:lang w:val="en-US"/>
        </w:rPr>
      </w:pPr>
      <w:r w:rsidRPr="00512405">
        <w:rPr>
          <w:b/>
          <w:sz w:val="20"/>
          <w:szCs w:val="20"/>
          <w:lang w:val="en-US"/>
        </w:rPr>
        <w:lastRenderedPageBreak/>
        <w:t xml:space="preserve">Table </w:t>
      </w:r>
      <w:r w:rsidR="00512405">
        <w:rPr>
          <w:b/>
          <w:sz w:val="20"/>
          <w:szCs w:val="20"/>
          <w:lang w:val="en-US"/>
        </w:rPr>
        <w:t>S</w:t>
      </w:r>
      <w:r w:rsidR="00761067" w:rsidRPr="00512405">
        <w:rPr>
          <w:b/>
          <w:sz w:val="20"/>
          <w:szCs w:val="20"/>
          <w:lang w:val="en-US"/>
        </w:rPr>
        <w:t>4</w:t>
      </w:r>
      <w:r w:rsidRPr="00512405">
        <w:rPr>
          <w:b/>
          <w:sz w:val="20"/>
          <w:szCs w:val="20"/>
          <w:lang w:val="en-US"/>
        </w:rPr>
        <w:t>. Multinomial model (coefficients)</w:t>
      </w:r>
    </w:p>
    <w:p w14:paraId="6C4929ED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noProof/>
          <w:lang w:val="en-US"/>
        </w:rPr>
        <w:drawing>
          <wp:inline distT="0" distB="0" distL="0" distR="0" wp14:anchorId="26FACACA" wp14:editId="7E426CC3">
            <wp:extent cx="5733416" cy="4851404"/>
            <wp:effectExtent l="0" t="0" r="634" b="6346"/>
            <wp:docPr id="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6" cy="4851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DA55BE" w14:textId="41770823" w:rsidR="006D45F7" w:rsidRPr="00512405" w:rsidRDefault="004777DD">
      <w:pPr>
        <w:spacing w:before="240" w:after="240"/>
        <w:jc w:val="both"/>
        <w:rPr>
          <w:sz w:val="16"/>
          <w:szCs w:val="16"/>
          <w:lang w:val="en-US"/>
        </w:rPr>
      </w:pPr>
      <w:r w:rsidRPr="00512405">
        <w:rPr>
          <w:sz w:val="16"/>
          <w:szCs w:val="16"/>
          <w:lang w:val="en-US"/>
        </w:rPr>
        <w:t xml:space="preserve">Note: Growth is </w:t>
      </w:r>
      <w:r w:rsidR="00512405" w:rsidRPr="00512405">
        <w:rPr>
          <w:sz w:val="16"/>
          <w:szCs w:val="16"/>
          <w:lang w:val="en-US"/>
        </w:rPr>
        <w:t>used</w:t>
      </w:r>
      <w:r w:rsidRPr="00512405">
        <w:rPr>
          <w:sz w:val="16"/>
          <w:szCs w:val="16"/>
          <w:lang w:val="en-US"/>
        </w:rPr>
        <w:t xml:space="preserve"> as the reference category; results are reported with a 95 % confidence interval; * p&lt;0.05, ** p&lt;0.01, *** p&lt;0.001.</w:t>
      </w:r>
    </w:p>
    <w:p w14:paraId="4C18428C" w14:textId="77777777" w:rsidR="006D45F7" w:rsidRPr="00512405" w:rsidRDefault="004777DD">
      <w:pPr>
        <w:spacing w:before="240" w:after="240"/>
        <w:jc w:val="both"/>
        <w:rPr>
          <w:lang w:val="en-US"/>
        </w:rPr>
      </w:pPr>
      <w:r w:rsidRPr="00512405">
        <w:rPr>
          <w:sz w:val="16"/>
          <w:szCs w:val="16"/>
          <w:lang w:val="en-US"/>
        </w:rPr>
        <w:t>Source: Compiled by authors using data from the INE, IGN and SEPE.</w:t>
      </w:r>
    </w:p>
    <w:p w14:paraId="59BDDD9C" w14:textId="77777777" w:rsidR="006D45F7" w:rsidRPr="00512405" w:rsidRDefault="006D45F7">
      <w:pPr>
        <w:rPr>
          <w:lang w:val="en-US"/>
        </w:rPr>
      </w:pPr>
    </w:p>
    <w:sectPr w:rsidR="006D45F7" w:rsidRPr="00512405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8B67" w14:textId="77777777" w:rsidR="001F7869" w:rsidRDefault="001F7869">
      <w:pPr>
        <w:spacing w:line="240" w:lineRule="auto"/>
      </w:pPr>
      <w:r>
        <w:separator/>
      </w:r>
    </w:p>
  </w:endnote>
  <w:endnote w:type="continuationSeparator" w:id="0">
    <w:p w14:paraId="43044E05" w14:textId="77777777" w:rsidR="001F7869" w:rsidRDefault="001F7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BE0F" w14:textId="77777777" w:rsidR="001F7869" w:rsidRDefault="001F786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573BDAA" w14:textId="77777777" w:rsidR="001F7869" w:rsidRDefault="001F7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0C38" w14:textId="77777777" w:rsidR="00952E5B" w:rsidRDefault="004777DD">
    <w:pPr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7"/>
    <w:rsid w:val="000A6E7F"/>
    <w:rsid w:val="00197303"/>
    <w:rsid w:val="001E0F85"/>
    <w:rsid w:val="001F7869"/>
    <w:rsid w:val="004777DD"/>
    <w:rsid w:val="004F0CA8"/>
    <w:rsid w:val="00512405"/>
    <w:rsid w:val="00611918"/>
    <w:rsid w:val="00662E5C"/>
    <w:rsid w:val="006D45F7"/>
    <w:rsid w:val="006D46B5"/>
    <w:rsid w:val="00761067"/>
    <w:rsid w:val="007B3795"/>
    <w:rsid w:val="009D0CB2"/>
    <w:rsid w:val="00AE2816"/>
    <w:rsid w:val="00C94B3A"/>
    <w:rsid w:val="00D129F2"/>
    <w:rsid w:val="00F247F6"/>
    <w:rsid w:val="00F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23DD"/>
  <w15:docId w15:val="{AB7B0B7B-5EE4-4DF2-A373-DC90FD08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rPr>
      <w:rFonts w:ascii="Arial" w:eastAsia="Arial" w:hAnsi="Arial" w:cs="Arial"/>
      <w:lang w:val="en-GB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rPr>
      <w:rFonts w:ascii="Arial" w:eastAsia="Arial" w:hAnsi="Arial" w:cs="Arial"/>
      <w:lang w:val="en-GB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67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GONZALEZ-LEONARDO Miguel</dc:creator>
  <dc:description/>
  <cp:lastModifiedBy>GONZALEZ-LEONARDO Miguel</cp:lastModifiedBy>
  <cp:revision>3</cp:revision>
  <dcterms:created xsi:type="dcterms:W3CDTF">2023-01-04T16:16:00Z</dcterms:created>
  <dcterms:modified xsi:type="dcterms:W3CDTF">2023-01-04T16:29:00Z</dcterms:modified>
</cp:coreProperties>
</file>